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637EA2" w14:textId="77777777" w:rsidR="00A720C7" w:rsidRPr="00DF7242" w:rsidRDefault="00A720C7" w:rsidP="00EA3989">
      <w:pPr>
        <w:pStyle w:val="Default"/>
        <w:jc w:val="both"/>
        <w:rPr>
          <w:rFonts w:ascii="Calibri" w:hAnsi="Calibri"/>
          <w:color w:val="auto"/>
        </w:rPr>
      </w:pPr>
    </w:p>
    <w:p w14:paraId="2EFDC786" w14:textId="77777777" w:rsidR="006A6459" w:rsidRDefault="00112F23" w:rsidP="00112F23">
      <w:pPr>
        <w:pStyle w:val="Default"/>
        <w:jc w:val="center"/>
        <w:rPr>
          <w:rFonts w:ascii="Calibri" w:hAnsi="Calibri"/>
          <w:b/>
          <w:color w:val="auto"/>
        </w:rPr>
      </w:pPr>
      <w:r w:rsidRPr="00DF7242">
        <w:rPr>
          <w:rFonts w:ascii="Calibri" w:hAnsi="Calibri"/>
          <w:b/>
          <w:color w:val="auto"/>
        </w:rPr>
        <w:t>Poznámky mikro účtovnej</w:t>
      </w:r>
      <w:r w:rsidR="001D2064">
        <w:rPr>
          <w:rFonts w:ascii="Calibri" w:hAnsi="Calibri"/>
          <w:b/>
          <w:color w:val="auto"/>
        </w:rPr>
        <w:t xml:space="preserve"> jednotky zostavené k 31.12.20</w:t>
      </w:r>
      <w:r w:rsidR="00AF4351">
        <w:rPr>
          <w:rFonts w:ascii="Calibri" w:hAnsi="Calibri"/>
          <w:b/>
          <w:color w:val="auto"/>
        </w:rPr>
        <w:t>2</w:t>
      </w:r>
      <w:r w:rsidR="00E97CAF">
        <w:rPr>
          <w:rFonts w:ascii="Calibri" w:hAnsi="Calibri"/>
          <w:b/>
          <w:color w:val="auto"/>
        </w:rPr>
        <w:t>5</w:t>
      </w:r>
      <w:r w:rsidRPr="00DF7242">
        <w:rPr>
          <w:rFonts w:ascii="Calibri" w:hAnsi="Calibri"/>
          <w:b/>
          <w:color w:val="auto"/>
        </w:rPr>
        <w:t xml:space="preserve"> </w:t>
      </w:r>
    </w:p>
    <w:p w14:paraId="58DC1BC5" w14:textId="77777777" w:rsidR="006A6459" w:rsidRDefault="001D2064" w:rsidP="00112F23">
      <w:pPr>
        <w:pStyle w:val="Default"/>
        <w:jc w:val="center"/>
        <w:rPr>
          <w:rFonts w:ascii="Calibri" w:hAnsi="Calibri"/>
          <w:b/>
          <w:color w:val="auto"/>
        </w:rPr>
      </w:pPr>
      <w:r>
        <w:rPr>
          <w:rFonts w:ascii="Calibri" w:hAnsi="Calibri"/>
          <w:b/>
          <w:color w:val="auto"/>
        </w:rPr>
        <w:t>za obdobie 01.01.20</w:t>
      </w:r>
      <w:r w:rsidR="00AF4351">
        <w:rPr>
          <w:rFonts w:ascii="Calibri" w:hAnsi="Calibri"/>
          <w:b/>
          <w:color w:val="auto"/>
        </w:rPr>
        <w:t>2</w:t>
      </w:r>
      <w:r w:rsidR="00793511">
        <w:rPr>
          <w:rFonts w:ascii="Calibri" w:hAnsi="Calibri"/>
          <w:b/>
          <w:color w:val="auto"/>
        </w:rPr>
        <w:t>4</w:t>
      </w:r>
      <w:r>
        <w:rPr>
          <w:rFonts w:ascii="Calibri" w:hAnsi="Calibri"/>
          <w:b/>
          <w:color w:val="auto"/>
        </w:rPr>
        <w:t xml:space="preserve"> do 31.12.20</w:t>
      </w:r>
      <w:r w:rsidR="00C12248">
        <w:rPr>
          <w:rFonts w:ascii="Calibri" w:hAnsi="Calibri"/>
          <w:b/>
          <w:color w:val="auto"/>
        </w:rPr>
        <w:t>2</w:t>
      </w:r>
      <w:r w:rsidR="00E97CAF">
        <w:rPr>
          <w:rFonts w:ascii="Calibri" w:hAnsi="Calibri"/>
          <w:b/>
          <w:color w:val="auto"/>
        </w:rPr>
        <w:t>5</w:t>
      </w:r>
    </w:p>
    <w:p w14:paraId="0F224855" w14:textId="77777777" w:rsidR="00112F23" w:rsidRPr="00DF7242" w:rsidRDefault="00112F23" w:rsidP="00112F23">
      <w:pPr>
        <w:pStyle w:val="Default"/>
        <w:jc w:val="center"/>
        <w:rPr>
          <w:rFonts w:ascii="Calibri" w:hAnsi="Calibri"/>
          <w:b/>
          <w:bCs/>
          <w:color w:val="auto"/>
        </w:rPr>
      </w:pPr>
      <w:r w:rsidRPr="00DF7242">
        <w:rPr>
          <w:rFonts w:ascii="Calibri" w:hAnsi="Calibri"/>
          <w:b/>
          <w:color w:val="auto"/>
        </w:rPr>
        <w:t>v celých eurách</w:t>
      </w:r>
    </w:p>
    <w:p w14:paraId="313DB0B5" w14:textId="77777777" w:rsidR="00112F23" w:rsidRPr="00DF7242" w:rsidRDefault="00112F23" w:rsidP="00EA3989">
      <w:pPr>
        <w:pStyle w:val="Default"/>
        <w:jc w:val="both"/>
        <w:rPr>
          <w:rFonts w:ascii="Calibri" w:hAnsi="Calibri"/>
          <w:b/>
          <w:bCs/>
          <w:color w:val="auto"/>
          <w:sz w:val="22"/>
          <w:szCs w:val="22"/>
        </w:rPr>
      </w:pPr>
    </w:p>
    <w:p w14:paraId="26B0E2B4" w14:textId="77777777" w:rsidR="00A720C7" w:rsidRPr="00DF7242" w:rsidRDefault="00A720C7" w:rsidP="00EA3989">
      <w:pPr>
        <w:pStyle w:val="Default"/>
        <w:jc w:val="both"/>
        <w:rPr>
          <w:rFonts w:ascii="Calibri" w:hAnsi="Calibri"/>
          <w:b/>
          <w:bCs/>
          <w:color w:val="auto"/>
          <w:sz w:val="22"/>
          <w:szCs w:val="22"/>
        </w:rPr>
      </w:pPr>
    </w:p>
    <w:p w14:paraId="6AF5C9C9" w14:textId="77777777" w:rsidR="00B445CD" w:rsidRPr="00DF7242" w:rsidRDefault="00B445C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b/>
          <w:bCs/>
          <w:color w:val="auto"/>
          <w:sz w:val="22"/>
          <w:szCs w:val="22"/>
        </w:rPr>
        <w:t>Čl. I</w:t>
      </w:r>
      <w:r w:rsidR="009626CC">
        <w:rPr>
          <w:rFonts w:ascii="Calibri" w:hAnsi="Calibri"/>
          <w:b/>
          <w:bCs/>
          <w:color w:val="auto"/>
          <w:sz w:val="22"/>
          <w:szCs w:val="22"/>
        </w:rPr>
        <w:t xml:space="preserve"> </w:t>
      </w:r>
    </w:p>
    <w:p w14:paraId="724B1F46" w14:textId="77777777" w:rsidR="00B445CD" w:rsidRPr="00DF7242" w:rsidRDefault="00B445C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b/>
          <w:bCs/>
          <w:color w:val="auto"/>
          <w:sz w:val="22"/>
          <w:szCs w:val="22"/>
        </w:rPr>
        <w:t>Všeobecné údaje</w:t>
      </w:r>
    </w:p>
    <w:p w14:paraId="46FBB8FD" w14:textId="77777777" w:rsidR="009626CC" w:rsidRDefault="009626CC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</w:p>
    <w:p w14:paraId="41F4A5CA" w14:textId="77777777" w:rsidR="00B445CD" w:rsidRPr="00DF7242" w:rsidRDefault="00B445C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(1) Ná</w:t>
      </w:r>
      <w:r w:rsidR="00167536" w:rsidRPr="00DF7242">
        <w:rPr>
          <w:rFonts w:ascii="Calibri" w:hAnsi="Calibri"/>
          <w:color w:val="auto"/>
          <w:sz w:val="22"/>
          <w:szCs w:val="22"/>
        </w:rPr>
        <w:t xml:space="preserve">zov právnickej osoby a jej sídlo: </w:t>
      </w:r>
      <w:r w:rsidR="00793511" w:rsidRPr="00793511">
        <w:rPr>
          <w:rFonts w:ascii="Calibri" w:hAnsi="Calibri"/>
          <w:b/>
          <w:color w:val="auto"/>
          <w:sz w:val="22"/>
          <w:szCs w:val="22"/>
        </w:rPr>
        <w:t>AMZLER s.r.o., Zámocká 53, 902 01 Pezinok</w:t>
      </w:r>
    </w:p>
    <w:p w14:paraId="61891517" w14:textId="77777777" w:rsidR="009626CC" w:rsidRDefault="009626CC" w:rsidP="00EA3989">
      <w:pPr>
        <w:pStyle w:val="Default"/>
        <w:spacing w:after="27"/>
        <w:jc w:val="both"/>
        <w:rPr>
          <w:rFonts w:ascii="Calibri" w:hAnsi="Calibri"/>
          <w:color w:val="auto"/>
          <w:sz w:val="22"/>
          <w:szCs w:val="22"/>
        </w:rPr>
      </w:pPr>
    </w:p>
    <w:p w14:paraId="62FB03F9" w14:textId="77777777" w:rsidR="00B445CD" w:rsidRPr="00DF7242" w:rsidRDefault="00B445CD" w:rsidP="00EA3989">
      <w:pPr>
        <w:pStyle w:val="Default"/>
        <w:spacing w:after="27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(2) Údaje o konsolidovanom celku</w:t>
      </w:r>
      <w:r w:rsidR="00167536" w:rsidRPr="00DF7242">
        <w:rPr>
          <w:rFonts w:ascii="Calibri" w:hAnsi="Calibri"/>
          <w:color w:val="auto"/>
          <w:sz w:val="22"/>
          <w:szCs w:val="22"/>
        </w:rPr>
        <w:t>:</w:t>
      </w:r>
    </w:p>
    <w:p w14:paraId="52D44185" w14:textId="77777777" w:rsidR="0071084D" w:rsidRPr="00DF7242" w:rsidRDefault="0071084D" w:rsidP="00EA3989">
      <w:pPr>
        <w:pStyle w:val="Default"/>
        <w:spacing w:after="27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a) Spoločnosť nie je súčasťou konsolidovaného celku.</w:t>
      </w:r>
    </w:p>
    <w:p w14:paraId="33E271E5" w14:textId="77777777" w:rsidR="0071084D" w:rsidRPr="00DF7242" w:rsidRDefault="0071084D" w:rsidP="00EA3989">
      <w:pPr>
        <w:pStyle w:val="Default"/>
        <w:spacing w:after="27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b) Spoločnosť nemá povinnosť vykonať konsolidovanú účtovnú závierku podľa § 22.</w:t>
      </w:r>
    </w:p>
    <w:p w14:paraId="11382B39" w14:textId="77777777" w:rsidR="0071084D" w:rsidRPr="00DF7242" w:rsidRDefault="0071084D" w:rsidP="00EA3989">
      <w:pPr>
        <w:pStyle w:val="Default"/>
        <w:spacing w:after="27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Spoločnosť nemá podiel v žiadnych dcérskych účtovných jednotkách.</w:t>
      </w:r>
    </w:p>
    <w:p w14:paraId="32DED2B2" w14:textId="77777777" w:rsidR="009626CC" w:rsidRDefault="009626CC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</w:p>
    <w:p w14:paraId="2945B7DA" w14:textId="77777777" w:rsidR="00B445CD" w:rsidRPr="00DF7242" w:rsidRDefault="00B445C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(3) Priemerný prepočítaný poč</w:t>
      </w:r>
      <w:r w:rsidR="00167536" w:rsidRPr="00DF7242">
        <w:rPr>
          <w:rFonts w:ascii="Calibri" w:hAnsi="Calibri"/>
          <w:color w:val="auto"/>
          <w:sz w:val="22"/>
          <w:szCs w:val="22"/>
        </w:rPr>
        <w:t xml:space="preserve">et zamestnancov: </w:t>
      </w:r>
      <w:r w:rsidR="00793511">
        <w:rPr>
          <w:rFonts w:ascii="Calibri" w:hAnsi="Calibri"/>
          <w:color w:val="auto"/>
          <w:sz w:val="22"/>
          <w:szCs w:val="22"/>
        </w:rPr>
        <w:t>0</w:t>
      </w:r>
    </w:p>
    <w:p w14:paraId="72AB0115" w14:textId="77777777" w:rsidR="00B445CD" w:rsidRPr="00DF7242" w:rsidRDefault="00B445C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</w:p>
    <w:p w14:paraId="25556922" w14:textId="77777777" w:rsidR="00B445CD" w:rsidRPr="00DF7242" w:rsidRDefault="00B445C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b/>
          <w:bCs/>
          <w:color w:val="auto"/>
          <w:sz w:val="22"/>
          <w:szCs w:val="22"/>
        </w:rPr>
        <w:t>Čl. II</w:t>
      </w:r>
    </w:p>
    <w:p w14:paraId="58AF0369" w14:textId="77777777" w:rsidR="00B445CD" w:rsidRPr="00DF7242" w:rsidRDefault="00B445C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b/>
          <w:bCs/>
          <w:color w:val="auto"/>
          <w:sz w:val="22"/>
          <w:szCs w:val="22"/>
        </w:rPr>
        <w:t>Informácie o prijatých postupoch</w:t>
      </w:r>
    </w:p>
    <w:p w14:paraId="4D22A69D" w14:textId="77777777" w:rsidR="009626CC" w:rsidRDefault="009626CC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</w:p>
    <w:p w14:paraId="455EBC36" w14:textId="77777777" w:rsidR="0071084D" w:rsidRPr="00DF7242" w:rsidRDefault="0071084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1) Účtovná závierka bola zostavená za predpokladu nepretržitého trvania Spoločnosti.</w:t>
      </w:r>
    </w:p>
    <w:p w14:paraId="5E674206" w14:textId="77777777" w:rsidR="009626CC" w:rsidRDefault="009626CC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</w:p>
    <w:p w14:paraId="3A5CDB4A" w14:textId="77777777" w:rsidR="0071084D" w:rsidRPr="00DF7242" w:rsidRDefault="0071084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2) Spoločnosť oceňuje majetok a záväzky ku dňu uskutočneniu účtovného prípadu.</w:t>
      </w:r>
    </w:p>
    <w:p w14:paraId="17556A12" w14:textId="77777777" w:rsidR="0071084D" w:rsidRPr="00DF7242" w:rsidRDefault="0071084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- Ku dňu uskutočnenia účtovného prípadu oceňovala spoločnosť dlhodobý hmotný majetok, dlhodobý nehmotný majetok</w:t>
      </w:r>
      <w:r w:rsidR="00BF31BF">
        <w:rPr>
          <w:rFonts w:ascii="Calibri" w:hAnsi="Calibri"/>
          <w:color w:val="auto"/>
          <w:sz w:val="22"/>
          <w:szCs w:val="22"/>
        </w:rPr>
        <w:t xml:space="preserve"> </w:t>
      </w:r>
      <w:r w:rsidRPr="00DF7242">
        <w:rPr>
          <w:rFonts w:ascii="Calibri" w:hAnsi="Calibri"/>
          <w:color w:val="auto"/>
          <w:sz w:val="22"/>
          <w:szCs w:val="22"/>
        </w:rPr>
        <w:t>a dlhodobý finančný majetok nadobudnutý kúpou obstarávacou cenou</w:t>
      </w:r>
      <w:r w:rsidR="00BF31BF">
        <w:rPr>
          <w:rFonts w:ascii="Calibri" w:hAnsi="Calibri"/>
          <w:color w:val="auto"/>
          <w:sz w:val="22"/>
          <w:szCs w:val="22"/>
        </w:rPr>
        <w:t>.</w:t>
      </w:r>
    </w:p>
    <w:p w14:paraId="42D2F341" w14:textId="77777777" w:rsidR="0071084D" w:rsidRPr="00DF7242" w:rsidRDefault="0071084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- Ku dňu uskutočnenia účtovného prípadu oceňovala spoločnosť menovitou hodnotou zásoby, pohľadávky,</w:t>
      </w:r>
      <w:r w:rsidR="00BF31BF">
        <w:rPr>
          <w:rFonts w:ascii="Calibri" w:hAnsi="Calibri"/>
          <w:color w:val="auto"/>
          <w:sz w:val="22"/>
          <w:szCs w:val="22"/>
        </w:rPr>
        <w:t xml:space="preserve"> </w:t>
      </w:r>
      <w:r w:rsidRPr="00DF7242">
        <w:rPr>
          <w:rFonts w:ascii="Calibri" w:hAnsi="Calibri"/>
          <w:color w:val="auto"/>
          <w:sz w:val="22"/>
          <w:szCs w:val="22"/>
        </w:rPr>
        <w:t>krátkodobý finančný majetok, záväzky (vrátane rezerv, dlhopisov, pôžičiek a úverov) pri ich vzniku.</w:t>
      </w:r>
    </w:p>
    <w:p w14:paraId="31CADFBA" w14:textId="77777777" w:rsidR="009626CC" w:rsidRDefault="009626CC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</w:p>
    <w:p w14:paraId="4EF5B79D" w14:textId="77777777" w:rsidR="0071084D" w:rsidRPr="00DF7242" w:rsidRDefault="0071084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3) Odpisový plán spoločnosti:</w:t>
      </w:r>
    </w:p>
    <w:p w14:paraId="4391E218" w14:textId="77777777" w:rsidR="0071084D" w:rsidRPr="00DF7242" w:rsidRDefault="0071084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- Nehmotný majetok, ktorého ocenenie sa rovná alebo je nižšie ako 2.400 EUR sa účtuje na ťarchu účtu 518</w:t>
      </w:r>
      <w:r w:rsidR="001D2064">
        <w:rPr>
          <w:rFonts w:ascii="Calibri" w:hAnsi="Calibri"/>
          <w:color w:val="auto"/>
          <w:sz w:val="22"/>
          <w:szCs w:val="22"/>
        </w:rPr>
        <w:t xml:space="preserve"> </w:t>
      </w:r>
      <w:r w:rsidRPr="00DF7242">
        <w:rPr>
          <w:rFonts w:ascii="Calibri" w:hAnsi="Calibri"/>
          <w:color w:val="auto"/>
          <w:sz w:val="22"/>
          <w:szCs w:val="22"/>
        </w:rPr>
        <w:t>-</w:t>
      </w:r>
      <w:r w:rsidR="001D2064">
        <w:rPr>
          <w:rFonts w:ascii="Calibri" w:hAnsi="Calibri"/>
          <w:color w:val="auto"/>
          <w:sz w:val="22"/>
          <w:szCs w:val="22"/>
        </w:rPr>
        <w:t xml:space="preserve"> </w:t>
      </w:r>
      <w:r w:rsidRPr="00DF7242">
        <w:rPr>
          <w:rFonts w:ascii="Calibri" w:hAnsi="Calibri"/>
          <w:color w:val="auto"/>
          <w:sz w:val="22"/>
          <w:szCs w:val="22"/>
        </w:rPr>
        <w:t>Ostatné služby.</w:t>
      </w:r>
    </w:p>
    <w:p w14:paraId="4E9B8750" w14:textId="77777777" w:rsidR="0071084D" w:rsidRPr="00DF7242" w:rsidRDefault="0071084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- Nehmotný majetok, ktorého ocenenie je vyššie, zaradí spoločnosť do dlhodobého nehmotného majetku.</w:t>
      </w:r>
    </w:p>
    <w:p w14:paraId="3FA2E4AD" w14:textId="77777777" w:rsidR="0071084D" w:rsidRPr="00DF7242" w:rsidRDefault="0071084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- Hmotný majetok, ktorého ocenenie sa rovná alebo je nižšie ako 1.700 EUR sa účtuje na ťarchu účtu 501</w:t>
      </w:r>
      <w:r w:rsidR="001D2064">
        <w:rPr>
          <w:rFonts w:ascii="Calibri" w:hAnsi="Calibri"/>
          <w:color w:val="auto"/>
          <w:sz w:val="22"/>
          <w:szCs w:val="22"/>
        </w:rPr>
        <w:t xml:space="preserve"> </w:t>
      </w:r>
      <w:r w:rsidRPr="00DF7242">
        <w:rPr>
          <w:rFonts w:ascii="Calibri" w:hAnsi="Calibri"/>
          <w:color w:val="auto"/>
          <w:sz w:val="22"/>
          <w:szCs w:val="22"/>
        </w:rPr>
        <w:t>-</w:t>
      </w:r>
      <w:r w:rsidR="001D2064">
        <w:rPr>
          <w:rFonts w:ascii="Calibri" w:hAnsi="Calibri"/>
          <w:color w:val="auto"/>
          <w:sz w:val="22"/>
          <w:szCs w:val="22"/>
        </w:rPr>
        <w:t xml:space="preserve"> </w:t>
      </w:r>
      <w:r w:rsidRPr="00DF7242">
        <w:rPr>
          <w:rFonts w:ascii="Calibri" w:hAnsi="Calibri"/>
          <w:color w:val="auto"/>
          <w:sz w:val="22"/>
          <w:szCs w:val="22"/>
        </w:rPr>
        <w:t>Spotreba materiálu.</w:t>
      </w:r>
    </w:p>
    <w:p w14:paraId="672B87CD" w14:textId="77777777" w:rsidR="0071084D" w:rsidRPr="00DF7242" w:rsidRDefault="0071084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- Hmotný majetok, ktorého ocenenie je vyššie, zaradí spoločnosť do dlhodobého hmotného majetku.</w:t>
      </w:r>
    </w:p>
    <w:p w14:paraId="0C05C434" w14:textId="77777777" w:rsidR="0071084D" w:rsidRPr="00DF7242" w:rsidRDefault="0071084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Spoločnosť stanovila interným predpisom, že účtovné odpisy dlhodobého majetku sa rovnajú daňovým odpisom.</w:t>
      </w:r>
    </w:p>
    <w:p w14:paraId="5444B49D" w14:textId="77777777" w:rsidR="009626CC" w:rsidRDefault="009626CC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</w:p>
    <w:p w14:paraId="6AD1CDF0" w14:textId="77777777" w:rsidR="0071084D" w:rsidRPr="00DF7242" w:rsidRDefault="0071084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 xml:space="preserve">4) Spoločnosť v sledovanom účtovnom období </w:t>
      </w:r>
      <w:r w:rsidR="00D33DEF">
        <w:rPr>
          <w:rFonts w:ascii="Calibri" w:hAnsi="Calibri"/>
          <w:color w:val="auto"/>
          <w:sz w:val="22"/>
          <w:szCs w:val="22"/>
        </w:rPr>
        <w:t xml:space="preserve">neuskutočnila </w:t>
      </w:r>
      <w:r w:rsidRPr="00DF7242">
        <w:rPr>
          <w:rFonts w:ascii="Calibri" w:hAnsi="Calibri"/>
          <w:color w:val="auto"/>
          <w:sz w:val="22"/>
          <w:szCs w:val="22"/>
        </w:rPr>
        <w:t>zmenu úč</w:t>
      </w:r>
      <w:r w:rsidR="00D33DEF">
        <w:rPr>
          <w:rFonts w:ascii="Calibri" w:hAnsi="Calibri"/>
          <w:color w:val="auto"/>
          <w:sz w:val="22"/>
          <w:szCs w:val="22"/>
        </w:rPr>
        <w:t>tovných zásad a účtovných metód.</w:t>
      </w:r>
    </w:p>
    <w:p w14:paraId="0DD66767" w14:textId="77777777" w:rsidR="009626CC" w:rsidRDefault="009626CC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</w:p>
    <w:p w14:paraId="75498D97" w14:textId="77777777" w:rsidR="0071084D" w:rsidRPr="00DF7242" w:rsidRDefault="0071084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5) Spoločnosť v sledovanom období neúčtovala a neprijala žiadne dotácie.</w:t>
      </w:r>
    </w:p>
    <w:p w14:paraId="21C9DC62" w14:textId="77777777" w:rsidR="009626CC" w:rsidRDefault="009626CC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</w:p>
    <w:p w14:paraId="58185F1C" w14:textId="77777777" w:rsidR="00B445CD" w:rsidRPr="00DF7242" w:rsidRDefault="0071084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6) Spoločnosť v sledovanom období neúčtovala o významných opravách chýb minulých účtovných období.</w:t>
      </w:r>
    </w:p>
    <w:p w14:paraId="3A05A843" w14:textId="77777777" w:rsidR="0071084D" w:rsidRDefault="0071084D" w:rsidP="00EA3989">
      <w:pPr>
        <w:pStyle w:val="Default"/>
        <w:jc w:val="both"/>
        <w:rPr>
          <w:rFonts w:ascii="Calibri" w:hAnsi="Calibri"/>
          <w:b/>
          <w:bCs/>
          <w:color w:val="auto"/>
          <w:sz w:val="22"/>
          <w:szCs w:val="22"/>
        </w:rPr>
      </w:pPr>
    </w:p>
    <w:p w14:paraId="0614EC2F" w14:textId="77777777" w:rsidR="00D33DEF" w:rsidRPr="00DF7242" w:rsidRDefault="00D33DEF" w:rsidP="00EA3989">
      <w:pPr>
        <w:pStyle w:val="Default"/>
        <w:jc w:val="both"/>
        <w:rPr>
          <w:rFonts w:ascii="Calibri" w:hAnsi="Calibri"/>
          <w:b/>
          <w:bCs/>
          <w:color w:val="auto"/>
          <w:sz w:val="22"/>
          <w:szCs w:val="22"/>
        </w:rPr>
      </w:pPr>
    </w:p>
    <w:p w14:paraId="6BB57261" w14:textId="77777777" w:rsidR="00B445CD" w:rsidRPr="00DF7242" w:rsidRDefault="00B445C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b/>
          <w:bCs/>
          <w:color w:val="auto"/>
          <w:sz w:val="22"/>
          <w:szCs w:val="22"/>
        </w:rPr>
        <w:lastRenderedPageBreak/>
        <w:t>Čl. III</w:t>
      </w:r>
    </w:p>
    <w:p w14:paraId="2AF1F2FE" w14:textId="77777777" w:rsidR="00B445CD" w:rsidRPr="00DF7242" w:rsidRDefault="00B445C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b/>
          <w:bCs/>
          <w:color w:val="auto"/>
          <w:sz w:val="22"/>
          <w:szCs w:val="22"/>
        </w:rPr>
        <w:t>Informácie, ktoré vysvetľujú a dopĺňajú súvahu a výkaz ziskov a strát</w:t>
      </w:r>
    </w:p>
    <w:p w14:paraId="1F03C893" w14:textId="77777777" w:rsidR="009626CC" w:rsidRDefault="009626CC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</w:p>
    <w:p w14:paraId="6F32821F" w14:textId="77777777" w:rsidR="00B445CD" w:rsidRPr="00DF7242" w:rsidRDefault="00B445C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(1) Informácia o sume a dôvodoch vzniku jednotlivých položiek nákladov alebo výnosov, ktoré majú výnimočný rozsah alebo výskyt</w:t>
      </w:r>
      <w:r w:rsidR="0071084D" w:rsidRPr="00DF7242">
        <w:rPr>
          <w:rFonts w:ascii="Calibri" w:hAnsi="Calibri"/>
          <w:color w:val="auto"/>
          <w:sz w:val="22"/>
          <w:szCs w:val="22"/>
        </w:rPr>
        <w:t xml:space="preserve"> </w:t>
      </w:r>
    </w:p>
    <w:p w14:paraId="7FB6CD7A" w14:textId="77777777" w:rsidR="009626CC" w:rsidRDefault="009626CC" w:rsidP="00EA3989">
      <w:pPr>
        <w:pStyle w:val="Default"/>
        <w:spacing w:after="27"/>
        <w:jc w:val="both"/>
        <w:rPr>
          <w:rFonts w:ascii="Calibri" w:hAnsi="Calibri"/>
          <w:color w:val="auto"/>
          <w:sz w:val="22"/>
          <w:szCs w:val="22"/>
        </w:rPr>
      </w:pPr>
    </w:p>
    <w:p w14:paraId="22F5C904" w14:textId="77777777" w:rsidR="00B445CD" w:rsidRPr="00DF7242" w:rsidRDefault="00B445CD" w:rsidP="00EA3989">
      <w:pPr>
        <w:pStyle w:val="Default"/>
        <w:spacing w:after="27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(2) Informácie o záväzkoch, a to</w:t>
      </w:r>
    </w:p>
    <w:p w14:paraId="4A2D767E" w14:textId="77777777" w:rsidR="00B445CD" w:rsidRPr="00DF7242" w:rsidRDefault="00B445CD" w:rsidP="00EA3989">
      <w:pPr>
        <w:pStyle w:val="Default"/>
        <w:spacing w:after="27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a) celkovej sume záväzkov so zostatkovou dobou splatnosti dlhšou ako päť</w:t>
      </w:r>
      <w:r w:rsidR="00DF60A5" w:rsidRPr="00DF7242">
        <w:rPr>
          <w:rFonts w:ascii="Calibri" w:hAnsi="Calibri"/>
          <w:color w:val="auto"/>
          <w:sz w:val="22"/>
          <w:szCs w:val="22"/>
        </w:rPr>
        <w:t xml:space="preserve"> rokov – </w:t>
      </w:r>
      <w:r w:rsidR="0071084D" w:rsidRPr="00DF7242">
        <w:rPr>
          <w:rFonts w:ascii="Calibri" w:hAnsi="Calibri"/>
          <w:color w:val="auto"/>
          <w:sz w:val="22"/>
          <w:szCs w:val="22"/>
        </w:rPr>
        <w:t>0</w:t>
      </w:r>
      <w:r w:rsidR="003F686A">
        <w:rPr>
          <w:rFonts w:ascii="Calibri" w:hAnsi="Calibri"/>
          <w:color w:val="auto"/>
          <w:sz w:val="22"/>
          <w:szCs w:val="22"/>
        </w:rPr>
        <w:t xml:space="preserve"> </w:t>
      </w:r>
      <w:r w:rsidR="00DF60A5" w:rsidRPr="00DF7242">
        <w:rPr>
          <w:rFonts w:ascii="Calibri" w:hAnsi="Calibri"/>
          <w:color w:val="auto"/>
          <w:sz w:val="22"/>
          <w:szCs w:val="22"/>
        </w:rPr>
        <w:t>EUR</w:t>
      </w:r>
    </w:p>
    <w:p w14:paraId="4D27AA05" w14:textId="77777777" w:rsidR="00B445CD" w:rsidRPr="00DF7242" w:rsidRDefault="00B445CD" w:rsidP="00EA3989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b) celkovej sume zabezpečených záväzkov, opis a spôsoby zabezpeč</w:t>
      </w:r>
      <w:r w:rsidR="00DF60A5" w:rsidRPr="00DF7242">
        <w:rPr>
          <w:rFonts w:ascii="Calibri" w:hAnsi="Calibri"/>
          <w:color w:val="auto"/>
          <w:sz w:val="22"/>
          <w:szCs w:val="22"/>
        </w:rPr>
        <w:t>enia záväzkov - nemá obsahovú náplň</w:t>
      </w:r>
    </w:p>
    <w:p w14:paraId="05B27163" w14:textId="77777777" w:rsidR="009626CC" w:rsidRDefault="009626CC" w:rsidP="00EA3989">
      <w:pPr>
        <w:pStyle w:val="Default"/>
        <w:spacing w:after="27"/>
        <w:jc w:val="both"/>
        <w:rPr>
          <w:rFonts w:ascii="Calibri" w:hAnsi="Calibri"/>
          <w:color w:val="auto"/>
          <w:sz w:val="22"/>
          <w:szCs w:val="22"/>
        </w:rPr>
      </w:pPr>
    </w:p>
    <w:p w14:paraId="29B4A833" w14:textId="77777777" w:rsidR="00B445CD" w:rsidRPr="00DF7242" w:rsidRDefault="00B445CD" w:rsidP="00EA3989">
      <w:pPr>
        <w:pStyle w:val="Default"/>
        <w:spacing w:after="27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(3) Informácie o vlastných akciách</w:t>
      </w:r>
      <w:r w:rsidR="00546090" w:rsidRPr="00DF7242">
        <w:rPr>
          <w:rFonts w:ascii="Calibri" w:hAnsi="Calibri"/>
          <w:color w:val="auto"/>
          <w:sz w:val="22"/>
          <w:szCs w:val="22"/>
        </w:rPr>
        <w:t>: nemá obsahovú náplň</w:t>
      </w:r>
    </w:p>
    <w:p w14:paraId="12A58013" w14:textId="77777777" w:rsidR="009626CC" w:rsidRDefault="009626CC" w:rsidP="00EA3989">
      <w:pPr>
        <w:pStyle w:val="Default"/>
        <w:spacing w:after="27"/>
        <w:jc w:val="both"/>
        <w:rPr>
          <w:rFonts w:ascii="Calibri" w:hAnsi="Calibri"/>
          <w:color w:val="auto"/>
          <w:sz w:val="22"/>
          <w:szCs w:val="22"/>
        </w:rPr>
      </w:pPr>
    </w:p>
    <w:p w14:paraId="722F20AE" w14:textId="77777777" w:rsidR="00B445CD" w:rsidRPr="00DF7242" w:rsidRDefault="00B445CD" w:rsidP="00EA3989">
      <w:pPr>
        <w:pStyle w:val="Default"/>
        <w:spacing w:after="27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(4) Informácie o orgánoch úč</w:t>
      </w:r>
      <w:r w:rsidR="00546090" w:rsidRPr="00DF7242">
        <w:rPr>
          <w:rFonts w:ascii="Calibri" w:hAnsi="Calibri"/>
          <w:color w:val="auto"/>
          <w:sz w:val="22"/>
          <w:szCs w:val="22"/>
        </w:rPr>
        <w:t>tovn</w:t>
      </w:r>
      <w:r w:rsidR="0071084D" w:rsidRPr="00DF7242">
        <w:rPr>
          <w:rFonts w:ascii="Calibri" w:hAnsi="Calibri"/>
          <w:color w:val="auto"/>
          <w:sz w:val="22"/>
          <w:szCs w:val="22"/>
        </w:rPr>
        <w:t>ej jednotky</w:t>
      </w:r>
    </w:p>
    <w:p w14:paraId="1505B3DE" w14:textId="77777777" w:rsidR="0071084D" w:rsidRPr="00DF7242" w:rsidRDefault="0071084D" w:rsidP="00EA3989">
      <w:pPr>
        <w:pStyle w:val="Default"/>
        <w:spacing w:after="27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Spoločnosť v sledovanom období neposkytla žiadnym riadiacim alebo kontrolným orgánom spoločnosti záruky, pôžičky alebo iné zabezpečenia, finančné prostriedky alebo iné plnenia.</w:t>
      </w:r>
    </w:p>
    <w:p w14:paraId="16D1FA7B" w14:textId="77777777" w:rsidR="009626CC" w:rsidRDefault="009626CC" w:rsidP="00EA3989">
      <w:pPr>
        <w:pStyle w:val="Default"/>
        <w:spacing w:after="27"/>
        <w:jc w:val="both"/>
        <w:rPr>
          <w:rFonts w:ascii="Calibri" w:hAnsi="Calibri"/>
          <w:color w:val="auto"/>
          <w:sz w:val="22"/>
          <w:szCs w:val="22"/>
        </w:rPr>
      </w:pPr>
    </w:p>
    <w:p w14:paraId="10830851" w14:textId="77777777" w:rsidR="00B445CD" w:rsidRPr="00DF7242" w:rsidRDefault="00B445CD" w:rsidP="00EA3989">
      <w:pPr>
        <w:pStyle w:val="Default"/>
        <w:spacing w:after="27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>(5) Informácie o povinnostiach úč</w:t>
      </w:r>
      <w:r w:rsidR="00546090" w:rsidRPr="00DF7242">
        <w:rPr>
          <w:rFonts w:ascii="Calibri" w:hAnsi="Calibri"/>
          <w:color w:val="auto"/>
          <w:sz w:val="22"/>
          <w:szCs w:val="22"/>
        </w:rPr>
        <w:t>tovn</w:t>
      </w:r>
      <w:r w:rsidR="0071084D" w:rsidRPr="00DF7242">
        <w:rPr>
          <w:rFonts w:ascii="Calibri" w:hAnsi="Calibri"/>
          <w:color w:val="auto"/>
          <w:sz w:val="22"/>
          <w:szCs w:val="22"/>
        </w:rPr>
        <w:t>ej jednotky – nemá obsahovú náplň</w:t>
      </w:r>
    </w:p>
    <w:p w14:paraId="0DE2D7C8" w14:textId="77777777" w:rsidR="009626CC" w:rsidRDefault="009626CC" w:rsidP="00EA3989">
      <w:pPr>
        <w:pStyle w:val="Default"/>
        <w:spacing w:after="29"/>
        <w:jc w:val="both"/>
        <w:rPr>
          <w:rFonts w:ascii="Calibri" w:hAnsi="Calibri"/>
          <w:color w:val="auto"/>
          <w:sz w:val="22"/>
          <w:szCs w:val="22"/>
        </w:rPr>
      </w:pPr>
    </w:p>
    <w:p w14:paraId="527CCAA7" w14:textId="77777777" w:rsidR="009F0191" w:rsidRPr="00DF7242" w:rsidRDefault="00B445CD" w:rsidP="00EA3989">
      <w:pPr>
        <w:pStyle w:val="Default"/>
        <w:spacing w:after="29"/>
        <w:jc w:val="both"/>
        <w:rPr>
          <w:rFonts w:ascii="Calibri" w:hAnsi="Calibri"/>
          <w:color w:val="auto"/>
          <w:sz w:val="22"/>
          <w:szCs w:val="22"/>
        </w:rPr>
      </w:pPr>
      <w:r w:rsidRPr="00DF7242">
        <w:rPr>
          <w:rFonts w:ascii="Calibri" w:hAnsi="Calibri"/>
          <w:color w:val="auto"/>
          <w:sz w:val="22"/>
          <w:szCs w:val="22"/>
        </w:rPr>
        <w:t xml:space="preserve">(6) </w:t>
      </w:r>
      <w:r w:rsidRPr="00DF7242">
        <w:rPr>
          <w:rFonts w:ascii="Calibri" w:hAnsi="Calibri"/>
          <w:bCs/>
          <w:color w:val="auto"/>
          <w:sz w:val="22"/>
          <w:szCs w:val="22"/>
        </w:rPr>
        <w:t>Informácie o udelení výlučného práva alebo osobitného práva, ktorým sa udelilo právo poskytovať služby vo verejnom záujme, pričom sa uvádza náhrada za túto činnosť v akejkoľvek forme</w:t>
      </w:r>
      <w:r w:rsidR="009F0191" w:rsidRPr="00DF7242">
        <w:rPr>
          <w:rFonts w:ascii="Calibri" w:hAnsi="Calibri"/>
          <w:bCs/>
          <w:color w:val="auto"/>
          <w:sz w:val="22"/>
          <w:szCs w:val="22"/>
        </w:rPr>
        <w:t xml:space="preserve"> - </w:t>
      </w:r>
      <w:r w:rsidR="009F0191" w:rsidRPr="00DF7242">
        <w:rPr>
          <w:rFonts w:ascii="Calibri" w:hAnsi="Calibri"/>
          <w:color w:val="auto"/>
          <w:sz w:val="22"/>
          <w:szCs w:val="22"/>
        </w:rPr>
        <w:t>nemá obsahovú náplň</w:t>
      </w:r>
    </w:p>
    <w:p w14:paraId="18774EF3" w14:textId="77777777" w:rsidR="00A720C7" w:rsidRPr="00DF7242" w:rsidRDefault="00A720C7" w:rsidP="00EA3989">
      <w:pPr>
        <w:pStyle w:val="Default"/>
        <w:spacing w:after="29"/>
        <w:jc w:val="both"/>
        <w:rPr>
          <w:rFonts w:ascii="Calibri" w:hAnsi="Calibri"/>
          <w:color w:val="auto"/>
          <w:sz w:val="22"/>
          <w:szCs w:val="22"/>
        </w:rPr>
      </w:pPr>
    </w:p>
    <w:p w14:paraId="341C716E" w14:textId="77777777" w:rsidR="00A720C7" w:rsidRPr="00DF7242" w:rsidRDefault="00A720C7" w:rsidP="00EA3989">
      <w:pPr>
        <w:pStyle w:val="Default"/>
        <w:jc w:val="both"/>
        <w:rPr>
          <w:rFonts w:ascii="Calibri" w:hAnsi="Calibri"/>
          <w:sz w:val="22"/>
          <w:szCs w:val="22"/>
        </w:rPr>
      </w:pPr>
    </w:p>
    <w:p w14:paraId="423868CB" w14:textId="77777777" w:rsidR="00A720C7" w:rsidRPr="00DF7242" w:rsidRDefault="00A720C7" w:rsidP="00EA3989">
      <w:pPr>
        <w:pStyle w:val="Default"/>
        <w:jc w:val="both"/>
        <w:rPr>
          <w:rFonts w:ascii="Calibri" w:hAnsi="Calibri"/>
          <w:sz w:val="22"/>
          <w:szCs w:val="22"/>
        </w:rPr>
      </w:pPr>
    </w:p>
    <w:p w14:paraId="091919CD" w14:textId="77777777" w:rsidR="009F0191" w:rsidRPr="00DF7242" w:rsidRDefault="009F0191" w:rsidP="00EA3989">
      <w:pPr>
        <w:spacing w:after="0" w:line="240" w:lineRule="auto"/>
        <w:jc w:val="both"/>
        <w:rPr>
          <w:rFonts w:eastAsia="Times New Roman"/>
          <w:vanish/>
          <w:lang w:eastAsia="sk-SK"/>
        </w:rPr>
      </w:pPr>
    </w:p>
    <w:sectPr w:rsidR="009F0191" w:rsidRPr="00DF7242" w:rsidSect="00B45C51">
      <w:headerReference w:type="default" r:id="rId6"/>
      <w:footerReference w:type="default" r:id="rId7"/>
      <w:pgSz w:w="11907" w:h="16839" w:code="9"/>
      <w:pgMar w:top="1417" w:right="1417" w:bottom="1417" w:left="1417" w:header="708" w:footer="708" w:gutter="0"/>
      <w:pgNumType w:start="6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02BAD7" w14:textId="77777777" w:rsidR="000773A5" w:rsidRPr="00DF7242" w:rsidRDefault="000773A5" w:rsidP="00DF7242">
      <w:pPr>
        <w:pStyle w:val="Default"/>
        <w:rPr>
          <w:rFonts w:ascii="Calibri" w:hAnsi="Calibri"/>
          <w:color w:val="auto"/>
          <w:sz w:val="22"/>
          <w:szCs w:val="22"/>
        </w:rPr>
      </w:pPr>
      <w:r>
        <w:separator/>
      </w:r>
    </w:p>
  </w:endnote>
  <w:endnote w:type="continuationSeparator" w:id="0">
    <w:p w14:paraId="11076480" w14:textId="77777777" w:rsidR="000773A5" w:rsidRPr="00DF7242" w:rsidRDefault="000773A5" w:rsidP="00DF7242">
      <w:pPr>
        <w:pStyle w:val="Default"/>
        <w:rPr>
          <w:rFonts w:ascii="Calibri" w:hAnsi="Calibr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75C2A3" w14:textId="77777777" w:rsidR="00DF7242" w:rsidRDefault="00DF7242">
    <w:pPr>
      <w:pStyle w:val="Footer"/>
      <w:jc w:val="right"/>
    </w:pPr>
    <w:r>
      <w:t xml:space="preserve">Strana  </w:t>
    </w:r>
    <w:r>
      <w:fldChar w:fldCharType="begin"/>
    </w:r>
    <w:r>
      <w:instrText xml:space="preserve"> PAGE   \* MERGEFORMAT </w:instrText>
    </w:r>
    <w:r>
      <w:fldChar w:fldCharType="separate"/>
    </w:r>
    <w:r w:rsidR="00E97CAF">
      <w:rPr>
        <w:noProof/>
      </w:rPr>
      <w:t>7</w:t>
    </w:r>
    <w:r>
      <w:fldChar w:fldCharType="end"/>
    </w:r>
    <w:r>
      <w:t xml:space="preserve"> </w:t>
    </w:r>
  </w:p>
  <w:p w14:paraId="59B8E551" w14:textId="77777777" w:rsidR="00DF7242" w:rsidRDefault="00DF724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80CBE2" w14:textId="77777777" w:rsidR="000773A5" w:rsidRPr="00DF7242" w:rsidRDefault="000773A5" w:rsidP="00DF7242">
      <w:pPr>
        <w:pStyle w:val="Default"/>
        <w:rPr>
          <w:rFonts w:ascii="Calibri" w:hAnsi="Calibri"/>
          <w:color w:val="auto"/>
          <w:sz w:val="22"/>
          <w:szCs w:val="22"/>
        </w:rPr>
      </w:pPr>
      <w:r>
        <w:separator/>
      </w:r>
    </w:p>
  </w:footnote>
  <w:footnote w:type="continuationSeparator" w:id="0">
    <w:p w14:paraId="621D6182" w14:textId="77777777" w:rsidR="000773A5" w:rsidRPr="00DF7242" w:rsidRDefault="000773A5" w:rsidP="00DF7242">
      <w:pPr>
        <w:pStyle w:val="Default"/>
        <w:rPr>
          <w:rFonts w:ascii="Calibri" w:hAnsi="Calibr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8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420"/>
      <w:gridCol w:w="2140"/>
      <w:gridCol w:w="1860"/>
      <w:gridCol w:w="520"/>
      <w:gridCol w:w="1860"/>
    </w:tblGrid>
    <w:tr w:rsidR="009626CC" w:rsidRPr="009626CC" w14:paraId="42D65882" w14:textId="77777777" w:rsidTr="009626CC">
      <w:trPr>
        <w:trHeight w:val="300"/>
      </w:trPr>
      <w:tc>
        <w:tcPr>
          <w:tcW w:w="24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090EB5D" w14:textId="77777777" w:rsidR="009626CC" w:rsidRPr="009626CC" w:rsidRDefault="009626CC" w:rsidP="009626CC">
          <w:pPr>
            <w:spacing w:after="0" w:line="240" w:lineRule="auto"/>
            <w:jc w:val="both"/>
            <w:rPr>
              <w:rFonts w:eastAsia="Times New Roman"/>
              <w:color w:val="000000"/>
              <w:lang w:eastAsia="sk-SK"/>
            </w:rPr>
          </w:pPr>
          <w:r w:rsidRPr="009626CC">
            <w:rPr>
              <w:rFonts w:eastAsia="Times New Roman"/>
              <w:color w:val="000000"/>
              <w:lang w:eastAsia="sk-SK"/>
            </w:rPr>
            <w:t>Poznámky Úč MÚJ 3 – 01</w:t>
          </w:r>
        </w:p>
      </w:tc>
      <w:tc>
        <w:tcPr>
          <w:tcW w:w="21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2A212BE" w14:textId="77777777" w:rsidR="009626CC" w:rsidRPr="009626CC" w:rsidRDefault="009626CC" w:rsidP="009626CC">
          <w:pPr>
            <w:spacing w:after="0" w:line="240" w:lineRule="auto"/>
            <w:rPr>
              <w:rFonts w:eastAsia="Times New Roman"/>
              <w:color w:val="000000"/>
              <w:lang w:eastAsia="sk-SK"/>
            </w:rPr>
          </w:pPr>
        </w:p>
      </w:tc>
      <w:tc>
        <w:tcPr>
          <w:tcW w:w="18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EB607F2" w14:textId="77777777" w:rsidR="009626CC" w:rsidRPr="009626CC" w:rsidRDefault="00BF31BF" w:rsidP="00793511">
          <w:pPr>
            <w:spacing w:after="0" w:line="240" w:lineRule="auto"/>
            <w:jc w:val="both"/>
            <w:rPr>
              <w:rFonts w:eastAsia="Times New Roman"/>
              <w:color w:val="000000"/>
              <w:lang w:eastAsia="sk-SK"/>
            </w:rPr>
          </w:pPr>
          <w:r>
            <w:rPr>
              <w:rFonts w:eastAsia="Times New Roman"/>
              <w:color w:val="000000"/>
              <w:lang w:eastAsia="sk-SK"/>
            </w:rPr>
            <w:t xml:space="preserve">IČO: </w:t>
          </w:r>
          <w:r w:rsidR="00793511">
            <w:rPr>
              <w:rFonts w:eastAsia="Times New Roman"/>
              <w:color w:val="000000"/>
              <w:lang w:eastAsia="sk-SK"/>
            </w:rPr>
            <w:t>54217601</w:t>
          </w:r>
        </w:p>
      </w:tc>
      <w:tc>
        <w:tcPr>
          <w:tcW w:w="5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85BB198" w14:textId="77777777" w:rsidR="009626CC" w:rsidRPr="009626CC" w:rsidRDefault="009626CC" w:rsidP="009626CC">
          <w:pPr>
            <w:spacing w:after="0" w:line="240" w:lineRule="auto"/>
            <w:rPr>
              <w:rFonts w:eastAsia="Times New Roman"/>
              <w:color w:val="000000"/>
              <w:lang w:eastAsia="sk-SK"/>
            </w:rPr>
          </w:pPr>
        </w:p>
      </w:tc>
      <w:tc>
        <w:tcPr>
          <w:tcW w:w="18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0B8F687" w14:textId="77777777" w:rsidR="009626CC" w:rsidRPr="009626CC" w:rsidRDefault="00BF31BF" w:rsidP="00793511">
          <w:pPr>
            <w:spacing w:after="0" w:line="240" w:lineRule="auto"/>
            <w:jc w:val="both"/>
            <w:rPr>
              <w:rFonts w:eastAsia="Times New Roman"/>
              <w:color w:val="000000"/>
              <w:lang w:eastAsia="sk-SK"/>
            </w:rPr>
          </w:pPr>
          <w:r>
            <w:rPr>
              <w:rFonts w:eastAsia="Times New Roman"/>
              <w:color w:val="000000"/>
              <w:lang w:eastAsia="sk-SK"/>
            </w:rPr>
            <w:t xml:space="preserve">DIČ: </w:t>
          </w:r>
          <w:r w:rsidR="00793511">
            <w:rPr>
              <w:rFonts w:eastAsia="Times New Roman"/>
              <w:color w:val="000000"/>
              <w:lang w:eastAsia="sk-SK"/>
            </w:rPr>
            <w:t>2121611657</w:t>
          </w:r>
        </w:p>
      </w:tc>
    </w:tr>
  </w:tbl>
  <w:p w14:paraId="340E474C" w14:textId="77777777" w:rsidR="009626CC" w:rsidRPr="009626CC" w:rsidRDefault="009626CC" w:rsidP="009626CC">
    <w:pPr>
      <w:spacing w:after="0" w:line="240" w:lineRule="auto"/>
      <w:rPr>
        <w:rFonts w:eastAsia="Times New Roman"/>
        <w:color w:val="000000"/>
        <w:lang w:eastAsia="sk-SK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5"/>
  <w:proofState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45CD"/>
    <w:rsid w:val="0001397E"/>
    <w:rsid w:val="00030E64"/>
    <w:rsid w:val="000773A5"/>
    <w:rsid w:val="000B4325"/>
    <w:rsid w:val="000D372F"/>
    <w:rsid w:val="000F6915"/>
    <w:rsid w:val="00112F23"/>
    <w:rsid w:val="001245C4"/>
    <w:rsid w:val="00167536"/>
    <w:rsid w:val="001D2064"/>
    <w:rsid w:val="00225384"/>
    <w:rsid w:val="003A2BB8"/>
    <w:rsid w:val="003F686A"/>
    <w:rsid w:val="00416724"/>
    <w:rsid w:val="00417FD4"/>
    <w:rsid w:val="004A4D2D"/>
    <w:rsid w:val="004F43A7"/>
    <w:rsid w:val="00546090"/>
    <w:rsid w:val="005934E2"/>
    <w:rsid w:val="005F7EAD"/>
    <w:rsid w:val="00683A2B"/>
    <w:rsid w:val="006A6459"/>
    <w:rsid w:val="006D0AFB"/>
    <w:rsid w:val="006E7C9C"/>
    <w:rsid w:val="007021A0"/>
    <w:rsid w:val="0071084D"/>
    <w:rsid w:val="00741C58"/>
    <w:rsid w:val="00793511"/>
    <w:rsid w:val="00851BF2"/>
    <w:rsid w:val="0089472A"/>
    <w:rsid w:val="008A1DBB"/>
    <w:rsid w:val="008C236A"/>
    <w:rsid w:val="009626CC"/>
    <w:rsid w:val="009D594A"/>
    <w:rsid w:val="009F0191"/>
    <w:rsid w:val="00A132C5"/>
    <w:rsid w:val="00A720C7"/>
    <w:rsid w:val="00AE2E97"/>
    <w:rsid w:val="00AF4351"/>
    <w:rsid w:val="00B1619C"/>
    <w:rsid w:val="00B41C85"/>
    <w:rsid w:val="00B445CD"/>
    <w:rsid w:val="00B45C51"/>
    <w:rsid w:val="00B51717"/>
    <w:rsid w:val="00BF31BF"/>
    <w:rsid w:val="00C12248"/>
    <w:rsid w:val="00C505B2"/>
    <w:rsid w:val="00CB1084"/>
    <w:rsid w:val="00D33DEF"/>
    <w:rsid w:val="00D86F78"/>
    <w:rsid w:val="00DD1E29"/>
    <w:rsid w:val="00DF60A5"/>
    <w:rsid w:val="00DF7242"/>
    <w:rsid w:val="00E162C8"/>
    <w:rsid w:val="00E52213"/>
    <w:rsid w:val="00E97CAF"/>
    <w:rsid w:val="00EA378B"/>
    <w:rsid w:val="00EA3989"/>
    <w:rsid w:val="00EC55E4"/>
    <w:rsid w:val="00ED0B06"/>
    <w:rsid w:val="00F34D83"/>
    <w:rsid w:val="00FA4BC2"/>
    <w:rsid w:val="00FD2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39FA0C00"/>
  <w15:chartTrackingRefBased/>
  <w15:docId w15:val="{721DD6BF-173B-5040-A785-C8201739B7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32C5"/>
    <w:pPr>
      <w:spacing w:after="200" w:line="276" w:lineRule="auto"/>
    </w:pPr>
    <w:rPr>
      <w:sz w:val="22"/>
      <w:szCs w:val="22"/>
      <w:lang w:val="sk-SK"/>
    </w:rPr>
  </w:style>
  <w:style w:type="paragraph" w:styleId="Heading2">
    <w:name w:val="heading 2"/>
    <w:basedOn w:val="Normal"/>
    <w:link w:val="Heading2Char"/>
    <w:uiPriority w:val="9"/>
    <w:qFormat/>
    <w:rsid w:val="009F019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B445CD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sk-SK"/>
    </w:rPr>
  </w:style>
  <w:style w:type="character" w:customStyle="1" w:styleId="Heading2Char">
    <w:name w:val="Heading 2 Char"/>
    <w:link w:val="Heading2"/>
    <w:uiPriority w:val="9"/>
    <w:rsid w:val="009F0191"/>
    <w:rPr>
      <w:rFonts w:ascii="Times New Roman" w:eastAsia="Times New Roman" w:hAnsi="Times New Roman"/>
      <w:b/>
      <w:bCs/>
      <w:sz w:val="36"/>
      <w:szCs w:val="36"/>
    </w:rPr>
  </w:style>
  <w:style w:type="character" w:styleId="Hyperlink">
    <w:name w:val="Hyperlink"/>
    <w:uiPriority w:val="99"/>
    <w:semiHidden/>
    <w:unhideWhenUsed/>
    <w:rsid w:val="009F0191"/>
    <w:rPr>
      <w:color w:val="0000FF"/>
      <w:u w:val="single"/>
    </w:rPr>
  </w:style>
  <w:style w:type="character" w:customStyle="1" w:styleId="int">
    <w:name w:val="int"/>
    <w:basedOn w:val="DefaultParagraphFont"/>
    <w:rsid w:val="009F0191"/>
  </w:style>
  <w:style w:type="character" w:customStyle="1" w:styleId="tl">
    <w:name w:val="tl"/>
    <w:basedOn w:val="DefaultParagraphFont"/>
    <w:rsid w:val="009F0191"/>
  </w:style>
  <w:style w:type="character" w:customStyle="1" w:styleId="ra">
    <w:name w:val="ra"/>
    <w:basedOn w:val="DefaultParagraphFont"/>
    <w:rsid w:val="009F0191"/>
  </w:style>
  <w:style w:type="paragraph" w:customStyle="1" w:styleId="bmkbot">
    <w:name w:val="bmkbot"/>
    <w:basedOn w:val="Normal"/>
    <w:rsid w:val="009F01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Header">
    <w:name w:val="header"/>
    <w:basedOn w:val="Normal"/>
    <w:link w:val="HeaderChar"/>
    <w:uiPriority w:val="99"/>
    <w:unhideWhenUsed/>
    <w:rsid w:val="00DF7242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DF7242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DF724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00DF7242"/>
    <w:rPr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F72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DF7242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84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90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86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79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0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94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412</Words>
  <Characters>2523</Characters>
  <Application>Microsoft Office Word</Application>
  <DocSecurity>0</DocSecurity>
  <Lines>76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</dc:creator>
  <cp:keywords/>
  <cp:lastModifiedBy>Amzler, Peter</cp:lastModifiedBy>
  <cp:revision>2</cp:revision>
  <cp:lastPrinted>2015-02-27T08:42:00Z</cp:lastPrinted>
  <dcterms:created xsi:type="dcterms:W3CDTF">2026-03-11T16:58:00Z</dcterms:created>
  <dcterms:modified xsi:type="dcterms:W3CDTF">2026-03-11T16:58:00Z</dcterms:modified>
</cp:coreProperties>
</file>