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828D3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</w:p>
    <w:p w14:paraId="26E65CE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  <w:caps/>
          <w:sz w:val="28"/>
          <w:szCs w:val="28"/>
        </w:rPr>
        <w:t>neinvestičnÝ fond</w:t>
      </w:r>
    </w:p>
    <w:p w14:paraId="6E861D9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</w:rPr>
      </w:pPr>
    </w:p>
    <w:p w14:paraId="2A29513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  <w:r>
        <w:rPr>
          <w:rFonts w:ascii="Times New Roman" w:hAnsi="Times New Roman"/>
          <w:b/>
          <w:caps/>
          <w:sz w:val="28"/>
          <w:szCs w:val="28"/>
          <w:u w:val="single"/>
        </w:rPr>
        <w:t xml:space="preserve">UMELECKÝ FOND VLADIMÍRA GÁLISA, </w:t>
      </w:r>
      <w:r>
        <w:rPr>
          <w:rFonts w:ascii="Times New Roman" w:hAnsi="Times New Roman"/>
          <w:b/>
          <w:sz w:val="28"/>
          <w:szCs w:val="28"/>
          <w:u w:val="single"/>
        </w:rPr>
        <w:t>n.f.</w:t>
      </w:r>
    </w:p>
    <w:p w14:paraId="463EAEB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 sídlom Bernolákova 6524/15, 080 01 Prešov</w:t>
      </w:r>
    </w:p>
    <w:p w14:paraId="7524C52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</w:p>
    <w:p w14:paraId="0C3ADD4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bCs/>
          <w:sz w:val="36"/>
          <w:szCs w:val="36"/>
        </w:rPr>
      </w:pPr>
      <w:r>
        <w:rPr>
          <w:rFonts w:ascii="Times New Roman" w:hAnsi="Times New Roman"/>
          <w:sz w:val="36"/>
          <w:szCs w:val="36"/>
        </w:rPr>
        <w:t>VÝROČNÁ SPRÁVA za rok 202</w:t>
      </w:r>
      <w:r>
        <w:rPr>
          <w:rFonts w:hint="default" w:ascii="Times New Roman" w:hAnsi="Times New Roman"/>
          <w:sz w:val="36"/>
          <w:szCs w:val="36"/>
          <w:lang w:val="en-US"/>
        </w:rPr>
        <w:t>5</w:t>
      </w:r>
    </w:p>
    <w:p w14:paraId="3917BEE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hd w:val="clear" w:color="auto" w:fill="B8CCE4" w:themeFill="accent1" w:themeFillTint="66"/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u w:val="single"/>
        </w:rPr>
      </w:pPr>
    </w:p>
    <w:p w14:paraId="4A165046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</w:p>
    <w:p w14:paraId="4CB91179">
      <w:pPr>
        <w:pStyle w:val="1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 w:eastAsia="Times New Roman"/>
          <w:sz w:val="24"/>
          <w:szCs w:val="24"/>
          <w:lang w:eastAsia="sk-SK"/>
        </w:rPr>
        <w:t>Prehľad činností vykonávaných v hodnotenom období s uvedením vzťahu k účelu fondu:</w:t>
      </w:r>
    </w:p>
    <w:p w14:paraId="3E9C8FC0">
      <w:pPr>
        <w:pStyle w:val="10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 w:eastAsia="Times New Roman"/>
          <w:sz w:val="24"/>
          <w:szCs w:val="24"/>
          <w:lang w:eastAsia="sk-SK"/>
        </w:rPr>
        <w:t>Fond v roku 202</w:t>
      </w:r>
      <w:r>
        <w:rPr>
          <w:rFonts w:hint="default" w:ascii="Times New Roman" w:hAnsi="Times New Roman" w:eastAsia="Times New Roman"/>
          <w:sz w:val="24"/>
          <w:szCs w:val="24"/>
          <w:lang w:val="en-US" w:eastAsia="sk-SK"/>
        </w:rPr>
        <w:t>5</w:t>
      </w:r>
      <w:r>
        <w:rPr>
          <w:rFonts w:ascii="Times New Roman" w:hAnsi="Times New Roman" w:eastAsia="Times New Roman"/>
          <w:sz w:val="24"/>
          <w:szCs w:val="24"/>
          <w:lang w:eastAsia="sk-SK"/>
        </w:rPr>
        <w:t xml:space="preserve"> nevykonával žiadnu činnosť, okrem prijatia daru od fyzickej osoby vo výške </w:t>
      </w:r>
      <w:r>
        <w:rPr>
          <w:rFonts w:hint="default" w:ascii="Times New Roman" w:hAnsi="Times New Roman" w:eastAsia="Times New Roman"/>
          <w:sz w:val="24"/>
          <w:szCs w:val="24"/>
          <w:lang w:val="en-US" w:eastAsia="sk-SK"/>
        </w:rPr>
        <w:t>230</w:t>
      </w:r>
      <w:r>
        <w:rPr>
          <w:rFonts w:ascii="Times New Roman" w:hAnsi="Times New Roman" w:eastAsia="Times New Roman"/>
          <w:sz w:val="24"/>
          <w:szCs w:val="24"/>
          <w:lang w:eastAsia="sk-SK"/>
        </w:rPr>
        <w:t xml:space="preserve">0,- € a poskytnutia príspevku fyzickej osobe vo výške </w:t>
      </w:r>
      <w:r>
        <w:rPr>
          <w:rFonts w:hint="default" w:ascii="Times New Roman" w:hAnsi="Times New Roman" w:eastAsia="Times New Roman"/>
          <w:sz w:val="24"/>
          <w:szCs w:val="24"/>
          <w:lang w:val="en-US" w:eastAsia="sk-SK"/>
        </w:rPr>
        <w:t>22</w:t>
      </w:r>
      <w:r>
        <w:rPr>
          <w:rFonts w:ascii="Times New Roman" w:hAnsi="Times New Roman" w:eastAsia="Times New Roman"/>
          <w:sz w:val="24"/>
          <w:szCs w:val="24"/>
          <w:lang w:eastAsia="sk-SK"/>
        </w:rPr>
        <w:t>50,- €.</w:t>
      </w:r>
    </w:p>
    <w:p w14:paraId="1F9208DE">
      <w:pPr>
        <w:spacing w:after="0" w:line="240" w:lineRule="auto"/>
        <w:jc w:val="center"/>
        <w:rPr>
          <w:rFonts w:ascii="Times New Roman" w:hAnsi="Times New Roman"/>
          <w:i/>
          <w:sz w:val="24"/>
          <w:szCs w:val="24"/>
        </w:rPr>
      </w:pPr>
    </w:p>
    <w:tbl>
      <w:tblPr>
        <w:tblStyle w:val="3"/>
        <w:tblW w:w="9214" w:type="dxa"/>
        <w:tblCellSpacing w:w="15" w:type="dxa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214"/>
      </w:tblGrid>
      <w:tr w14:paraId="370AB5E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9154" w:type="dxa"/>
            <w:vAlign w:val="center"/>
          </w:tcPr>
          <w:p w14:paraId="311EA645">
            <w:pPr>
              <w:pStyle w:val="10"/>
              <w:numPr>
                <w:ilvl w:val="0"/>
                <w:numId w:val="1"/>
              </w:numPr>
              <w:spacing w:after="0" w:line="240" w:lineRule="auto"/>
              <w:ind w:left="284" w:hanging="28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 xml:space="preserve">Ročná účtovná závierka a vyhodnotenie základných údajov v nej: </w:t>
            </w:r>
          </w:p>
          <w:p w14:paraId="15F1205D">
            <w:pPr>
              <w:pStyle w:val="10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Fond v roku 202</w:t>
            </w:r>
            <w:r>
              <w:rPr>
                <w:rFonts w:hint="default" w:ascii="Times New Roman" w:hAnsi="Times New Roman" w:eastAsia="Times New Roman"/>
                <w:sz w:val="24"/>
                <w:szCs w:val="24"/>
                <w:lang w:val="en-US" w:eastAsia="sk-SK"/>
              </w:rPr>
              <w:t>5</w:t>
            </w: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 xml:space="preserve"> prijal iba dar uvedený v bode 1 a vydal príspevok tiež uvedený v bode 1 tejto správy </w:t>
            </w:r>
          </w:p>
          <w:p w14:paraId="2AA12884">
            <w:pPr>
              <w:pStyle w:val="10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Účtovná závierka v systéme podvojného účtovníctva obsahuje údaj v riadku 061 vlastné imanie v sume rozdielu medzi darom a poskytnutým príspevkom vo výške 96</w:t>
            </w:r>
            <w:r>
              <w:rPr>
                <w:rFonts w:hint="default" w:ascii="Times New Roman" w:hAnsi="Times New Roman" w:eastAsia="Times New Roman"/>
                <w:sz w:val="24"/>
                <w:szCs w:val="24"/>
                <w:lang w:val="en-US" w:eastAsia="sk-SK"/>
              </w:rPr>
              <w:t>8</w:t>
            </w: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 xml:space="preserve"> €</w:t>
            </w:r>
          </w:p>
          <w:p w14:paraId="28265F04">
            <w:pPr>
              <w:pStyle w:val="10"/>
              <w:spacing w:after="0" w:line="240" w:lineRule="auto"/>
              <w:ind w:left="70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</w:p>
          <w:p w14:paraId="2E78EC96">
            <w:pPr>
              <w:pStyle w:val="10"/>
              <w:numPr>
                <w:ilvl w:val="0"/>
                <w:numId w:val="1"/>
              </w:numPr>
              <w:spacing w:after="0" w:line="240" w:lineRule="auto"/>
              <w:ind w:left="284" w:hanging="28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Prehľad o daroch a príspevkoch poskytnutých fondu</w:t>
            </w:r>
          </w:p>
          <w:p w14:paraId="6F55FB2A">
            <w:pPr>
              <w:pStyle w:val="10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 xml:space="preserve">Prijaté </w:t>
            </w:r>
            <w:r>
              <w:rPr>
                <w:rFonts w:hint="default" w:ascii="Times New Roman" w:hAnsi="Times New Roman" w:eastAsia="Times New Roman"/>
                <w:sz w:val="24"/>
                <w:szCs w:val="24"/>
                <w:lang w:val="en-US" w:eastAsia="sk-SK"/>
              </w:rPr>
              <w:t>230</w:t>
            </w: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0 €</w:t>
            </w:r>
          </w:p>
          <w:p w14:paraId="4F67BD82">
            <w:pPr>
              <w:pStyle w:val="10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 xml:space="preserve">Poskytnuté </w:t>
            </w:r>
            <w:r>
              <w:rPr>
                <w:rFonts w:hint="default" w:ascii="Times New Roman" w:hAnsi="Times New Roman" w:eastAsia="Times New Roman"/>
                <w:sz w:val="24"/>
                <w:szCs w:val="24"/>
                <w:lang w:val="en-US" w:eastAsia="sk-SK"/>
              </w:rPr>
              <w:t>22</w:t>
            </w: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50 €</w:t>
            </w:r>
          </w:p>
          <w:p w14:paraId="5310A703">
            <w:pPr>
              <w:pStyle w:val="10"/>
              <w:numPr>
                <w:ilvl w:val="0"/>
                <w:numId w:val="1"/>
              </w:numPr>
              <w:spacing w:after="0" w:line="240" w:lineRule="auto"/>
              <w:ind w:left="284" w:hanging="28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Prehľad príjmov podľa zdrojov a ich pôvodu:</w:t>
            </w:r>
          </w:p>
          <w:p w14:paraId="54134F6B">
            <w:pPr>
              <w:pStyle w:val="10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 xml:space="preserve">Dar FO z vlastných prostriedkov </w:t>
            </w:r>
            <w:r>
              <w:rPr>
                <w:rFonts w:hint="default" w:ascii="Times New Roman" w:hAnsi="Times New Roman" w:eastAsia="Times New Roman"/>
                <w:sz w:val="24"/>
                <w:szCs w:val="24"/>
                <w:lang w:val="en-US" w:eastAsia="sk-SK"/>
              </w:rPr>
              <w:t>22</w:t>
            </w: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50,- €</w:t>
            </w:r>
          </w:p>
          <w:p w14:paraId="101B0D17">
            <w:pPr>
              <w:pStyle w:val="10"/>
              <w:spacing w:after="0" w:line="240" w:lineRule="auto"/>
              <w:ind w:left="0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</w:p>
          <w:p w14:paraId="57D85719">
            <w:pPr>
              <w:pStyle w:val="10"/>
              <w:numPr>
                <w:ilvl w:val="0"/>
                <w:numId w:val="1"/>
              </w:numPr>
              <w:spacing w:after="0" w:line="240" w:lineRule="auto"/>
              <w:ind w:left="284" w:hanging="28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Stav majetku a záväzkov fondu k 31. decembru:</w:t>
            </w:r>
          </w:p>
          <w:p w14:paraId="37FB73BE">
            <w:pPr>
              <w:pStyle w:val="10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Majetok ........................96</w:t>
            </w:r>
            <w:r>
              <w:rPr>
                <w:rFonts w:hint="default" w:ascii="Times New Roman" w:hAnsi="Times New Roman" w:eastAsia="Times New Roman"/>
                <w:sz w:val="24"/>
                <w:szCs w:val="24"/>
                <w:lang w:val="en-US" w:eastAsia="sk-SK"/>
              </w:rPr>
              <w:t>8</w:t>
            </w: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,- €</w:t>
            </w:r>
          </w:p>
          <w:p w14:paraId="3CE04CC5">
            <w:pPr>
              <w:pStyle w:val="10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Záväzky.............................0,- €</w:t>
            </w:r>
          </w:p>
          <w:p w14:paraId="5D434AD8">
            <w:pPr>
              <w:pStyle w:val="10"/>
              <w:spacing w:after="0" w:line="240" w:lineRule="auto"/>
              <w:ind w:left="70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</w:p>
          <w:p w14:paraId="5F04BBF7">
            <w:pPr>
              <w:pStyle w:val="10"/>
              <w:numPr>
                <w:ilvl w:val="0"/>
                <w:numId w:val="1"/>
              </w:numPr>
              <w:spacing w:after="0" w:line="240" w:lineRule="auto"/>
              <w:ind w:left="284" w:hanging="28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Celkové výdavky v členení na výdavky podľa jednotlivých druhov činností fondu a osobitne výšku výdavkov na správu fondu:</w:t>
            </w:r>
          </w:p>
          <w:p w14:paraId="70E6E1E5">
            <w:pPr>
              <w:pStyle w:val="10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Žiadne</w:t>
            </w:r>
          </w:p>
          <w:p w14:paraId="232A1A41">
            <w:pPr>
              <w:pStyle w:val="10"/>
              <w:spacing w:after="0" w:line="240" w:lineRule="auto"/>
              <w:ind w:left="70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</w:p>
          <w:p w14:paraId="3E469578">
            <w:pPr>
              <w:pStyle w:val="10"/>
              <w:numPr>
                <w:ilvl w:val="0"/>
                <w:numId w:val="1"/>
              </w:numPr>
              <w:spacing w:after="0" w:line="240" w:lineRule="auto"/>
              <w:ind w:left="284" w:hanging="284"/>
              <w:jc w:val="both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Zmeny vykonané v štatúte a v zložení orgánov, ku ktorým došlo v hodnotenom období:</w:t>
            </w:r>
          </w:p>
          <w:p w14:paraId="7C4A8DC8">
            <w:pPr>
              <w:pStyle w:val="10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eastAsia="Times New Roman"/>
                <w:sz w:val="24"/>
                <w:szCs w:val="24"/>
                <w:lang w:eastAsia="sk-SK"/>
              </w:rPr>
              <w:t>Žiadne</w:t>
            </w:r>
          </w:p>
          <w:p w14:paraId="71286DD7">
            <w:pPr>
              <w:pStyle w:val="8"/>
              <w:shd w:val="clear" w:color="auto" w:fill="FFFFFF"/>
              <w:spacing w:before="0" w:beforeAutospacing="0" w:after="0" w:afterAutospacing="0"/>
              <w:contextualSpacing/>
              <w:jc w:val="both"/>
            </w:pPr>
          </w:p>
        </w:tc>
      </w:tr>
    </w:tbl>
    <w:p w14:paraId="1F0E062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3EB28B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Prešove dňa 1</w:t>
      </w:r>
      <w:r>
        <w:rPr>
          <w:rFonts w:hint="default" w:ascii="Times New Roman" w:hAnsi="Times New Roman"/>
          <w:sz w:val="24"/>
          <w:szCs w:val="24"/>
          <w:lang w:val="en-US"/>
        </w:rPr>
        <w:t>4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hint="default" w:ascii="Times New Roman" w:hAnsi="Times New Roman"/>
          <w:sz w:val="24"/>
          <w:szCs w:val="24"/>
          <w:lang w:val="en-US"/>
        </w:rPr>
        <w:t>03</w:t>
      </w:r>
      <w:r>
        <w:rPr>
          <w:rFonts w:ascii="Times New Roman" w:hAnsi="Times New Roman"/>
          <w:sz w:val="24"/>
          <w:szCs w:val="24"/>
        </w:rPr>
        <w:t>.202</w:t>
      </w:r>
      <w:r>
        <w:rPr>
          <w:rFonts w:hint="default" w:ascii="Times New Roman" w:hAnsi="Times New Roman"/>
          <w:sz w:val="24"/>
          <w:szCs w:val="24"/>
          <w:lang w:val="en-US"/>
        </w:rPr>
        <w:t>6</w:t>
      </w:r>
      <w:bookmarkStart w:id="0" w:name="_GoBack"/>
      <w:bookmarkEnd w:id="0"/>
    </w:p>
    <w:p w14:paraId="1B2D4D7B">
      <w:pPr>
        <w:spacing w:after="0" w:line="240" w:lineRule="auto"/>
        <w:jc w:val="both"/>
        <w:rPr>
          <w:rFonts w:ascii="Garamond" w:hAnsi="Garamond"/>
          <w:caps/>
        </w:rPr>
      </w:pPr>
      <w:r>
        <w:rPr>
          <w:rFonts w:ascii="Garamond" w:hAnsi="Garamond"/>
          <w:caps/>
        </w:rPr>
        <w:t xml:space="preserve">                                                                           </w:t>
      </w:r>
    </w:p>
    <w:p w14:paraId="50CFFA72">
      <w:pPr>
        <w:spacing w:after="0" w:line="240" w:lineRule="auto"/>
        <w:jc w:val="both"/>
        <w:rPr>
          <w:rFonts w:ascii="Garamond" w:hAnsi="Garamond"/>
          <w:caps/>
        </w:rPr>
      </w:pPr>
    </w:p>
    <w:p w14:paraId="69DDBCD6">
      <w:pPr>
        <w:spacing w:after="0" w:line="240" w:lineRule="auto"/>
        <w:jc w:val="both"/>
        <w:rPr>
          <w:rFonts w:ascii="Garamond" w:hAnsi="Garamond"/>
          <w:caps/>
        </w:rPr>
      </w:pPr>
    </w:p>
    <w:p w14:paraId="680EC19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Garamond" w:hAnsi="Garamond"/>
          <w:caps/>
        </w:rPr>
        <w:t xml:space="preserve">                                                                             </w:t>
      </w:r>
      <w:r>
        <w:rPr>
          <w:rFonts w:ascii="Times New Roman" w:hAnsi="Times New Roman"/>
          <w:caps/>
          <w:sz w:val="24"/>
          <w:szCs w:val="24"/>
        </w:rPr>
        <w:t xml:space="preserve">umelecký fond vladimíra gálisa, </w:t>
      </w:r>
      <w:r>
        <w:rPr>
          <w:rFonts w:ascii="Times New Roman" w:hAnsi="Times New Roman"/>
          <w:sz w:val="24"/>
          <w:szCs w:val="24"/>
        </w:rPr>
        <w:t>n.f.</w:t>
      </w:r>
    </w:p>
    <w:p w14:paraId="2B11441B">
      <w:pPr>
        <w:pStyle w:val="9"/>
        <w:rPr>
          <w:rFonts w:ascii="Times New Roman" w:hAnsi="Times New Roman"/>
          <w:b w:val="0"/>
          <w:bCs/>
          <w:sz w:val="24"/>
          <w:szCs w:val="24"/>
        </w:rPr>
      </w:pPr>
      <w:r>
        <w:rPr>
          <w:rFonts w:ascii="Times New Roman" w:hAnsi="Times New Roman"/>
          <w:b w:val="0"/>
          <w:bCs/>
          <w:sz w:val="24"/>
          <w:szCs w:val="24"/>
        </w:rPr>
        <w:t xml:space="preserve">                                                                       Štatutárny orgán: Mgr. Zuzana Ličková, správca</w:t>
      </w:r>
    </w:p>
    <w:p w14:paraId="53E209A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0E68DDD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</w:p>
    <w:sectPr>
      <w:footerReference r:id="rId5" w:type="default"/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5543468"/>
      <w:docPartObj>
        <w:docPartGallery w:val="AutoText"/>
      </w:docPartObj>
    </w:sdtPr>
    <w:sdtContent>
      <w:p w14:paraId="6953E778">
        <w:pPr>
          <w:pStyle w:val="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6</w:t>
        </w:r>
        <w:r>
          <w:fldChar w:fldCharType="end"/>
        </w:r>
      </w:p>
    </w:sdtContent>
  </w:sdt>
  <w:p w14:paraId="52E3CA3F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BF6EE2"/>
    <w:multiLevelType w:val="multilevel"/>
    <w:tmpl w:val="5FBF6EE2"/>
    <w:lvl w:ilvl="0" w:tentative="0">
      <w:start w:val="1"/>
      <w:numFmt w:val="decimal"/>
      <w:lvlText w:val="%1."/>
      <w:lvlJc w:val="left"/>
      <w:pPr>
        <w:ind w:left="720" w:hanging="360"/>
      </w:pPr>
      <w:rPr>
        <w:i w:val="0"/>
        <w:i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5A7174"/>
    <w:multiLevelType w:val="multilevel"/>
    <w:tmpl w:val="7F5A7174"/>
    <w:lvl w:ilvl="0" w:tentative="0">
      <w:start w:val="8"/>
      <w:numFmt w:val="bullet"/>
      <w:lvlText w:val="-"/>
      <w:lvlJc w:val="left"/>
      <w:pPr>
        <w:ind w:left="704" w:hanging="360"/>
      </w:pPr>
      <w:rPr>
        <w:rFonts w:hint="default" w:ascii="Times New Roman" w:hAnsi="Times New Roman" w:eastAsia="Times New Roman" w:cs="Times New Roman"/>
        <w:i w:val="0"/>
      </w:rPr>
    </w:lvl>
    <w:lvl w:ilvl="1" w:tentative="0">
      <w:start w:val="1"/>
      <w:numFmt w:val="bullet"/>
      <w:lvlText w:val="o"/>
      <w:lvlJc w:val="left"/>
      <w:pPr>
        <w:ind w:left="1424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44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64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84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04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24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44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64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E81"/>
    <w:rsid w:val="000004FF"/>
    <w:rsid w:val="00005257"/>
    <w:rsid w:val="000234BD"/>
    <w:rsid w:val="00024AE1"/>
    <w:rsid w:val="00024CAD"/>
    <w:rsid w:val="00041CB5"/>
    <w:rsid w:val="00047715"/>
    <w:rsid w:val="00050210"/>
    <w:rsid w:val="000634CF"/>
    <w:rsid w:val="00081D02"/>
    <w:rsid w:val="00083507"/>
    <w:rsid w:val="00085DA3"/>
    <w:rsid w:val="000920C2"/>
    <w:rsid w:val="000C4430"/>
    <w:rsid w:val="000C6EBD"/>
    <w:rsid w:val="000D5995"/>
    <w:rsid w:val="000D64AA"/>
    <w:rsid w:val="000F55C3"/>
    <w:rsid w:val="000F58B8"/>
    <w:rsid w:val="00100919"/>
    <w:rsid w:val="00100AB3"/>
    <w:rsid w:val="00102C7D"/>
    <w:rsid w:val="00104D65"/>
    <w:rsid w:val="001159F4"/>
    <w:rsid w:val="00122303"/>
    <w:rsid w:val="0013374A"/>
    <w:rsid w:val="00171D82"/>
    <w:rsid w:val="001724CF"/>
    <w:rsid w:val="00177C77"/>
    <w:rsid w:val="0018290C"/>
    <w:rsid w:val="0019530F"/>
    <w:rsid w:val="001A0234"/>
    <w:rsid w:val="001A12E2"/>
    <w:rsid w:val="001C4427"/>
    <w:rsid w:val="001C4658"/>
    <w:rsid w:val="00203BDE"/>
    <w:rsid w:val="00207C50"/>
    <w:rsid w:val="00211AD7"/>
    <w:rsid w:val="002155F6"/>
    <w:rsid w:val="002247F0"/>
    <w:rsid w:val="002452E5"/>
    <w:rsid w:val="00246F03"/>
    <w:rsid w:val="00250D8A"/>
    <w:rsid w:val="002A6E06"/>
    <w:rsid w:val="002C5CE9"/>
    <w:rsid w:val="002C63CD"/>
    <w:rsid w:val="002C6A4F"/>
    <w:rsid w:val="002C71EB"/>
    <w:rsid w:val="002E212A"/>
    <w:rsid w:val="002E7549"/>
    <w:rsid w:val="003001F4"/>
    <w:rsid w:val="00300971"/>
    <w:rsid w:val="003033B5"/>
    <w:rsid w:val="003039D0"/>
    <w:rsid w:val="00305FD1"/>
    <w:rsid w:val="00306C61"/>
    <w:rsid w:val="00320DA9"/>
    <w:rsid w:val="00321A99"/>
    <w:rsid w:val="00346168"/>
    <w:rsid w:val="003470A9"/>
    <w:rsid w:val="00356993"/>
    <w:rsid w:val="00372BD9"/>
    <w:rsid w:val="003828C4"/>
    <w:rsid w:val="003D6013"/>
    <w:rsid w:val="003E045E"/>
    <w:rsid w:val="003E19B5"/>
    <w:rsid w:val="003E235D"/>
    <w:rsid w:val="003E2381"/>
    <w:rsid w:val="00402275"/>
    <w:rsid w:val="004052DC"/>
    <w:rsid w:val="00412BDE"/>
    <w:rsid w:val="00420B55"/>
    <w:rsid w:val="00420EC3"/>
    <w:rsid w:val="00435830"/>
    <w:rsid w:val="0044073F"/>
    <w:rsid w:val="00447B28"/>
    <w:rsid w:val="00462990"/>
    <w:rsid w:val="004760DD"/>
    <w:rsid w:val="00494C43"/>
    <w:rsid w:val="00497901"/>
    <w:rsid w:val="004A7436"/>
    <w:rsid w:val="004B20C0"/>
    <w:rsid w:val="004C27E9"/>
    <w:rsid w:val="0052158D"/>
    <w:rsid w:val="005520CD"/>
    <w:rsid w:val="00573685"/>
    <w:rsid w:val="005850D0"/>
    <w:rsid w:val="005956AF"/>
    <w:rsid w:val="005D25CC"/>
    <w:rsid w:val="005D2792"/>
    <w:rsid w:val="005E03D2"/>
    <w:rsid w:val="005E7CD1"/>
    <w:rsid w:val="00614212"/>
    <w:rsid w:val="006437EE"/>
    <w:rsid w:val="00644390"/>
    <w:rsid w:val="006818F8"/>
    <w:rsid w:val="00691E17"/>
    <w:rsid w:val="00693C72"/>
    <w:rsid w:val="006E038E"/>
    <w:rsid w:val="006E134A"/>
    <w:rsid w:val="006E41CB"/>
    <w:rsid w:val="006F07D2"/>
    <w:rsid w:val="00702941"/>
    <w:rsid w:val="00715E81"/>
    <w:rsid w:val="007437EC"/>
    <w:rsid w:val="00750984"/>
    <w:rsid w:val="007746EE"/>
    <w:rsid w:val="00777117"/>
    <w:rsid w:val="00786079"/>
    <w:rsid w:val="007A6EAC"/>
    <w:rsid w:val="007B1C1C"/>
    <w:rsid w:val="007B2A26"/>
    <w:rsid w:val="007C14E2"/>
    <w:rsid w:val="007D2700"/>
    <w:rsid w:val="007D7848"/>
    <w:rsid w:val="007E52DE"/>
    <w:rsid w:val="007F6681"/>
    <w:rsid w:val="00815DDA"/>
    <w:rsid w:val="0082775D"/>
    <w:rsid w:val="00841D9A"/>
    <w:rsid w:val="00845A38"/>
    <w:rsid w:val="008469DB"/>
    <w:rsid w:val="00853431"/>
    <w:rsid w:val="00861B80"/>
    <w:rsid w:val="008740F4"/>
    <w:rsid w:val="00876829"/>
    <w:rsid w:val="00877C15"/>
    <w:rsid w:val="00893A81"/>
    <w:rsid w:val="00896F5A"/>
    <w:rsid w:val="008A2164"/>
    <w:rsid w:val="008B4BFD"/>
    <w:rsid w:val="008C5E7D"/>
    <w:rsid w:val="008C6801"/>
    <w:rsid w:val="008E7878"/>
    <w:rsid w:val="009005A5"/>
    <w:rsid w:val="009167EE"/>
    <w:rsid w:val="00951193"/>
    <w:rsid w:val="009550FC"/>
    <w:rsid w:val="009563F2"/>
    <w:rsid w:val="00975261"/>
    <w:rsid w:val="00987E2A"/>
    <w:rsid w:val="009A1EC3"/>
    <w:rsid w:val="009B01A7"/>
    <w:rsid w:val="009B5655"/>
    <w:rsid w:val="009B7C93"/>
    <w:rsid w:val="009D2DAD"/>
    <w:rsid w:val="009D6C6B"/>
    <w:rsid w:val="009F4384"/>
    <w:rsid w:val="00A17708"/>
    <w:rsid w:val="00A24A58"/>
    <w:rsid w:val="00A32BBF"/>
    <w:rsid w:val="00A330BE"/>
    <w:rsid w:val="00A50044"/>
    <w:rsid w:val="00A57F2C"/>
    <w:rsid w:val="00A76891"/>
    <w:rsid w:val="00A81CBC"/>
    <w:rsid w:val="00A83E45"/>
    <w:rsid w:val="00A847BF"/>
    <w:rsid w:val="00AA3978"/>
    <w:rsid w:val="00AA41E3"/>
    <w:rsid w:val="00AD3A6B"/>
    <w:rsid w:val="00AD492D"/>
    <w:rsid w:val="00B035D9"/>
    <w:rsid w:val="00B344A3"/>
    <w:rsid w:val="00B52AB8"/>
    <w:rsid w:val="00B53EDF"/>
    <w:rsid w:val="00B60DD1"/>
    <w:rsid w:val="00B66B91"/>
    <w:rsid w:val="00B70106"/>
    <w:rsid w:val="00B7600F"/>
    <w:rsid w:val="00BA5E3A"/>
    <w:rsid w:val="00BC16A3"/>
    <w:rsid w:val="00BC40FC"/>
    <w:rsid w:val="00BD3F29"/>
    <w:rsid w:val="00BD69F7"/>
    <w:rsid w:val="00BE743B"/>
    <w:rsid w:val="00BF5669"/>
    <w:rsid w:val="00C049FD"/>
    <w:rsid w:val="00C46130"/>
    <w:rsid w:val="00C503E4"/>
    <w:rsid w:val="00C56756"/>
    <w:rsid w:val="00C74D9F"/>
    <w:rsid w:val="00CA16B4"/>
    <w:rsid w:val="00CA44A7"/>
    <w:rsid w:val="00CB1D86"/>
    <w:rsid w:val="00CC37BA"/>
    <w:rsid w:val="00CD7EF7"/>
    <w:rsid w:val="00D12933"/>
    <w:rsid w:val="00D457A4"/>
    <w:rsid w:val="00D67913"/>
    <w:rsid w:val="00D76057"/>
    <w:rsid w:val="00DA76E7"/>
    <w:rsid w:val="00DC4ADF"/>
    <w:rsid w:val="00DD5C52"/>
    <w:rsid w:val="00DD66B3"/>
    <w:rsid w:val="00DE5158"/>
    <w:rsid w:val="00DF42A9"/>
    <w:rsid w:val="00DF5AB5"/>
    <w:rsid w:val="00E0106D"/>
    <w:rsid w:val="00E3189B"/>
    <w:rsid w:val="00E35756"/>
    <w:rsid w:val="00E41910"/>
    <w:rsid w:val="00E51F32"/>
    <w:rsid w:val="00E64BF3"/>
    <w:rsid w:val="00E64FFA"/>
    <w:rsid w:val="00E76EFF"/>
    <w:rsid w:val="00E81B45"/>
    <w:rsid w:val="00E83503"/>
    <w:rsid w:val="00E84076"/>
    <w:rsid w:val="00EA67D5"/>
    <w:rsid w:val="00EB6AA7"/>
    <w:rsid w:val="00EC0B92"/>
    <w:rsid w:val="00EF239B"/>
    <w:rsid w:val="00EF2C57"/>
    <w:rsid w:val="00F01F72"/>
    <w:rsid w:val="00F16899"/>
    <w:rsid w:val="00F24DFE"/>
    <w:rsid w:val="00F344D5"/>
    <w:rsid w:val="00F6134D"/>
    <w:rsid w:val="00F70BD7"/>
    <w:rsid w:val="00F724B0"/>
    <w:rsid w:val="00F8762C"/>
    <w:rsid w:val="00FA1911"/>
    <w:rsid w:val="00FC68D3"/>
    <w:rsid w:val="00FD27B0"/>
    <w:rsid w:val="00FD37C0"/>
    <w:rsid w:val="00FD7A46"/>
    <w:rsid w:val="00FD7C78"/>
    <w:rsid w:val="00FE0779"/>
    <w:rsid w:val="00FE67ED"/>
    <w:rsid w:val="00FF1600"/>
    <w:rsid w:val="43F97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Calibri" w:cs="Times New Roman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  <w:spacing w:after="0" w:line="240" w:lineRule="auto"/>
    </w:pPr>
  </w:style>
  <w:style w:type="character" w:styleId="6">
    <w:name w:val="HTML Variable"/>
    <w:basedOn w:val="2"/>
    <w:semiHidden/>
    <w:unhideWhenUsed/>
    <w:uiPriority w:val="99"/>
    <w:rPr>
      <w:i/>
      <w:iCs/>
    </w:rPr>
  </w:style>
  <w:style w:type="character" w:styleId="7">
    <w:name w:val="Hyperlink"/>
    <w:basedOn w:val="2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8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9">
    <w:name w:val="Title"/>
    <w:basedOn w:val="1"/>
    <w:link w:val="16"/>
    <w:qFormat/>
    <w:locked/>
    <w:uiPriority w:val="0"/>
    <w:pPr>
      <w:spacing w:after="0" w:line="240" w:lineRule="auto"/>
      <w:jc w:val="center"/>
    </w:pPr>
    <w:rPr>
      <w:rFonts w:ascii="Arial" w:hAnsi="Arial" w:eastAsia="Times New Roman"/>
      <w:b/>
      <w:sz w:val="28"/>
      <w:szCs w:val="20"/>
      <w:lang w:eastAsia="cs-CZ"/>
    </w:rPr>
  </w:style>
  <w:style w:type="paragraph" w:styleId="10">
    <w:name w:val="List Paragraph"/>
    <w:basedOn w:val="1"/>
    <w:qFormat/>
    <w:uiPriority w:val="34"/>
    <w:pPr>
      <w:ind w:left="720"/>
      <w:contextualSpacing/>
    </w:pPr>
  </w:style>
  <w:style w:type="character" w:customStyle="1" w:styleId="11">
    <w:name w:val="ra"/>
    <w:basedOn w:val="2"/>
    <w:uiPriority w:val="99"/>
    <w:rPr>
      <w:rFonts w:cs="Times New Roman"/>
    </w:rPr>
  </w:style>
  <w:style w:type="character" w:customStyle="1" w:styleId="12">
    <w:name w:val="Header Char"/>
    <w:basedOn w:val="2"/>
    <w:link w:val="5"/>
    <w:uiPriority w:val="99"/>
    <w:rPr>
      <w:sz w:val="22"/>
      <w:szCs w:val="22"/>
      <w:lang w:eastAsia="en-US"/>
    </w:rPr>
  </w:style>
  <w:style w:type="character" w:customStyle="1" w:styleId="13">
    <w:name w:val="Footer Char"/>
    <w:basedOn w:val="2"/>
    <w:link w:val="4"/>
    <w:qFormat/>
    <w:uiPriority w:val="99"/>
    <w:rPr>
      <w:sz w:val="22"/>
      <w:szCs w:val="22"/>
      <w:lang w:eastAsia="en-US"/>
    </w:rPr>
  </w:style>
  <w:style w:type="character" w:customStyle="1" w:styleId="14">
    <w:name w:val="popis"/>
    <w:basedOn w:val="2"/>
    <w:qFormat/>
    <w:uiPriority w:val="0"/>
  </w:style>
  <w:style w:type="paragraph" w:customStyle="1" w:styleId="15">
    <w:name w:val="border-top"/>
    <w:basedOn w:val="1"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sk-SK"/>
    </w:rPr>
  </w:style>
  <w:style w:type="character" w:customStyle="1" w:styleId="16">
    <w:name w:val="Title Char"/>
    <w:basedOn w:val="2"/>
    <w:link w:val="9"/>
    <w:qFormat/>
    <w:uiPriority w:val="0"/>
    <w:rPr>
      <w:rFonts w:ascii="Arial" w:hAnsi="Arial" w:eastAsia="Times New Roman"/>
      <w:b/>
      <w:sz w:val="28"/>
      <w:lang w:eastAsia="cs-CZ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8C9D3-59AE-4517-9456-17E2DBF064C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1</Pages>
  <Words>201</Words>
  <Characters>1111</Characters>
  <Lines>11</Lines>
  <Paragraphs>3</Paragraphs>
  <TotalTime>14</TotalTime>
  <ScaleCrop>false</ScaleCrop>
  <LinksUpToDate>false</LinksUpToDate>
  <CharactersWithSpaces>1605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2025-12-30T07:30:00Z</dcterms:created>
  <dc:creator>Lenovo</dc:creator>
  <cp:lastModifiedBy>marek gehry</cp:lastModifiedBy>
  <cp:lastPrinted>2013-11-20T13:30:00Z</cp:lastPrinted>
  <dcterms:modified xsi:type="dcterms:W3CDTF">2026-03-14T13:41:42Z</dcterms:modified>
  <dc:title>STANOVY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eyJoZGlkIjoiYTEwMTc3YjIwMTU4OGVmZWFmYzlhMDdhYWQyNjdiN2MiLCJ1c2VySWQiOiI5MzYzNDQxMzQwMzk5In0=</vt:lpwstr>
  </property>
  <property fmtid="{D5CDD505-2E9C-101B-9397-08002B2CF9AE}" pid="3" name="KSOProductBuildVer">
    <vt:lpwstr>1033-12.1.0.25242</vt:lpwstr>
  </property>
  <property fmtid="{D5CDD505-2E9C-101B-9397-08002B2CF9AE}" pid="4" name="ICV">
    <vt:lpwstr>D507B1687E6841E89A9ADC5B48A2D698_13</vt:lpwstr>
  </property>
</Properties>
</file>