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4"/>
          <w:szCs w:val="24"/>
          <w:u w:val="single"/>
          <w:lang w:eastAsia="sk-SK"/>
        </w:rPr>
      </w:pPr>
      <w:r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0"/>
          <w:szCs w:val="24"/>
          <w:u w:val="single"/>
          <w:lang w:eastAsia="sk-SK"/>
        </w:rPr>
      </w:pPr>
      <w:r>
        <w:rPr>
          <w:rFonts w:cs="Arial"/>
          <w:b/>
          <w:bCs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8"/>
        <w:gridCol w:w="7083"/>
      </w:tblGrid>
      <w:tr>
        <w:trPr>
          <w:trHeight w:val="110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REDPEN s. r. o.</w:t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Štefánikova 334/202,  941 11  Plaárikovo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Dátum schválenia účtovnej závierky za bezprostredne predchádzajúce účtovné obdobie dňa </w:t>
      </w:r>
      <w:r>
        <w:rPr>
          <w:rFonts w:cs="Arial"/>
          <w:color w:val="C00000"/>
          <w:sz w:val="20"/>
          <w:szCs w:val="24"/>
          <w:lang w:eastAsia="sk-SK"/>
        </w:rPr>
        <w:t>22. 03. 2025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Právny dôvod zostavenia účtovnej závierky, účtovná závierka  k 31. 12. Je zostavená ako riadna účtovná závierka podľa § 47 ods. 6 zákona NR SR č. 431/2002 Z. z. o účtovníctve za účtovné obdobie od januára do decembra 202</w:t>
      </w:r>
      <w:r>
        <w:rPr>
          <w:rFonts w:cs="Arial"/>
          <w:color w:val="C00000"/>
          <w:sz w:val="20"/>
          <w:szCs w:val="24"/>
          <w:lang w:eastAsia="sk-SK"/>
        </w:rPr>
        <w:t>5</w:t>
      </w:r>
      <w:r>
        <w:rPr>
          <w:rFonts w:cs="Arial"/>
          <w:color w:val="C00000"/>
          <w:sz w:val="20"/>
          <w:szCs w:val="24"/>
          <w:lang w:eastAsia="sk-SK"/>
        </w:rPr>
        <w:t xml:space="preserve"> k poslednému dňu kalendárneho roka 202</w:t>
      </w:r>
      <w:r>
        <w:rPr>
          <w:rFonts w:cs="Arial"/>
          <w:color w:val="C00000"/>
          <w:sz w:val="20"/>
          <w:szCs w:val="24"/>
          <w:lang w:eastAsia="sk-SK"/>
        </w:rPr>
        <w:t>5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3"/>
        <w:gridCol w:w="3402"/>
        <w:gridCol w:w="2809"/>
        <w:gridCol w:w="1549"/>
        <w:gridCol w:w="318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Právny dôvod na zostavenie účtovnej závierky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ListParagraph"/>
        <w:rPr>
          <w:rFonts w:cs="Arial"/>
          <w:color w:val="C00000"/>
          <w:sz w:val="20"/>
          <w:szCs w:val="24"/>
          <w:u w:val="single"/>
          <w:lang w:eastAsia="sk-SK"/>
        </w:rPr>
      </w:pPr>
      <w:r>
        <w:rPr>
          <w:rFonts w:cs="Arial"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>
        <w:rPr>
          <w:rFonts w:cs="Arial"/>
          <w:sz w:val="20"/>
          <w:szCs w:val="24"/>
          <w:lang w:eastAsia="sk-SK"/>
        </w:rPr>
        <w:t xml:space="preserve"> napríklad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alebo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priemerný prepočítaný počet zamestnancov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47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775"/>
        <w:gridCol w:w="6476"/>
        <w:gridCol w:w="1276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val="x-none" w:eastAsia="x-none"/>
        </w:rPr>
      </w:pPr>
      <w:r>
        <w:rPr>
          <w:rFonts w:cs="Arial"/>
          <w:sz w:val="20"/>
          <w:szCs w:val="24"/>
          <w:lang w:val="x-none" w:eastAsia="x-none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Napríklad: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Obstarávacou cenou – </w:t>
            </w:r>
            <w:r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s výnimkou 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s výnimkou zásob vytvorených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podiely na ZI obchodných spoločností,  cenné papiere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pohľadávky pri odplatnom nadobudnutí alebo pohľadávky nadobudnuté vkladom do ZI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5. nehmotný majetok s výnimkou nehmotného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6. záväzky pri ich prevzatí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vytvorené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nehmotný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príchovky a prírastky zvierat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peňažné prostriedky a ceniny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pohľadávky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záväzky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  <w:t>Spôsob ocenenia: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Úbytok zásob rovnakého druhu sa účtuje v ocenení: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Pri vyskladnení sa VON rozpúšťajú nasledovne :VON/(PS zásob + príjem zásob) x výdaj  zásob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Výdavky budúcich období a príjmy budúcich období  sa vykazujú vo výške, ktorá je potrebná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rovnajúcom istine a náklady súvisiace s obstaraním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15 %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Náklady a výnosy časovo rozlišujú. Časovo sa ne nerozlišujú náklady a výnosy, ak ide o nevýznamný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majetku  a dlhodobého nehmotného majetku,doba odpisovania, použité sadzby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7"/>
        <w:gridCol w:w="1668"/>
        <w:gridCol w:w="337"/>
      </w:tblGrid>
      <w:tr>
        <w:trPr/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1018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/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81"/>
        <w:gridCol w:w="1057"/>
        <w:gridCol w:w="1300"/>
        <w:gridCol w:w="1205"/>
        <w:gridCol w:w="1123"/>
        <w:gridCol w:w="1505"/>
      </w:tblGrid>
      <w:tr>
        <w:trPr/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Odpisová skupina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Osobný automobil TOYOTA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MOTOCYKEL HONDA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TOYOTA CRUISER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4 roky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73"/>
        <w:gridCol w:w="5816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 podľa opodstatneného predpokladu zníženia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>a výsledku hospodárenia ÚJ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87"/>
        <w:gridCol w:w="821"/>
        <w:gridCol w:w="293"/>
        <w:gridCol w:w="577"/>
        <w:gridCol w:w="294"/>
      </w:tblGrid>
      <w:tr>
        <w:trPr>
          <w:trHeight w:val="340" w:hRule="exact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Zmeny účtovných zásad a metód + konkrétny popis zmien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81"/>
        <w:gridCol w:w="2857"/>
        <w:gridCol w:w="1134"/>
      </w:tblGrid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účtovnom období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1"/>
        <w:gridCol w:w="998"/>
        <w:gridCol w:w="851"/>
        <w:gridCol w:w="2123"/>
        <w:gridCol w:w="2555"/>
      </w:tblGrid>
      <w:tr>
        <w:trPr/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color w:val="C00000"/>
          <w:szCs w:val="22"/>
          <w:u w:val="single"/>
        </w:rPr>
      </w:pPr>
      <w:r>
        <w:rPr>
          <w:color w:val="C00000"/>
          <w:szCs w:val="22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97"/>
        <w:gridCol w:w="4181"/>
        <w:gridCol w:w="1420"/>
      </w:tblGrid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Popis nákladov ,výnosov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73"/>
        <w:gridCol w:w="1398"/>
      </w:tblGrid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57" w:hanging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57" w:hanging="0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"/>
          <w:bCs/>
          <w:kern w:val="2"/>
          <w:sz w:val="20"/>
          <w:szCs w:val="24"/>
        </w:rPr>
        <w:t>uvádza  sa aj ich percentuálny podiel na upísanom základnom imaní.</w:t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</w:t>
      </w:r>
      <w:r>
        <w:rPr>
          <w:rFonts w:cs="Arial"/>
          <w:sz w:val="20"/>
          <w:szCs w:val="24"/>
          <w:lang w:eastAsia="sk-SK"/>
        </w:rPr>
        <w:t xml:space="preserve"> o </w:t>
      </w:r>
    </w:p>
    <w:p>
      <w:pPr>
        <w:pStyle w:val="Normal"/>
        <w:spacing w:lineRule="auto" w:line="240" w:before="0" w:after="0"/>
        <w:ind w:left="720" w:hanging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38"/>
        <w:gridCol w:w="11"/>
        <w:gridCol w:w="1705"/>
        <w:gridCol w:w="272"/>
        <w:gridCol w:w="717"/>
        <w:gridCol w:w="984"/>
        <w:gridCol w:w="151"/>
        <w:gridCol w:w="144"/>
        <w:gridCol w:w="1276"/>
      </w:tblGrid>
      <w:tr>
        <w:trPr>
          <w:trHeight w:val="57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Výška jednotlivých druhov záruk alebo iných zabezpečení pre členov štatutárneho orgánu, dozorného orgánu a iného orgánu ÚJ</w:t>
            </w:r>
          </w:p>
        </w:tc>
      </w:tr>
      <w:tr>
        <w:trPr>
          <w:trHeight w:val="57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 povinnostiach účtovnej jednotky, a to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1276" w:hanging="567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podmieneného majetku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/>
          <w:b/>
          <w:sz w:val="20"/>
          <w:szCs w:val="24"/>
          <w:lang w:eastAsia="sk-SK"/>
        </w:rPr>
      </w:pPr>
      <w:bookmarkStart w:id="1" w:name="OLE_LINK1"/>
      <w:r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>
      <w:pPr>
        <w:pStyle w:val="Normal"/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formách prijatej náhrady,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účtovných zásadách použitých pri prideľovaní nákladov a výnosov,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druhoch činností účtovnej jednotky.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0"/>
          <w:szCs w:val="24"/>
          <w:u w:val="single"/>
          <w:lang w:eastAsia="sk-SK"/>
        </w:rPr>
      </w:pPr>
      <w:r>
        <w:rPr>
          <w:rFonts w:cs="Arial"/>
          <w:b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u w:val="single"/>
          <w:lang w:eastAsia="sk-SK"/>
        </w:rPr>
        <w:t>Všeobecné pokyny na uvedenie informácií v poznámkach</w:t>
      </w:r>
      <w:r>
        <w:rPr>
          <w:rFonts w:cs="Arial"/>
          <w:szCs w:val="22"/>
          <w:lang w:eastAsia="sk-SK"/>
        </w:rPr>
        <w:t>:</w:t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 poznámkach sa číselné údaje uvádzajú v celých eurách.</w:t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Použité  skratky: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ÚJ-účtovná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BO-bežné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PO-bezprostredne predchádzajúce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X-položka sa vzťahuje na účtovnú jednotku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EUAlbertina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rPr/>
    </w:pPr>
    <w:r>
      <w:rPr/>
    </w:r>
  </w:p>
  <w:tbl>
    <w:tblPr>
      <w:tblW w:w="8957" w:type="dxa"/>
      <w:jc w:val="left"/>
      <w:tblInd w:w="93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2241"/>
      <w:gridCol w:w="1700"/>
      <w:gridCol w:w="2413"/>
      <w:gridCol w:w="446"/>
      <w:gridCol w:w="2157"/>
    </w:tblGrid>
    <w:tr>
      <w:trPr>
        <w:trHeight w:val="326" w:hRule="atLeast"/>
      </w:trPr>
      <w:tc>
        <w:tcPr>
          <w:tcW w:w="2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Zhlavie"/>
            <w:widowControl w:val="false"/>
            <w:rPr/>
          </w:pPr>
          <w:r>
            <w:rPr/>
            <w:t>Poznámky Úč POD 3-01</w:t>
          </w:r>
        </w:p>
      </w:tc>
      <w:tc>
        <w:tcPr>
          <w:tcW w:w="1700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41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IČO:50771302</w:t>
          </w:r>
        </w:p>
      </w:tc>
      <w:tc>
        <w:tcPr>
          <w:tcW w:w="446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DIČ:2120554656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2"/>
        <w:szCs w:val="22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841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291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87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03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3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7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3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9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4" w:hanging="180"/>
      </w:pPr>
      <w:rPr/>
    </w:lvl>
  </w:abstractNum>
  <w:abstractNum w:abstractNumId="8">
    <w:lvl w:ilvl="0">
      <w:start w:val="1"/>
      <w:numFmt w:val="upperLetter"/>
      <w:lvlText w:val="%1)"/>
      <w:lvlJc w:val="left"/>
      <w:pPr>
        <w:tabs>
          <w:tab w:val="num" w:pos="0"/>
        </w:tabs>
        <w:ind w:left="149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199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uiPriority w:val="99"/>
    <w:qFormat/>
    <w:locked/>
    <w:rsid w:val="00107589"/>
    <w:rPr>
      <w:rFonts w:cs="Times New Roman"/>
    </w:rPr>
  </w:style>
  <w:style w:type="character" w:styleId="TextpoznmkypodiarouChar128" w:customStyle="1">
    <w:name w:val="Text poznámky pod čiarou Char128"/>
    <w:uiPriority w:val="99"/>
    <w:semiHidden/>
    <w:qFormat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uiPriority w:val="99"/>
    <w:semiHidden/>
    <w:qFormat/>
    <w:locked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qFormat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Pr>
      <w:rFonts w:cs="Times New Roman"/>
      <w:sz w:val="20"/>
      <w:szCs w:val="20"/>
    </w:rPr>
  </w:style>
  <w:style w:type="character" w:styleId="NzovChar128" w:customStyle="1">
    <w:name w:val="Názov Char12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 w:customStyle="1">
    <w:name w:val="Názov Char"/>
    <w:uiPriority w:val="99"/>
    <w:qFormat/>
    <w:locked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7" w:customStyle="1">
    <w:name w:val="Názov Char12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Pr>
      <w:rFonts w:cs="Times New Roman"/>
      <w:sz w:val="36"/>
      <w:szCs w:val="36"/>
    </w:rPr>
  </w:style>
  <w:style w:type="character" w:styleId="ZkladntextChar" w:customStyle="1">
    <w:name w:val="Základný text Char"/>
    <w:uiPriority w:val="99"/>
    <w:semiHidden/>
    <w:qFormat/>
    <w:locked/>
    <w:rPr>
      <w:rFonts w:cs="Times New Roman"/>
      <w:sz w:val="36"/>
      <w:szCs w:val="36"/>
    </w:rPr>
  </w:style>
  <w:style w:type="character" w:styleId="ZkladntextChar127" w:customStyle="1">
    <w:name w:val="Základný text Char127"/>
    <w:uiPriority w:val="99"/>
    <w:semiHidden/>
    <w:qFormat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qFormat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qFormat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qFormat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qFormat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qFormat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qFormat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qFormat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qFormat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qFormat/>
    <w:rPr>
      <w:rFonts w:cs="Times New Roman"/>
      <w:sz w:val="36"/>
      <w:szCs w:val="36"/>
    </w:rPr>
  </w:style>
  <w:style w:type="character" w:styleId="PodtitulChar128" w:customStyle="1">
    <w:name w:val="Podtitul Char12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uiPriority w:val="11"/>
    <w:qFormat/>
    <w:locked/>
    <w:rPr>
      <w:rFonts w:ascii="Cambria" w:hAnsi="Cambria" w:eastAsia="Times New Roman" w:cs="Times New Roman"/>
      <w:sz w:val="24"/>
      <w:szCs w:val="24"/>
    </w:rPr>
  </w:style>
  <w:style w:type="character" w:styleId="PodtitulChar127" w:customStyle="1">
    <w:name w:val="Podtitul Char12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Pr>
      <w:rFonts w:cs="Times New Roman"/>
      <w:sz w:val="36"/>
      <w:szCs w:val="36"/>
    </w:rPr>
  </w:style>
  <w:style w:type="character" w:styleId="Zkladntext2Char" w:customStyle="1">
    <w:name w:val="Základný text 2 Char"/>
    <w:link w:val="BodyText2"/>
    <w:uiPriority w:val="99"/>
    <w:semiHidden/>
    <w:qFormat/>
    <w:locked/>
    <w:rPr>
      <w:rFonts w:cs="Times New Roman"/>
      <w:sz w:val="36"/>
      <w:szCs w:val="36"/>
    </w:rPr>
  </w:style>
  <w:style w:type="character" w:styleId="Zkladntext2Char127" w:customStyle="1">
    <w:name w:val="Základný text 2 Char127"/>
    <w:uiPriority w:val="99"/>
    <w:semiHidden/>
    <w:qFormat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link w:val="BodyTextIndent2"/>
    <w:uiPriority w:val="99"/>
    <w:semiHidden/>
    <w:qFormat/>
    <w:locked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qFormat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link w:val="BodyTextIndent3"/>
    <w:uiPriority w:val="99"/>
    <w:semiHidden/>
    <w:qFormat/>
    <w:locked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qFormat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Pr>
      <w:rFonts w:cs="Times New Roman"/>
      <w:sz w:val="16"/>
      <w:szCs w:val="16"/>
    </w:rPr>
  </w:style>
  <w:style w:type="character" w:styleId="TextbublinyChar128" w:customStyle="1">
    <w:name w:val="Text bubliny Char12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locked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Pr>
      <w:rFonts w:ascii="Tahoma" w:hAnsi="Tahoma" w:cs="Tahoma"/>
      <w:sz w:val="16"/>
      <w:szCs w:val="16"/>
    </w:rPr>
  </w:style>
  <w:style w:type="character" w:styleId="Ukotveniepoznmkypodiarou">
    <w:name w:val="Footnote Reference"/>
    <w:rPr>
      <w:vertAlign w:val="superscript"/>
    </w:rPr>
  </w:style>
  <w:style w:type="character" w:styleId="FootnoteCharacters">
    <w:name w:val="Footnote Characters"/>
    <w:uiPriority w:val="99"/>
    <w:qFormat/>
    <w:rsid w:val="00686076"/>
    <w:rPr>
      <w:vertAlign w:val="superscript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236906"/>
    <w:pPr>
      <w:widowControl/>
      <w:suppressAutoHyphens w:val="true"/>
      <w:bidi w:val="0"/>
      <w:spacing w:before="0" w:after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qFormat/>
    <w:rsid w:val="00710a71"/>
    <w:pPr>
      <w:numPr>
        <w:ilvl w:val="0"/>
        <w:numId w:val="1"/>
      </w:numPr>
    </w:pPr>
    <w:rPr>
      <w:bCs w:val="false"/>
      <w:sz w:val="18"/>
      <w:szCs w:val="20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BC388-3A63-41D9-B504-BF0C08B5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Application>LibreOffice/7.4.0.3$Windows_X86_64 LibreOffice_project/f85e47c08ddd19c015c0114a68350214f7066f5a</Application>
  <AppVersion>15.0000</AppVersion>
  <Pages>6</Pages>
  <Words>1547</Words>
  <Characters>9283</Characters>
  <CharactersWithSpaces>10650</CharactersWithSpaces>
  <Paragraphs>198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2022-04-29T19:31:00Z</dcterms:created>
  <dc:creator>EK</dc:creator>
  <dc:description/>
  <dc:language>sk-SK</dc:language>
  <cp:lastModifiedBy/>
  <cp:lastPrinted>2026-03-16T17:44:15Z</cp:lastPrinted>
  <dcterms:modified xsi:type="dcterms:W3CDTF">2026-03-16T17:45:32Z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