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media/image18.emf" ContentType="image/x-emf"/>
  <Override PartName="/word/media/image1.emf" ContentType="image/x-emf"/>
  <Override PartName="/word/media/image2.emf" ContentType="image/x-emf"/>
  <Override PartName="/word/media/image3.emf" ContentType="image/x-emf"/>
  <Override PartName="/word/media/image40.emf" ContentType="image/x-emf"/>
  <Override PartName="/word/media/image4.emf" ContentType="image/x-emf"/>
  <Override PartName="/word/media/image41.emf" ContentType="image/x-emf"/>
  <Override PartName="/word/media/image5.emf" ContentType="image/x-emf"/>
  <Override PartName="/word/media/image42.emf" ContentType="image/x-emf"/>
  <Override PartName="/word/media/image6.emf" ContentType="image/x-emf"/>
  <Override PartName="/word/media/image43.emf" ContentType="image/x-emf"/>
  <Override PartName="/word/media/image7.emf" ContentType="image/x-emf"/>
  <Override PartName="/word/media/image11.emf" ContentType="image/x-emf"/>
  <Override PartName="/word/media/image8.emf" ContentType="image/x-emf"/>
  <Override PartName="/word/media/image10.emf" ContentType="image/x-emf"/>
  <Override PartName="/word/media/image9.emf" ContentType="image/x-emf"/>
  <Override PartName="/word/media/image12.emf" ContentType="image/x-emf"/>
  <Override PartName="/word/media/image13.emf" ContentType="image/x-emf"/>
  <Override PartName="/word/media/image14.emf" ContentType="image/x-emf"/>
  <Override PartName="/word/media/image15.emf" ContentType="image/x-emf"/>
  <Override PartName="/word/media/image16.emf" ContentType="image/x-emf"/>
  <Override PartName="/word/media/image17.emf" ContentType="image/x-emf"/>
  <Override PartName="/word/media/image44.emf" ContentType="image/x-emf"/>
  <Override PartName="/word/media/image19.emf" ContentType="image/x-emf"/>
  <Override PartName="/word/media/image20.emf" ContentType="image/x-emf"/>
  <Override PartName="/word/media/image21.emf" ContentType="image/x-emf"/>
  <Override PartName="/word/media/image22.emf" ContentType="image/x-emf"/>
  <Override PartName="/word/media/image23.emf" ContentType="image/x-emf"/>
  <Override PartName="/word/media/image24.emf" ContentType="image/x-emf"/>
  <Override PartName="/word/media/image25.emf" ContentType="image/x-emf"/>
  <Override PartName="/word/media/image26.emf" ContentType="image/x-emf"/>
  <Override PartName="/word/media/image27.emf" ContentType="image/x-emf"/>
  <Override PartName="/word/media/image28.emf" ContentType="image/x-emf"/>
  <Override PartName="/word/media/image29.emf" ContentType="image/x-emf"/>
  <Override PartName="/word/media/image30.emf" ContentType="image/x-emf"/>
  <Override PartName="/word/media/image31.emf" ContentType="image/x-emf"/>
  <Override PartName="/word/media/image32.emf" ContentType="image/x-emf"/>
  <Override PartName="/word/media/image33.emf" ContentType="image/x-emf"/>
  <Override PartName="/word/media/image34.emf" ContentType="image/x-emf"/>
  <Override PartName="/word/media/image35.emf" ContentType="image/x-emf"/>
  <Override PartName="/word/media/image36.emf" ContentType="image/x-emf"/>
  <Override PartName="/word/media/image37.emf" ContentType="image/x-emf"/>
  <Override PartName="/word/media/image38.emf" ContentType="image/x-emf"/>
  <Override PartName="/word/media/image39.emf" ContentType="image/x-emf"/>
  <Override PartName="/word/numbering.xml" ContentType="application/vnd.openxmlformats-officedocument.wordprocessingml.numbering+xml"/>
  <Override PartName="/word/embeddings/oleObject17.xlsx" ContentType="application/vnd.openxmlformats-officedocument.spreadsheetml.sheet"/>
  <Override PartName="/word/embeddings/oleObject1.xlsx" ContentType="application/vnd.openxmlformats-officedocument.spreadsheetml.sheet"/>
  <Override PartName="/word/embeddings/oleObject18.xlsx" ContentType="application/vnd.openxmlformats-officedocument.spreadsheetml.sheet"/>
  <Override PartName="/word/embeddings/oleObject2.xlsx" ContentType="application/vnd.openxmlformats-officedocument.spreadsheetml.sheet"/>
  <Override PartName="/word/embeddings/oleObject44.xlsx" ContentType="application/vnd.openxmlformats-officedocument.spreadsheetml.sheet"/>
  <Override PartName="/word/embeddings/oleObject19.xlsx" ContentType="application/vnd.openxmlformats-officedocument.spreadsheetml.sheet"/>
  <Override PartName="/word/embeddings/oleObject30.xlsx" ContentType="application/vnd.openxmlformats-officedocument.spreadsheetml.sheet"/>
  <Override PartName="/word/embeddings/oleObject3.xlsx" ContentType="application/vnd.openxmlformats-officedocument.spreadsheetml.sheet"/>
  <Override PartName="/word/embeddings/oleObject40.xlsx" ContentType="application/vnd.openxmlformats-officedocument.spreadsheetml.sheet"/>
  <Override PartName="/word/embeddings/oleObject4.xlsx" ContentType="application/vnd.openxmlformats-officedocument.spreadsheetml.sheet"/>
  <Override PartName="/word/embeddings/oleObject31.xlsx" ContentType="application/vnd.openxmlformats-officedocument.spreadsheetml.sheet"/>
  <Override PartName="/word/embeddings/oleObject41.xlsx" ContentType="application/vnd.openxmlformats-officedocument.spreadsheetml.sheet"/>
  <Override PartName="/word/embeddings/oleObject5.xlsx" ContentType="application/vnd.openxmlformats-officedocument.spreadsheetml.sheet"/>
  <Override PartName="/word/embeddings/oleObject32.xlsx" ContentType="application/vnd.openxmlformats-officedocument.spreadsheetml.sheet"/>
  <Override PartName="/word/embeddings/oleObject42.xlsx" ContentType="application/vnd.openxmlformats-officedocument.spreadsheetml.sheet"/>
  <Override PartName="/word/embeddings/oleObject6.xlsx" ContentType="application/vnd.openxmlformats-officedocument.spreadsheetml.sheet"/>
  <Override PartName="/word/embeddings/oleObject33.xlsx" ContentType="application/vnd.openxmlformats-officedocument.spreadsheetml.sheet"/>
  <Override PartName="/word/embeddings/oleObject43.xlsx" ContentType="application/vnd.openxmlformats-officedocument.spreadsheetml.sheet"/>
  <Override PartName="/word/embeddings/oleObject7.xlsx" ContentType="application/vnd.openxmlformats-officedocument.spreadsheetml.sheet"/>
  <Override PartName="/word/embeddings/oleObject34.xlsx" ContentType="application/vnd.openxmlformats-officedocument.spreadsheetml.sheet"/>
  <Override PartName="/word/embeddings/oleObject11.xlsx" ContentType="application/vnd.openxmlformats-officedocument.spreadsheetml.sheet"/>
  <Override PartName="/word/embeddings/oleObject8.xlsx" ContentType="application/vnd.openxmlformats-officedocument.spreadsheetml.sheet"/>
  <Override PartName="/word/embeddings/oleObject35.xlsx" ContentType="application/vnd.openxmlformats-officedocument.spreadsheetml.sheet"/>
  <Override PartName="/word/embeddings/oleObject10.xlsx" ContentType="application/vnd.openxmlformats-officedocument.spreadsheetml.sheet"/>
  <Override PartName="/word/embeddings/oleObject9.xlsx" ContentType="application/vnd.openxmlformats-officedocument.spreadsheetml.sheet"/>
  <Override PartName="/word/embeddings/oleObject12.xlsx" ContentType="application/vnd.openxmlformats-officedocument.spreadsheetml.sheet"/>
  <Override PartName="/word/embeddings/oleObject13.xlsx" ContentType="application/vnd.openxmlformats-officedocument.spreadsheetml.sheet"/>
  <Override PartName="/word/embeddings/oleObject14.xlsx" ContentType="application/vnd.openxmlformats-officedocument.spreadsheetml.sheet"/>
  <Override PartName="/word/embeddings/oleObject15.xlsx" ContentType="application/vnd.openxmlformats-officedocument.spreadsheetml.sheet"/>
  <Override PartName="/word/embeddings/oleObject16.xlsx" ContentType="application/vnd.openxmlformats-officedocument.spreadsheetml.sheet"/>
  <Override PartName="/word/embeddings/oleObject20.xlsx" ContentType="application/vnd.openxmlformats-officedocument.spreadsheetml.sheet"/>
  <Override PartName="/word/embeddings/oleObject21.xlsx" ContentType="application/vnd.openxmlformats-officedocument.spreadsheetml.sheet"/>
  <Override PartName="/word/embeddings/oleObject22.xlsx" ContentType="application/vnd.openxmlformats-officedocument.spreadsheetml.sheet"/>
  <Override PartName="/word/embeddings/oleObject23.xlsx" ContentType="application/vnd.openxmlformats-officedocument.spreadsheetml.sheet"/>
  <Override PartName="/word/embeddings/oleObject24.xlsx" ContentType="application/vnd.openxmlformats-officedocument.spreadsheetml.sheet"/>
  <Override PartName="/word/embeddings/oleObject25.xlsx" ContentType="application/vnd.openxmlformats-officedocument.spreadsheetml.sheet"/>
  <Override PartName="/word/embeddings/oleObject26.xlsx" ContentType="application/vnd.openxmlformats-officedocument.spreadsheetml.sheet"/>
  <Override PartName="/word/embeddings/oleObject27.xlsx" ContentType="application/vnd.openxmlformats-officedocument.spreadsheetml.sheet"/>
  <Override PartName="/word/embeddings/oleObject28.xlsx" ContentType="application/vnd.openxmlformats-officedocument.spreadsheetml.sheet"/>
  <Override PartName="/word/embeddings/oleObject29.xlsx" ContentType="application/vnd.openxmlformats-officedocument.spreadsheetml.sheet"/>
  <Override PartName="/word/embeddings/oleObject36.xlsx" ContentType="application/vnd.openxmlformats-officedocument.spreadsheetml.sheet"/>
  <Override PartName="/word/embeddings/oleObject37.xlsx" ContentType="application/vnd.openxmlformats-officedocument.spreadsheetml.sheet"/>
  <Override PartName="/word/embeddings/oleObject38.xlsx" ContentType="application/vnd.openxmlformats-officedocument.spreadsheetml.sheet"/>
  <Override PartName="/word/embeddings/oleObject39.xlsx" ContentType="application/vnd.openxmlformats-officedocument.spreadsheetml.sheet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numPr>
          <w:ilvl w:val="0"/>
          <w:numId w:val="4"/>
        </w:numPr>
        <w:tabs>
          <w:tab w:val="clear" w:pos="708"/>
        </w:tabs>
        <w:bidi w:val="0"/>
        <w:spacing w:before="240" w:after="120"/>
        <w:ind w:hanging="181" w:start="1134" w:end="0"/>
        <w:rPr>
          <w:rFonts w:ascii="Times New Roman" w:hAnsi="Times New Roman"/>
          <w:b/>
          <w:bCs/>
          <w:sz w:val="24"/>
          <w:szCs w:val="24"/>
        </w:rPr>
      </w:pPr>
      <w:bookmarkStart w:id="0" w:name="_Toc530739894"/>
      <w:bookmarkEnd w:id="0"/>
      <w:r>
        <mc:AlternateContent>
          <mc:Choice Requires="wps">
            <w:drawing>
              <wp:anchor distT="0" distB="0" distL="0" distR="0" simplePos="0" relativeHeight="7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635</wp:posOffset>
                </wp:positionV>
                <wp:extent cx="635" cy="635"/>
                <wp:effectExtent l="0" t="0" r="0" b="0"/>
                <wp:wrapSquare wrapText="bothSides"/>
                <wp:docPr id="1" name="ole_rId1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0" cy="720"/>
                        </a:xfrm>
                        <a:custGeom>
                          <a:avLst/>
                          <a:gdLst/>
                          <a:ahLst/>
                          <a:rect l="0" t="0" r="r" b="b"/>
                          <a:pathLst/>
                        </a:custGeom>
                        <a:solidFill>
                          <a:srgbClr val="ffffff"/>
                        </a:solidFill>
                        <a:ln w="936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coordsize="1000,1000" fillcolor="white" stroked="f" o:allowincell="f" style="position:absolute;margin-left:0pt;margin-top:0pt;width:0pt;height:0pt;mso-wrap-style:none;v-text-anchor:middle">
                <v:fill o:detectmouseclick="t" color2="black"/>
                <v:stroke color="black" weight="9360" joinstyle="round" endcap="flat"/>
                <w10:wrap type="square"/>
              </v:rect>
            </w:pict>
          </mc:Fallback>
        </mc:AlternateContent>
      </w:r>
      <w:r>
        <w:rPr>
          <w:rFonts w:ascii="Times New Roman" w:hAnsi="Times New Roman"/>
          <w:b/>
          <w:bCs/>
          <w:sz w:val="24"/>
          <w:szCs w:val="24"/>
        </w:rPr>
        <w:t xml:space="preserve">Všeobecné informácie o účtovnej jednotke </w:t>
      </w:r>
    </w:p>
    <w:p>
      <w:pPr>
        <w:pStyle w:val="Heading2"/>
        <w:keepNext w:val="true"/>
        <w:widowControl/>
        <w:numPr>
          <w:ilvl w:val="0"/>
          <w:numId w:val="3"/>
        </w:numPr>
        <w:tabs>
          <w:tab w:val="clear" w:pos="708"/>
          <w:tab w:val="left" w:pos="0" w:leader="none"/>
          <w:tab w:val="left" w:pos="567" w:leader="none"/>
        </w:tabs>
        <w:bidi w:val="0"/>
        <w:spacing w:lineRule="atLeast" w:line="240" w:before="183" w:after="63"/>
        <w:ind w:hanging="0" w:start="454" w:end="0"/>
        <w:jc w:val="both"/>
        <w:rPr>
          <w:rFonts w:ascii="Times New Roman" w:hAnsi="Times New Roman" w:cs="Times New Roman"/>
          <w:b/>
          <w:bCs/>
          <w:i w:val="false"/>
          <w:sz w:val="20"/>
        </w:rPr>
      </w:pPr>
      <w:r>
        <w:rPr>
          <w:rFonts w:cs="Times New Roman" w:ascii="Times New Roman" w:hAnsi="Times New Roman"/>
          <w:b/>
          <w:bCs/>
          <w:i w:val="false"/>
          <w:sz w:val="20"/>
        </w:rPr>
        <w:t>Základné informácie o Spoločnosti</w:t>
      </w:r>
    </w:p>
    <w:p>
      <w:pPr>
        <w:pStyle w:val="BodyText"/>
        <w:bidi w:val="0"/>
        <w:spacing w:lineRule="auto" w:line="240" w:before="0" w:after="83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bidi w:val="0"/>
        <w:spacing w:lineRule="auto" w:line="240" w:before="0" w:after="83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Obchodné meno :</w:t>
        <w:tab/>
        <w:t>REKREATOUR, s. r. o.</w:t>
      </w:r>
    </w:p>
    <w:p>
      <w:pPr>
        <w:pStyle w:val="BodyText"/>
        <w:bidi w:val="0"/>
        <w:spacing w:lineRule="auto" w:line="240" w:before="0" w:after="83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Sídlo:</w:t>
        <w:tab/>
        <w:tab/>
        <w:t xml:space="preserve">Štúrova 101 , 059 21 Svit </w:t>
      </w:r>
    </w:p>
    <w:p>
      <w:pPr>
        <w:pStyle w:val="BodyText"/>
        <w:bidi w:val="0"/>
        <w:spacing w:lineRule="auto" w:line="240" w:before="0" w:after="83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Právna forma : </w:t>
        <w:tab/>
        <w:t>spoločnosť s ručením obmedzeným</w:t>
      </w:r>
    </w:p>
    <w:p>
      <w:pPr>
        <w:pStyle w:val="BodyText"/>
        <w:bidi w:val="0"/>
        <w:spacing w:lineRule="auto" w:line="240" w:before="0" w:after="83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Subjekt verejného záujmu : Spoločnosť nie je subjektom verejného záujmu (§2/14 ZoU).</w:t>
      </w:r>
    </w:p>
    <w:p>
      <w:pPr>
        <w:pStyle w:val="BodyText"/>
        <w:bidi w:val="0"/>
        <w:spacing w:before="0" w:after="83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bola založená 16. apríla.2019 a do obchodného registra bola zapísaná 3.mája 2019 (Obchodný register Okresného súdu v Prešove, oddiel Sro, vložka 36319/P).</w:t>
      </w:r>
    </w:p>
    <w:p>
      <w:pPr>
        <w:pStyle w:val="Heading2"/>
        <w:bidi w:val="0"/>
        <w:spacing w:before="183" w:after="63"/>
        <w:ind w:hanging="0" w:start="720" w:end="0"/>
        <w:rPr>
          <w:rFonts w:ascii="Times New Roman" w:hAnsi="Times New Roman" w:cs="Times New Roman"/>
          <w:b/>
          <w:bCs/>
          <w:i w:val="false"/>
          <w:sz w:val="20"/>
        </w:rPr>
      </w:pPr>
      <w:r>
        <w:rPr>
          <w:rFonts w:cs="Times New Roman" w:ascii="Times New Roman" w:hAnsi="Times New Roman"/>
          <w:b/>
          <w:bCs/>
          <w:i w:val="false"/>
          <w:sz w:val="20"/>
        </w:rPr>
        <w:t>Hlavnými činnosťami Spoločnosti sú:</w:t>
      </w:r>
    </w:p>
    <w:p>
      <w:pPr>
        <w:pStyle w:val="BodyText"/>
        <w:bidi w:val="0"/>
        <w:spacing w:before="0" w:after="26"/>
        <w:ind w:firstLine="360" w:start="0" w:end="0"/>
        <w:jc w:val="start"/>
        <w:rPr>
          <w:rFonts w:ascii="Times New Roman" w:hAnsi="Times New Roman"/>
        </w:rPr>
      </w:pPr>
      <w:r>
        <w:rPr>
          <w:rFonts w:ascii="Times New Roman" w:hAnsi="Times New Roman"/>
        </w:rPr>
        <w:t>-</w:t>
        <w:tab/>
      </w:r>
      <w:r>
        <w:rPr>
          <w:rFonts w:ascii="Times New Roman" w:hAnsi="Times New Roman"/>
          <w:sz w:val="20"/>
        </w:rPr>
        <w:t xml:space="preserve">ubytovacie služby v ubytovacích zariadeniach s prevádzkovaním pohostinských činností </w:t>
      </w:r>
    </w:p>
    <w:p>
      <w:pPr>
        <w:pStyle w:val="BodyText"/>
        <w:bidi w:val="0"/>
        <w:spacing w:before="0" w:after="26"/>
        <w:ind w:firstLine="36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-  </w:t>
        <w:tab/>
        <w:t xml:space="preserve">pohostinská činnosť a výroba hotových jedál pre výdajne </w:t>
      </w:r>
    </w:p>
    <w:p>
      <w:pPr>
        <w:pStyle w:val="BodyText"/>
        <w:bidi w:val="0"/>
        <w:spacing w:before="0" w:after="26"/>
        <w:ind w:firstLine="36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-</w:t>
        <w:tab/>
        <w:t>prevádzkovanie výdajne stravy</w:t>
      </w:r>
    </w:p>
    <w:p>
      <w:pPr>
        <w:pStyle w:val="BodyText"/>
        <w:bidi w:val="0"/>
        <w:spacing w:before="0" w:after="26"/>
        <w:ind w:firstLine="36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-</w:t>
        <w:tab/>
        <w:t>prevádzkovanie športových zariadení a zariadení slúžiacich na regeneráciu a rekondíciu</w:t>
      </w:r>
    </w:p>
    <w:p>
      <w:pPr>
        <w:pStyle w:val="BodyText"/>
        <w:bidi w:val="0"/>
        <w:spacing w:before="0" w:after="26"/>
        <w:ind w:firstLine="36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-</w:t>
        <w:tab/>
        <w:t>prenájom nehnuteľností spojený s poskytovaním iných než základných služieb spojených s prenájmom</w:t>
      </w:r>
    </w:p>
    <w:p>
      <w:pPr>
        <w:pStyle w:val="BodyText"/>
        <w:bidi w:val="0"/>
        <w:spacing w:before="0" w:after="26"/>
        <w:ind w:firstLine="36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Heading2"/>
        <w:bidi w:val="0"/>
        <w:ind w:firstLine="720" w:start="0" w:end="0"/>
        <w:rPr>
          <w:rFonts w:ascii="Times New Roman" w:hAnsi="Times New Roman" w:cs="Times New Roman"/>
          <w:b/>
          <w:bCs/>
          <w:i w:val="false"/>
          <w:sz w:val="20"/>
        </w:rPr>
      </w:pPr>
      <w:r>
        <w:rPr>
          <w:rFonts w:cs="Times New Roman" w:ascii="Times New Roman" w:hAnsi="Times New Roman"/>
          <w:b/>
          <w:bCs/>
          <w:i w:val="false"/>
          <w:sz w:val="20"/>
        </w:rPr>
        <w:t>Test veľkostnej skupiny:</w:t>
      </w:r>
    </w:p>
    <w:tbl>
      <w:tblPr>
        <w:tblW w:w="8533" w:type="dxa"/>
        <w:jc w:val="start"/>
        <w:tblInd w:w="426" w:type="dxa"/>
        <w:tblLayout w:type="fixed"/>
        <w:tblCellMar>
          <w:top w:w="0" w:type="dxa"/>
          <w:start w:w="30" w:type="dxa"/>
          <w:bottom w:w="0" w:type="dxa"/>
          <w:end w:w="30" w:type="dxa"/>
        </w:tblCellMar>
      </w:tblPr>
      <w:tblGrid>
        <w:gridCol w:w="2127"/>
        <w:gridCol w:w="2834"/>
        <w:gridCol w:w="2693"/>
        <w:gridCol w:w="879"/>
      </w:tblGrid>
      <w:tr>
        <w:trPr/>
        <w:tc>
          <w:tcPr>
            <w:tcW w:w="2127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Názov položky</w:t>
            </w:r>
          </w:p>
        </w:tc>
        <w:tc>
          <w:tcPr>
            <w:tcW w:w="2834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Bežné účtovné obdobie</w:t>
            </w:r>
          </w:p>
        </w:tc>
        <w:tc>
          <w:tcPr>
            <w:tcW w:w="269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Bezprostredne predchádzajúce účtovné obdobie</w:t>
            </w:r>
          </w:p>
        </w:tc>
        <w:tc>
          <w:tcPr>
            <w:tcW w:w="879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Áno/Nie</w:t>
            </w:r>
          </w:p>
        </w:tc>
      </w:tr>
      <w:tr>
        <w:trPr>
          <w:trHeight w:val="250" w:hRule="atLeast"/>
        </w:trPr>
        <w:tc>
          <w:tcPr>
            <w:tcW w:w="2127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408 340</w:t>
            </w:r>
          </w:p>
        </w:tc>
        <w:tc>
          <w:tcPr>
            <w:tcW w:w="2693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433 990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</w:p>
        </w:tc>
        <w:tc>
          <w:tcPr>
            <w:tcW w:w="879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áno</w:t>
            </w:r>
          </w:p>
        </w:tc>
      </w:tr>
      <w:tr>
        <w:trPr>
          <w:trHeight w:val="250" w:hRule="atLeast"/>
        </w:trPr>
        <w:tc>
          <w:tcPr>
            <w:tcW w:w="2127" w:type="dxa"/>
            <w:tcBorders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Čistý obrat celkom</w:t>
            </w:r>
          </w:p>
        </w:tc>
        <w:tc>
          <w:tcPr>
            <w:tcW w:w="2834" w:type="dxa"/>
            <w:tcBorders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2 930 953</w:t>
            </w:r>
          </w:p>
        </w:tc>
        <w:tc>
          <w:tcPr>
            <w:tcW w:w="2693" w:type="dxa"/>
            <w:tcBorders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3 134 486</w:t>
            </w:r>
          </w:p>
        </w:tc>
        <w:tc>
          <w:tcPr>
            <w:tcW w:w="879" w:type="dxa"/>
            <w:tcBorders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áno</w:t>
            </w:r>
          </w:p>
        </w:tc>
      </w:tr>
      <w:tr>
        <w:trPr>
          <w:trHeight w:val="250" w:hRule="atLeast"/>
        </w:trPr>
        <w:tc>
          <w:tcPr>
            <w:tcW w:w="2127" w:type="dxa"/>
            <w:tcBorders/>
          </w:tcPr>
          <w:p>
            <w:pPr>
              <w:pStyle w:val="Tabulka"/>
              <w:widowControl w:val="false"/>
              <w:bidi w:val="0"/>
              <w:spacing w:before="120" w:after="0"/>
              <w:ind w:hanging="0" w:start="0" w:end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Počet zamestnancov</w:t>
            </w:r>
          </w:p>
        </w:tc>
        <w:tc>
          <w:tcPr>
            <w:tcW w:w="2834" w:type="dxa"/>
            <w:tcBorders/>
          </w:tcPr>
          <w:p>
            <w:pPr>
              <w:pStyle w:val="Tabulka"/>
              <w:widowControl w:val="false"/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60</w:t>
            </w:r>
          </w:p>
          <w:p>
            <w:pPr>
              <w:pStyle w:val="Tabulka"/>
              <w:widowControl w:val="false"/>
              <w:bidi w:val="0"/>
              <w:ind w:hanging="0" w:start="0" w:end="0"/>
              <w:jc w:val="end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</w:r>
          </w:p>
        </w:tc>
        <w:tc>
          <w:tcPr>
            <w:tcW w:w="2693" w:type="dxa"/>
            <w:tcBorders/>
          </w:tcPr>
          <w:p>
            <w:pPr>
              <w:pStyle w:val="Tabulka"/>
              <w:widowControl w:val="false"/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65</w:t>
            </w:r>
          </w:p>
        </w:tc>
        <w:tc>
          <w:tcPr>
            <w:tcW w:w="879" w:type="dxa"/>
            <w:tcBorders/>
          </w:tcPr>
          <w:p>
            <w:pPr>
              <w:pStyle w:val="Tabulka"/>
              <w:widowControl w:val="false"/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áno</w:t>
            </w:r>
          </w:p>
        </w:tc>
      </w:tr>
    </w:tbl>
    <w:p>
      <w:pPr>
        <w:pStyle w:val="Heading2"/>
        <w:numPr>
          <w:ilvl w:val="0"/>
          <w:numId w:val="0"/>
        </w:numPr>
        <w:tabs>
          <w:tab w:val="clear" w:pos="708"/>
          <w:tab w:val="left" w:pos="0" w:leader="none"/>
        </w:tabs>
        <w:bidi w:val="0"/>
        <w:ind w:hanging="0" w:start="426" w:end="0"/>
        <w:rPr>
          <w:rFonts w:ascii="Times New Roman" w:hAnsi="Times New Roman" w:cs="Times New Roman"/>
          <w:b w:val="false"/>
          <w:bCs w:val="false"/>
          <w:i w:val="false"/>
          <w:sz w:val="20"/>
          <w:szCs w:val="20"/>
        </w:rPr>
      </w:pPr>
      <w:r>
        <w:rPr>
          <w:rFonts w:cs="Times New Roman" w:ascii="Times New Roman" w:hAnsi="Times New Roman"/>
          <w:b w:val="false"/>
          <w:bCs w:val="false"/>
          <w:i w:val="false"/>
          <w:sz w:val="20"/>
          <w:szCs w:val="20"/>
        </w:rPr>
        <w:t>Spoločnosť spĺňa veľkostné podmienky pre zatriedenie do veľkostnej skupiny-</w:t>
      </w:r>
      <w:r>
        <w:rPr>
          <w:rFonts w:cs="Times New Roman" w:ascii="Times New Roman" w:hAnsi="Times New Roman"/>
          <w:b/>
          <w:bCs/>
          <w:i w:val="false"/>
          <w:sz w:val="20"/>
          <w:szCs w:val="20"/>
        </w:rPr>
        <w:t xml:space="preserve"> malá účtovná jednotka,</w:t>
      </w:r>
      <w:r>
        <w:rPr>
          <w:rFonts w:cs="Times New Roman" w:ascii="Times New Roman" w:hAnsi="Times New Roman"/>
          <w:b w:val="false"/>
          <w:bCs w:val="false"/>
          <w:i w:val="false"/>
          <w:sz w:val="20"/>
          <w:szCs w:val="20"/>
        </w:rPr>
        <w:t xml:space="preserve"> preto zostavuje účtovnú závierku podľa metodiky pre túto veľkostnú skupinu. </w:t>
      </w:r>
    </w:p>
    <w:p>
      <w:pPr>
        <w:pStyle w:val="Heading2"/>
        <w:numPr>
          <w:ilvl w:val="0"/>
          <w:numId w:val="3"/>
        </w:numPr>
        <w:tabs>
          <w:tab w:val="clear" w:pos="708"/>
          <w:tab w:val="left" w:pos="0" w:leader="none"/>
        </w:tabs>
        <w:bidi w:val="0"/>
        <w:ind w:hanging="0" w:start="426" w:end="0"/>
        <w:rPr>
          <w:rFonts w:ascii="Times New Roman" w:hAnsi="Times New Roman" w:cs="Times New Roman"/>
          <w:b/>
          <w:bCs/>
          <w:i w:val="false"/>
          <w:sz w:val="20"/>
          <w:szCs w:val="20"/>
        </w:rPr>
      </w:pPr>
      <w:r>
        <w:rPr>
          <w:rFonts w:cs="Times New Roman" w:ascii="Times New Roman" w:hAnsi="Times New Roman"/>
          <w:b/>
          <w:bCs/>
          <w:i w:val="false"/>
          <w:sz w:val="20"/>
          <w:szCs w:val="20"/>
        </w:rPr>
        <w:t>Ručenie v iných spoločnostiach</w:t>
      </w:r>
    </w:p>
    <w:p>
      <w:pPr>
        <w:pStyle w:val="Normal"/>
        <w:bidi w:val="0"/>
        <w:ind w:hanging="0" w:start="357" w:end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56 ods. 5 Obchodného zákonníka.</w:t>
      </w:r>
    </w:p>
    <w:p>
      <w:pPr>
        <w:pStyle w:val="Heading2"/>
        <w:numPr>
          <w:ilvl w:val="0"/>
          <w:numId w:val="3"/>
        </w:numPr>
        <w:tabs>
          <w:tab w:val="clear" w:pos="708"/>
          <w:tab w:val="left" w:pos="0" w:leader="none"/>
          <w:tab w:val="left" w:pos="426" w:leader="none"/>
        </w:tabs>
        <w:bidi w:val="0"/>
        <w:ind w:hanging="0" w:start="426" w:end="0"/>
        <w:rPr>
          <w:rFonts w:ascii="Times New Roman" w:hAnsi="Times New Roman" w:cs="Times New Roman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>Dátum schválenia účtovnej závierky za predchádzajúce účtovné obdobie</w:t>
      </w:r>
    </w:p>
    <w:p>
      <w:pPr>
        <w:pStyle w:val="BodyText"/>
        <w:tabs>
          <w:tab w:val="clear" w:pos="708"/>
          <w:tab w:val="left" w:pos="0" w:leader="none"/>
        </w:tabs>
        <w:bidi w:val="0"/>
        <w:ind w:hanging="0" w:start="36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za predchádzajúce účtovné obdobie k 31. decembru 202</w:t>
      </w:r>
      <w:r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bola schválená rozhodnutím jediného spoločníka dňa </w:t>
      </w:r>
      <w:r>
        <w:rPr>
          <w:rFonts w:ascii="Times New Roman" w:hAnsi="Times New Roman"/>
          <w:sz w:val="20"/>
          <w:szCs w:val="20"/>
        </w:rPr>
        <w:t>12</w:t>
      </w:r>
      <w:r>
        <w:rPr>
          <w:rFonts w:ascii="Times New Roman" w:hAnsi="Times New Roman"/>
          <w:sz w:val="20"/>
          <w:szCs w:val="20"/>
        </w:rPr>
        <w:t>. mája 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>.</w:t>
      </w:r>
    </w:p>
    <w:p>
      <w:pPr>
        <w:pStyle w:val="Heading2"/>
        <w:bidi w:val="0"/>
        <w:ind w:hanging="0" w:start="720" w:end="0"/>
        <w:rPr>
          <w:rFonts w:ascii="Times New Roman" w:hAnsi="Times New Roman" w:cs="Times New Roman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 xml:space="preserve">Zverejnenie účtovnej závierky za predchádzajúce účtovné obdobie </w:t>
      </w:r>
    </w:p>
    <w:p>
      <w:pPr>
        <w:pStyle w:val="Normal"/>
        <w:bidi w:val="0"/>
        <w:spacing w:before="63" w:after="0"/>
        <w:ind w:hanging="0" w:start="360" w:end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 registra účtovných závierok bola uložená :</w:t>
      </w:r>
    </w:p>
    <w:p>
      <w:pPr>
        <w:pStyle w:val="Normal"/>
        <w:bidi w:val="0"/>
        <w:spacing w:before="63" w:after="0"/>
        <w:ind w:hanging="0" w:start="360" w:end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Účtovná závierka Spoločnosti k 31. decembru 20</w:t>
      </w:r>
      <w:r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dňa </w:t>
      </w:r>
      <w:r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>. 3. 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>,</w:t>
      </w:r>
    </w:p>
    <w:p>
      <w:pPr>
        <w:pStyle w:val="Normal"/>
        <w:bidi w:val="0"/>
        <w:spacing w:before="63" w:after="0"/>
        <w:ind w:hanging="0" w:start="360" w:end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Oznámenie o dátume schválenia účtovnej závierky k 31. decembru 20</w:t>
      </w:r>
      <w:r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dňa </w:t>
      </w:r>
      <w:r>
        <w:rPr>
          <w:rFonts w:ascii="Times New Roman" w:hAnsi="Times New Roman"/>
          <w:sz w:val="20"/>
          <w:szCs w:val="20"/>
        </w:rPr>
        <w:t>12</w:t>
      </w:r>
      <w:r>
        <w:rPr>
          <w:rFonts w:ascii="Times New Roman" w:hAnsi="Times New Roman"/>
          <w:sz w:val="20"/>
          <w:szCs w:val="20"/>
        </w:rPr>
        <w:t>.mája 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>.</w:t>
      </w:r>
    </w:p>
    <w:p>
      <w:pPr>
        <w:pStyle w:val="Heading2"/>
        <w:numPr>
          <w:ilvl w:val="0"/>
          <w:numId w:val="3"/>
        </w:numPr>
        <w:tabs>
          <w:tab w:val="clear" w:pos="708"/>
          <w:tab w:val="left" w:pos="0" w:leader="none"/>
        </w:tabs>
        <w:bidi w:val="0"/>
        <w:ind w:hanging="0" w:start="426" w:end="0"/>
        <w:rPr>
          <w:rFonts w:ascii="Times New Roman" w:hAnsi="Times New Roman" w:cs="Times New Roman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>Právny dôvod na zostavenie účtovnej závierky</w:t>
      </w:r>
    </w:p>
    <w:p>
      <w:pPr>
        <w:pStyle w:val="BodyText"/>
        <w:bidi w:val="0"/>
        <w:ind w:hanging="0" w:start="357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 31. decembru 20</w:t>
      </w:r>
      <w:r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4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 SR č. 431/2002 Z. z. o účtovníctve v platnom znení, za účtovné obdobie od 1. januára 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do 31. decembra 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>.</w:t>
      </w:r>
    </w:p>
    <w:p>
      <w:pPr>
        <w:pStyle w:val="Heading2"/>
        <w:numPr>
          <w:ilvl w:val="0"/>
          <w:numId w:val="3"/>
        </w:numPr>
        <w:tabs>
          <w:tab w:val="clear" w:pos="708"/>
          <w:tab w:val="left" w:pos="0" w:leader="none"/>
        </w:tabs>
        <w:bidi w:val="0"/>
        <w:ind w:hanging="0" w:start="426" w:end="0"/>
        <w:rPr>
          <w:rFonts w:ascii="Times New Roman" w:hAnsi="Times New Roman" w:cs="Times New Roman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>Informácie o skupine.</w:t>
      </w:r>
    </w:p>
    <w:p>
      <w:pPr>
        <w:pStyle w:val="Normal"/>
        <w:bidi w:val="0"/>
        <w:spacing w:before="177" w:after="57"/>
        <w:ind w:hanging="0" w:start="36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sa zahŕňa do konsolidovanej účtovnej závierky spoločnosti CHEMOSVIT, a. s., Štúrova 101, 059 21  Svit, Slovenská republika. Túto konsolidovanú účtovnú závierku je možné dostať priamo v sídle spoločnosti. Adresa registrového súdu, ktorý vedie obchodný register, kde sú uložené konsolidované účtovné závierky, je Okresný súd v Prešove.</w:t>
      </w:r>
    </w:p>
    <w:p>
      <w:pPr>
        <w:pStyle w:val="BodyText"/>
        <w:tabs>
          <w:tab w:val="clear" w:pos="708"/>
          <w:tab w:val="left" w:pos="0" w:leader="none"/>
        </w:tabs>
        <w:bidi w:val="0"/>
        <w:spacing w:before="57" w:after="197"/>
        <w:ind w:hanging="0" w:start="357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nie je materskou účtovnou jednotkou - nevlastní žiadne dcérske spoločnosti.</w:t>
      </w:r>
    </w:p>
    <w:p>
      <w:pPr>
        <w:pStyle w:val="Heading2"/>
        <w:numPr>
          <w:ilvl w:val="0"/>
          <w:numId w:val="3"/>
        </w:numPr>
        <w:tabs>
          <w:tab w:val="clear" w:pos="708"/>
          <w:tab w:val="left" w:pos="0" w:leader="none"/>
          <w:tab w:val="left" w:pos="426" w:leader="none"/>
        </w:tabs>
        <w:bidi w:val="0"/>
        <w:ind w:hanging="0" w:start="426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 xml:space="preserve">Priemerný počet zamestnancov 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Údaje o počte zamestnancov za bežné účtovné obdobie a bezprostredne predchádzajúce účtovné obdobie sú uvedené v nasledujúcom prehľade:</w:t>
      </w:r>
      <w:bookmarkStart w:id="1" w:name="_MON_1388939806"/>
      <w:bookmarkStart w:id="2" w:name="_MON_1388939040"/>
      <w:bookmarkStart w:id="3" w:name="_MON_1517125775"/>
      <w:bookmarkStart w:id="4" w:name="_MON_1517133582"/>
      <w:bookmarkStart w:id="5" w:name="_MON_1517133594"/>
      <w:bookmarkStart w:id="6" w:name="_MON_1485262377"/>
      <w:bookmarkStart w:id="7" w:name="_MON_1389028138"/>
      <w:bookmarkStart w:id="8" w:name="_MON_1516532782"/>
      <w:bookmarkStart w:id="9" w:name="_MON_1389028193"/>
      <w:bookmarkStart w:id="10" w:name="_MON_1388939240"/>
      <w:bookmarkStart w:id="11" w:name="_MON_1389026008"/>
      <w:bookmarkStart w:id="12" w:name="_MON_1515844466"/>
      <w:bookmarkStart w:id="13" w:name="_MON_1515847243"/>
      <w:bookmarkStart w:id="14" w:name="_MON_1485263378"/>
      <w:bookmarkStart w:id="15" w:name="_MON_1516186442"/>
      <w:bookmarkStart w:id="16" w:name="_MON_1517125643"/>
      <w:bookmarkStart w:id="17" w:name="_MON_1517125673"/>
      <w:bookmarkStart w:id="18" w:name="_MON_1388939762"/>
    </w:p>
    <w:tbl>
      <w:tblPr>
        <w:tblW w:w="9180" w:type="dxa"/>
        <w:jc w:val="start"/>
        <w:tblInd w:w="396" w:type="dxa"/>
        <w:tblLayout w:type="fixed"/>
        <w:tblCellMar>
          <w:top w:w="0" w:type="dxa"/>
          <w:start w:w="30" w:type="dxa"/>
          <w:bottom w:w="0" w:type="dxa"/>
          <w:end w:w="30" w:type="dxa"/>
        </w:tblCellMar>
      </w:tblPr>
      <w:tblGrid>
        <w:gridCol w:w="4200"/>
        <w:gridCol w:w="2213"/>
        <w:gridCol w:w="2767"/>
      </w:tblGrid>
      <w:tr>
        <w:trPr/>
        <w:tc>
          <w:tcPr>
            <w:tcW w:w="4200" w:type="dxa"/>
            <w:tcBorders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397" w:end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213" w:type="dxa"/>
            <w:tcBorders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  <w:br/>
              <w:t xml:space="preserve"> (</w:t>
            </w:r>
            <w:r>
              <w:rPr>
                <w:rFonts w:ascii="Times New Roman" w:hAnsi="Times New Roman"/>
                <w:sz w:val="20"/>
                <w:szCs w:val="20"/>
              </w:rPr>
              <w:t>2025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767" w:type="dxa"/>
            <w:tcBorders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 (</w:t>
            </w:r>
            <w:r>
              <w:rPr>
                <w:rFonts w:ascii="Times New Roman" w:hAnsi="Times New Roman"/>
                <w:sz w:val="20"/>
                <w:szCs w:val="20"/>
              </w:rPr>
              <w:t>2024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  <w:tr>
        <w:trPr>
          <w:trHeight w:val="255" w:hRule="atLeast"/>
        </w:trPr>
        <w:tc>
          <w:tcPr>
            <w:tcW w:w="4200" w:type="dxa"/>
            <w:tcBorders/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13" w:type="dxa"/>
            <w:tcBorders/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2767" w:type="dxa"/>
            <w:tcBorders/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65</w:t>
            </w:r>
          </w:p>
        </w:tc>
      </w:tr>
      <w:tr>
        <w:trPr>
          <w:trHeight w:val="255" w:hRule="atLeast"/>
        </w:trPr>
        <w:tc>
          <w:tcPr>
            <w:tcW w:w="4200" w:type="dxa"/>
            <w:tcBorders/>
            <w:vAlign w:val="center"/>
          </w:tcPr>
          <w:p>
            <w:pPr>
              <w:pStyle w:val="Normal"/>
              <w:widowControl w:val="false"/>
              <w:bidi w:val="0"/>
              <w:spacing w:before="120" w:after="0"/>
              <w:ind w:hanging="0" w:start="0" w:end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 zamestnancov  k 31.12.202</w:t>
            </w:r>
            <w:r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2213" w:type="dxa"/>
            <w:tcBorders/>
            <w:vAlign w:val="center"/>
          </w:tcPr>
          <w:p>
            <w:pPr>
              <w:pStyle w:val="Normal"/>
              <w:widowControl w:val="false"/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2767" w:type="dxa"/>
            <w:tcBorders/>
            <w:vAlign w:val="center"/>
          </w:tcPr>
          <w:p>
            <w:pPr>
              <w:pStyle w:val="Normal"/>
              <w:widowControl w:val="false"/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65</w:t>
            </w:r>
          </w:p>
        </w:tc>
      </w:tr>
      <w:tr>
        <w:trPr>
          <w:trHeight w:val="255" w:hRule="atLeast"/>
        </w:trPr>
        <w:tc>
          <w:tcPr>
            <w:tcW w:w="4200" w:type="dxa"/>
            <w:tcBorders/>
            <w:vAlign w:val="center"/>
          </w:tcPr>
          <w:p>
            <w:pPr>
              <w:pStyle w:val="Normal"/>
              <w:widowControl w:val="false"/>
              <w:bidi w:val="0"/>
              <w:spacing w:before="120" w:after="0"/>
              <w:ind w:hanging="0" w:start="0" w:end="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13" w:type="dxa"/>
            <w:tcBorders/>
            <w:vAlign w:val="center"/>
          </w:tcPr>
          <w:p>
            <w:pPr>
              <w:pStyle w:val="Normal"/>
              <w:widowControl w:val="false"/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767" w:type="dxa"/>
            <w:tcBorders/>
            <w:vAlign w:val="center"/>
          </w:tcPr>
          <w:p>
            <w:pPr>
              <w:pStyle w:val="Normal"/>
              <w:widowControl w:val="false"/>
              <w:bidi w:val="0"/>
              <w:spacing w:before="120" w:after="0"/>
              <w:ind w:hanging="0" w:start="0" w:end="0"/>
              <w:jc w:val="end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</w:tr>
    </w:tbl>
    <w:p>
      <w:pPr>
        <w:pStyle w:val="Heading1"/>
        <w:numPr>
          <w:ilvl w:val="0"/>
          <w:numId w:val="8"/>
        </w:numPr>
        <w:tabs>
          <w:tab w:val="clear" w:pos="708"/>
          <w:tab w:val="left" w:pos="0" w:leader="none"/>
        </w:tabs>
        <w:bidi w:val="0"/>
        <w:ind w:firstLine="680" w:start="680" w:end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Informácie o prijatých postupoch </w:t>
      </w:r>
    </w:p>
    <w:p>
      <w:pPr>
        <w:pStyle w:val="Normal"/>
        <w:bidi w:val="0"/>
        <w:ind w:firstLine="426" w:start="0" w:end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Pismenka"/>
        <w:numPr>
          <w:ilvl w:val="0"/>
          <w:numId w:val="6"/>
        </w:numPr>
        <w:tabs>
          <w:tab w:val="left" w:pos="0" w:leader="none"/>
          <w:tab w:val="left" w:pos="426" w:leader="none"/>
        </w:tabs>
        <w:bidi w:val="0"/>
        <w:spacing w:before="0" w:after="83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Východiská pre zostavenie účtovnej závierky</w:t>
      </w:r>
    </w:p>
    <w:p>
      <w:pPr>
        <w:pStyle w:val="BodyText"/>
        <w:bidi w:val="0"/>
        <w:spacing w:before="57" w:after="140"/>
        <w:ind w:firstLine="360" w:start="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Účtovná závierka bola zostavená za predpokladu nepretržitého trvania Spoločnosti. </w:t>
      </w:r>
    </w:p>
    <w:p>
      <w:pPr>
        <w:pStyle w:val="Pismenka"/>
        <w:numPr>
          <w:ilvl w:val="0"/>
          <w:numId w:val="6"/>
        </w:numPr>
        <w:tabs>
          <w:tab w:val="left" w:pos="0" w:leader="none"/>
          <w:tab w:val="left" w:pos="426" w:leader="none"/>
        </w:tabs>
        <w:bidi w:val="0"/>
        <w:spacing w:before="0" w:after="83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Zmeny účtovných zásad a zmeny účtovných metód s uvedením dôvodu ich uplatnenia a ich vplyvu na hodnotu majetku, záväzkov, vlastného imania a výsledku hospodárenia účtovnej jednotky</w:t>
      </w:r>
    </w:p>
    <w:p>
      <w:pPr>
        <w:pStyle w:val="BodyText"/>
        <w:bidi w:val="0"/>
        <w:spacing w:before="57" w:after="140"/>
        <w:ind w:firstLine="360" w:start="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Účtovné metódy a všeobecné účtovné zásady boli účtovnou jednotkou konzistentne aplikované.</w:t>
      </w:r>
    </w:p>
    <w:p>
      <w:pPr>
        <w:pStyle w:val="Pismenka"/>
        <w:numPr>
          <w:ilvl w:val="0"/>
          <w:numId w:val="6"/>
        </w:numPr>
        <w:tabs>
          <w:tab w:val="left" w:pos="0" w:leader="none"/>
          <w:tab w:val="left" w:pos="426" w:leader="none"/>
        </w:tabs>
        <w:bidi w:val="0"/>
        <w:spacing w:before="0" w:after="83"/>
        <w:ind w:firstLine="360" w:start="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Transakcie, ktoré sa neuvádzajú v súvahe </w:t>
      </w:r>
    </w:p>
    <w:p>
      <w:pPr>
        <w:pStyle w:val="BodyText"/>
        <w:bidi w:val="0"/>
        <w:spacing w:before="57" w:after="14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nemá žiadne iné významné transakcie ktoré by neboli popísané v poznámkach.</w:t>
      </w:r>
    </w:p>
    <w:p>
      <w:pPr>
        <w:pStyle w:val="Pismenka"/>
        <w:numPr>
          <w:ilvl w:val="0"/>
          <w:numId w:val="6"/>
        </w:numPr>
        <w:tabs>
          <w:tab w:val="left" w:pos="0" w:leader="none"/>
          <w:tab w:val="left" w:pos="426" w:leader="none"/>
        </w:tabs>
        <w:bidi w:val="0"/>
        <w:spacing w:before="57" w:after="14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Spôsob ocenenia jednotlivých zložiek majetku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spacing w:before="0" w:after="83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Dlhodobý nehmotný majetok a dlhodobý hmotný majetok</w:t>
      </w:r>
    </w:p>
    <w:p>
      <w:pPr>
        <w:pStyle w:val="BodyText"/>
        <w:bidi w:val="0"/>
        <w:ind w:hanging="0" w:start="360" w:end="0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 xml:space="preserve">Dlhodobý majetok nakupovaný sa oceňuje </w:t>
      </w:r>
      <w:r>
        <w:rPr>
          <w:rFonts w:ascii="Times New Roman" w:hAnsi="Times New Roman"/>
          <w:sz w:val="20"/>
          <w:u w:val="single"/>
        </w:rPr>
        <w:t>obstarávacou cenou</w:t>
      </w:r>
      <w:r>
        <w:rPr>
          <w:rFonts w:ascii="Times New Roman" w:hAnsi="Times New Roman"/>
          <w:sz w:val="20"/>
        </w:rPr>
        <w:t>, ktorá zahŕňa cenu obstarania a náklady súvisiace s obstaraním (clo, prepravu, inštaláciu a pod.). Súčasťou obstarávacej ceny nie sú úroky z cudzích zdrojov ani realizované kurzové rozdiely, ktoré vznikli do momentu uvedenia dlhodobého majetku do používania.</w:t>
      </w:r>
    </w:p>
    <w:p>
      <w:pPr>
        <w:pStyle w:val="BodyText"/>
        <w:bidi w:val="0"/>
        <w:ind w:hanging="0" w:start="360" w:end="0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 xml:space="preserve">Dlhodobý majetok vytvorený vlastnou činnosťou sa oceňuje </w:t>
      </w:r>
      <w:r>
        <w:rPr>
          <w:rFonts w:ascii="Times New Roman" w:hAnsi="Times New Roman"/>
          <w:sz w:val="20"/>
          <w:u w:val="single"/>
        </w:rPr>
        <w:t>vlastnými nákladmi</w:t>
      </w:r>
      <w:r>
        <w:rPr>
          <w:rFonts w:ascii="Times New Roman" w:hAnsi="Times New Roman"/>
          <w:sz w:val="20"/>
        </w:rPr>
        <w:t>, zahŕňajúcimi všetky priame náklady vynaložené na výrobu alebo inú činnosť a nepriame náklady, ktoré vznikli do momentu uvedenia dlhodobého majetku do používania.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Dlhodobý finančný majetok</w:t>
      </w:r>
    </w:p>
    <w:p>
      <w:pPr>
        <w:pStyle w:val="BodyText"/>
        <w:bidi w:val="0"/>
        <w:ind w:hanging="0" w:start="360" w:end="0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 xml:space="preserve">Dlhodobý finančný majetok obstaraný kúpou sa oceňuje </w:t>
      </w:r>
      <w:r>
        <w:rPr>
          <w:rFonts w:ascii="Times New Roman" w:hAnsi="Times New Roman"/>
          <w:sz w:val="20"/>
          <w:u w:val="single"/>
        </w:rPr>
        <w:t>obstarávacou cenou</w:t>
      </w:r>
      <w:r>
        <w:rPr>
          <w:rFonts w:ascii="Times New Roman" w:hAnsi="Times New Roman"/>
          <w:sz w:val="20"/>
        </w:rPr>
        <w:t xml:space="preserve">, vrátane nákladov súvisiacich s obstaraním. Vklady a podiely na základnom imaní dcérskych a spoločných podnikov sa ku dňu účtovnej závierky oceňujú metódou vlastného imania. 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Zásoby </w:t>
      </w:r>
    </w:p>
    <w:p>
      <w:pPr>
        <w:pStyle w:val="BodyText"/>
        <w:bidi w:val="0"/>
        <w:ind w:hanging="0" w:start="360" w:end="0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 xml:space="preserve">Oceňovanie zásob materiálu a tovaru sa uskutočňuje systémom </w:t>
      </w:r>
      <w:r>
        <w:rPr>
          <w:rFonts w:ascii="Times New Roman" w:hAnsi="Times New Roman"/>
          <w:sz w:val="20"/>
          <w:u w:val="single"/>
        </w:rPr>
        <w:t>okamžitých reálnych cien</w:t>
      </w:r>
      <w:r>
        <w:rPr>
          <w:rFonts w:ascii="Times New Roman" w:hAnsi="Times New Roman"/>
          <w:sz w:val="20"/>
        </w:rPr>
        <w:t>.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Obstarávacia cena zahŕňa cenu zásob a náklady súvisiace s obstaraním (prepravu, provízie, skonto a pod.). Úroky z cudzích zdrojov nie sú súčasťou obstarávacej ceny. 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V priebehu účtovného obdobia sme používali spôsob A účtovania zásob s použitím kalkulačných účtov 111 a 131. Pri skladoch potravín sa suroviny obstarajú cez hlavný sklad s použitím kalkulačného účtu 111. Po spárovaní došlej faktúry s príjmom na sklad sa celá hodnota zúčtuje na účet 112 - Materiál na sklade. Na ostatných skladoch potravín ( kuchyňa, reštaurácia a ostatné tovarové sklady) sa príjem zúčtuje prevodom z hlavného skladu.</w:t>
      </w:r>
    </w:p>
    <w:p>
      <w:pPr>
        <w:pStyle w:val="BodyText"/>
        <w:bidi w:val="0"/>
        <w:spacing w:before="0" w:after="83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Pri výdaji materiálu a tovaru do spotreby sa v skladoch hotela Spolcentrum a stredisku závodné stravovanie ( systém FOOD) používa vážený aritmetický priemer z obstarávacích cien. Pri výdaji materiálu zo skladu účtovaného v systéme ORION sa pri výdaji do spotreby postupuje metódou FIFO, kedy prvá cena pre ocenenie prírastku zásob sa použije ako prvá cena pre ocenenie úbytku zásob.</w:t>
      </w:r>
    </w:p>
    <w:p>
      <w:pPr>
        <w:pStyle w:val="BodyText"/>
        <w:spacing w:before="0" w:after="83"/>
        <w:rPr>
          <w:rFonts w:ascii="Times New Roman" w:hAnsi="Times New Roman"/>
        </w:rPr>
      </w:pPr>
      <w:r>
        <w:rPr>
          <w:rFonts w:ascii="Times New Roman" w:hAnsi="Times New Roman"/>
          <w:sz w:val="20"/>
          <w:szCs w:val="20"/>
        </w:rPr>
        <w:t>Rozdiely  medzi cenami uvedenými na faktúrach a cenami na skladoch sa účtujú na osobitný analytický účet k  účtu 112 končiaci 5</w:t>
      </w:r>
      <w:r>
        <w:rPr>
          <w:rFonts w:ascii="Times New Roman" w:hAnsi="Times New Roman"/>
        </w:rPr>
        <w:t>.</w:t>
      </w:r>
    </w:p>
    <w:p>
      <w:pPr>
        <w:pStyle w:val="BodyText"/>
        <w:bidi w:val="0"/>
        <w:spacing w:before="0" w:after="83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Zníženie hodnoty zásob sa upravuje vytvorením opravnej položky.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Zákazková výroba a zákazková výstavba nehnuteľnosti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Neaktuálne.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Pohľadávky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BodyText"/>
        <w:numPr>
          <w:ilvl w:val="0"/>
          <w:numId w:val="7"/>
        </w:numPr>
        <w:tabs>
          <w:tab w:val="clear" w:pos="708"/>
          <w:tab w:val="left" w:pos="0" w:leader="none"/>
        </w:tabs>
        <w:bidi w:val="0"/>
        <w:ind w:hanging="0" w:start="360" w:end="0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Krátkodobý finančný majetok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Na účte krátkodobý finančný majetok sa účtuje časť finančného majetku, u ktorého je predpokladaná držba najviac jeden rok odo dňa uskutočnenia účtovného prípadu.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Peňažné prostriedky a ceniny sa oceňujú ich menovitou hodnotou. Zníženie ich hodnoty sa vyjadruje opravnou položkou.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Časové rozlíšenie na strane aktív súvahy.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Náklady budúcich období a príjmy budúcich období sa vykazujú vo výške, ktorá je potrebná na dodržanie zásady vecnej a časovej súvislosti s účtovným obdobím. Časovo sa nerozlišujú nevýznamné sumy stanovené vo vnútropodnikovej smernici, ak sa týkajú opakovaných plnení a zároveň obdobia december bežného roka a január nasledujúceho roka. 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Záväzky, vrátane rezerv, dlhopisov, pôžičiek a úverov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Časové rozlíšenie na strane pasív súvahy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Výdavky budúcich období a výnosy budúcich období sa vykazujú vo výške, ktorá je potrebná na dodržanie zásady vecnej a časovej súvislosti s účtovným obdobím.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Deriváty </w:t>
      </w:r>
    </w:p>
    <w:p>
      <w:pPr>
        <w:pStyle w:val="BodyText"/>
        <w:bidi w:val="0"/>
        <w:spacing w:before="0" w:after="83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Deriváty sa oceňujú reálnou hodnotou.</w:t>
      </w:r>
    </w:p>
    <w:p>
      <w:pPr>
        <w:pStyle w:val="BodyText"/>
        <w:bidi w:val="0"/>
        <w:spacing w:before="0" w:after="83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Zmeny reálnych hodnôt zabezpečovacích derivátov sa účtujú bez vplyvu na výsledok hospodárenia, priamo do vlastného imania.</w:t>
      </w:r>
    </w:p>
    <w:p>
      <w:pPr>
        <w:pStyle w:val="BodyText"/>
        <w:bidi w:val="0"/>
        <w:spacing w:before="0" w:after="83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Zmeny reálnych hodnôt derivátov určených na obchodovanie na tuzemskej burze, zahraničnej burze alebo inom  verejnom trhu sa účtujú s vplyvom na výsledok hospodárenia.</w:t>
      </w:r>
    </w:p>
    <w:p>
      <w:pPr>
        <w:pStyle w:val="BodyText"/>
        <w:bidi w:val="0"/>
        <w:spacing w:before="0" w:after="83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Zmeny reálnych hodnôt derivátov určených na obchodovanie na neverejnom trhu sa účtujú bez vplyvu na výsledok hospodárenia, priamo do vlastného imania.</w:t>
      </w:r>
    </w:p>
    <w:p>
      <w:pPr>
        <w:pStyle w:val="BodyText"/>
        <w:numPr>
          <w:ilvl w:val="0"/>
          <w:numId w:val="7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 xml:space="preserve">Majetok a záväzky zabezpečené derivátmi 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Zmeny reálnej hodnoty zabezpečeného aktíva alebo záväzkov z dôvodu zabezpečeného rizika sa účtujú bez vplyvu na výsledok hospodárenia, priamo do vlastného imania.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Prenajatý majetok a majetok obstaraný na základe zmluvy o kúpy prenajatej veci  (lízing)</w:t>
      </w:r>
    </w:p>
    <w:p>
      <w:pPr>
        <w:pStyle w:val="BodyText"/>
        <w:bidi w:val="0"/>
        <w:ind w:hanging="0" w:start="360" w:end="0"/>
        <w:rPr>
          <w:rFonts w:ascii="Times New Roman" w:hAnsi="Times New Roman"/>
        </w:rPr>
      </w:pPr>
      <w:r>
        <w:rPr>
          <w:rFonts w:ascii="Times New Roman" w:hAnsi="Times New Roman"/>
          <w:sz w:val="20"/>
          <w:u w:val="single"/>
        </w:rPr>
        <w:t>Operatívny prenájom</w:t>
      </w:r>
      <w:r>
        <w:rPr>
          <w:rFonts w:ascii="Times New Roman" w:hAnsi="Times New Roman"/>
          <w:sz w:val="20"/>
        </w:rPr>
        <w:t>. Majetok prenajatý na základe operatívneho prenájmu vykazuje ako svoj majetok jeho vlastník, nie nájomca.</w:t>
      </w:r>
    </w:p>
    <w:p>
      <w:pPr>
        <w:pStyle w:val="BodyText"/>
        <w:bidi w:val="0"/>
        <w:ind w:hanging="0" w:start="360" w:end="0"/>
        <w:rPr>
          <w:rFonts w:ascii="Times New Roman" w:hAnsi="Times New Roman"/>
        </w:rPr>
      </w:pPr>
      <w:r>
        <w:rPr>
          <w:rFonts w:ascii="Times New Roman" w:hAnsi="Times New Roman"/>
          <w:sz w:val="20"/>
          <w:u w:val="single"/>
        </w:rPr>
        <w:t>Finančný prenájom</w:t>
      </w:r>
      <w:r>
        <w:rPr>
          <w:rFonts w:ascii="Times New Roman" w:hAnsi="Times New Roman"/>
          <w:sz w:val="20"/>
        </w:rPr>
        <w:t xml:space="preserve"> (s kúpnou opciou; bez kúpnej opcie je považovaný za operatívny prenájom). Majetok  prenajatý na základe zmluvy vykazuje ako svoj majetok jeho nájomca, nie vlastník.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Splatná daň z príjmov a odložená daň</w:t>
      </w:r>
    </w:p>
    <w:p>
      <w:pPr>
        <w:pStyle w:val="BodyText"/>
        <w:bidi w:val="0"/>
        <w:spacing w:before="0" w:after="83"/>
        <w:ind w:hanging="0" w:start="425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Splatná daň z príjmov sa vypočíta zo základu dane z príjmov a sadzby ustanovenej osobitným predpisom platnej pre aktuálny rok.</w:t>
      </w:r>
    </w:p>
    <w:p>
      <w:pPr>
        <w:pStyle w:val="BodyText"/>
        <w:bidi w:val="0"/>
        <w:spacing w:before="0" w:after="83"/>
        <w:ind w:hanging="0" w:start="425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Odložené dane (odložená daňová pohľadávka a odložený daňový záväzok) sa vzťahujú na: </w:t>
      </w:r>
    </w:p>
    <w:p>
      <w:pPr>
        <w:pStyle w:val="BodyText"/>
        <w:numPr>
          <w:ilvl w:val="0"/>
          <w:numId w:val="5"/>
        </w:numPr>
        <w:tabs>
          <w:tab w:val="clear" w:pos="708"/>
          <w:tab w:val="left" w:pos="1192" w:leader="none"/>
        </w:tabs>
        <w:bidi w:val="0"/>
        <w:spacing w:before="0" w:after="83"/>
        <w:ind w:hanging="360" w:start="1192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dočasné rozdiely medzi účtovnou hodnotou majetku a účtovnou hodnotou záväzkov vykázanou v súvahe a ich daňovou základňou,</w:t>
      </w:r>
    </w:p>
    <w:p>
      <w:pPr>
        <w:pStyle w:val="BodyText"/>
        <w:numPr>
          <w:ilvl w:val="0"/>
          <w:numId w:val="5"/>
        </w:numPr>
        <w:tabs>
          <w:tab w:val="clear" w:pos="708"/>
          <w:tab w:val="left" w:pos="1192" w:leader="none"/>
        </w:tabs>
        <w:bidi w:val="0"/>
        <w:spacing w:before="0" w:after="83"/>
        <w:ind w:hanging="360" w:start="1192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možnosť umorovať daňovú stratu v budúcnosti, ktorou sa rozumie možnosť odpočítať daňovú stratu od základu dane v budúcnosti,</w:t>
      </w:r>
    </w:p>
    <w:p>
      <w:pPr>
        <w:pStyle w:val="BodyText"/>
        <w:numPr>
          <w:ilvl w:val="0"/>
          <w:numId w:val="5"/>
        </w:numPr>
        <w:tabs>
          <w:tab w:val="clear" w:pos="708"/>
          <w:tab w:val="left" w:pos="1192" w:leader="none"/>
        </w:tabs>
        <w:bidi w:val="0"/>
        <w:spacing w:before="0" w:after="83"/>
        <w:ind w:hanging="360" w:start="1192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možnosť previesť nevyužité daňové odpočty a iné daňové nároky do budúcich období.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Cudzia mena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Na ocenenie prírastku cudzej meny nakúpenej za menu euro sa použije kurz, za ktorý bola táto cudzia mena nakúpená.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Na úbytok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Majetok a záväzky vyjadrené v cudzej mene (okrem prijatých a poskytnutých preddavkov, pohľadávok voči zamestnancom, nákladom budúcich období a výnosom budúcich období)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>
      <w:pPr>
        <w:pStyle w:val="BodyText"/>
        <w:bidi w:val="0"/>
        <w:ind w:hanging="0" w:start="360" w:end="0"/>
        <w:rPr>
          <w:rFonts w:ascii="Times New Roman" w:hAnsi="Times New Roman"/>
        </w:rPr>
      </w:pPr>
      <w:r>
        <w:rPr>
          <w:rFonts w:ascii="Times New Roman" w:hAnsi="Times New Roman"/>
          <w:sz w:val="20"/>
          <w:u w:val="single"/>
        </w:rPr>
        <w:t>P</w:t>
      </w:r>
      <w:r>
        <w:rPr>
          <w:rFonts w:ascii="Times New Roman" w:hAnsi="Times New Roman"/>
          <w:sz w:val="20"/>
          <w:u w:val="single"/>
        </w:rPr>
        <w:t>rijaté a poskytnuté preddavky, pohľadávky voči zamestnancom, náklady budúcich období a výnosy budúcich období v cudzej mene</w:t>
      </w:r>
      <w:r>
        <w:rPr>
          <w:rFonts w:ascii="Times New Roman" w:hAnsi="Times New Roman"/>
          <w:sz w:val="20"/>
        </w:rPr>
        <w:t xml:space="preserve">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Výnosy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Odpisy</w:t>
      </w:r>
    </w:p>
    <w:p>
      <w:pPr>
        <w:pStyle w:val="BodyText"/>
        <w:bidi w:val="0"/>
        <w:ind w:hanging="0" w:start="360" w:end="0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 xml:space="preserve">Odpisy </w:t>
      </w:r>
      <w:r>
        <w:rPr>
          <w:rFonts w:ascii="Times New Roman" w:hAnsi="Times New Roman"/>
          <w:sz w:val="20"/>
          <w:u w:val="single"/>
        </w:rPr>
        <w:t>dlhodobého nehmotného majetku</w:t>
      </w:r>
      <w:r>
        <w:rPr>
          <w:rFonts w:ascii="Times New Roman" w:hAnsi="Times New Roman"/>
          <w:sz w:val="20"/>
        </w:rPr>
        <w:t xml:space="preserve"> sú stanovené vychádzajúc z predpokladanej doby jeho používania a predpokladaného priebehu jeho opotrebenia. Odpisovať sa začína prvým dňom mesiaca, v ktorom je dlhodobý  majetok uvedený do používania. 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Drobný dlhodobý nehmotný majetok (okrem softvéru, ktorého obstarávacia cena je vyššia ako 48 €), ktorého obstarávacia cena (resp. vlastné náklady) je rovná alebo nižšia ako suma podľa daňového zákona, sa zaúčtuje jednorazovo pri uvedení do používania do nákladov na účet 518 - Služby. </w:t>
      </w:r>
    </w:p>
    <w:p>
      <w:pPr>
        <w:pStyle w:val="BodyText"/>
        <w:bidi w:val="0"/>
        <w:ind w:firstLine="360" w:start="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Predpokladaná doba používania, metóda odpisovania a odpisová sadzba sú uvedené v nasledujúcej tabuľke: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tbl>
      <w:tblPr>
        <w:tblW w:w="9240" w:type="dxa"/>
        <w:jc w:val="start"/>
        <w:tblInd w:w="426" w:type="dxa"/>
        <w:tblLayout w:type="fixed"/>
        <w:tblCellMar>
          <w:top w:w="0" w:type="dxa"/>
          <w:start w:w="30" w:type="dxa"/>
          <w:bottom w:w="0" w:type="dxa"/>
          <w:end w:w="30" w:type="dxa"/>
        </w:tblCellMar>
      </w:tblPr>
      <w:tblGrid>
        <w:gridCol w:w="3402"/>
        <w:gridCol w:w="1559"/>
        <w:gridCol w:w="1842"/>
        <w:gridCol w:w="2437"/>
      </w:tblGrid>
      <w:tr>
        <w:trPr>
          <w:trHeight w:val="700" w:hRule="atLeast"/>
        </w:trPr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Druh majetku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Predpokladaná</w:t>
            </w:r>
          </w:p>
          <w:p>
            <w:pPr>
              <w:pStyle w:val="Tabulka"/>
              <w:widowControl w:val="false"/>
              <w:tabs>
                <w:tab w:val="clear" w:pos="708"/>
              </w:tabs>
              <w:bidi w:val="0"/>
              <w:ind w:hanging="0" w:start="0" w:end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doba používania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  <w:b/>
                <w:i/>
                <w:sz w:val="20"/>
              </w:rPr>
              <w:t>v mesiacoch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  <w:vAlign w:val="center"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Metóda</w:t>
            </w:r>
          </w:p>
          <w:p>
            <w:pPr>
              <w:pStyle w:val="Tabulka"/>
              <w:widowControl w:val="false"/>
              <w:tabs>
                <w:tab w:val="clear" w:pos="708"/>
              </w:tabs>
              <w:bidi w:val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odpisovania</w:t>
            </w:r>
          </w:p>
        </w:tc>
        <w:tc>
          <w:tcPr>
            <w:tcW w:w="2437" w:type="dxa"/>
            <w:tcBorders>
              <w:bottom w:val="single" w:sz="4" w:space="0" w:color="000000"/>
            </w:tcBorders>
            <w:vAlign w:val="center"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Mesačná odpisová</w:t>
            </w:r>
          </w:p>
          <w:p>
            <w:pPr>
              <w:pStyle w:val="Tabulka"/>
              <w:widowControl w:val="false"/>
              <w:tabs>
                <w:tab w:val="clear" w:pos="708"/>
              </w:tabs>
              <w:bidi w:val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sadzba</w:t>
            </w:r>
          </w:p>
        </w:tc>
      </w:tr>
      <w:tr>
        <w:trPr>
          <w:trHeight w:val="250" w:hRule="atLeast"/>
        </w:trPr>
        <w:tc>
          <w:tcPr>
            <w:tcW w:w="340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Softvér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48</w:t>
            </w:r>
          </w:p>
        </w:tc>
        <w:tc>
          <w:tcPr>
            <w:tcW w:w="1842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lineárna</w:t>
            </w:r>
          </w:p>
        </w:tc>
        <w:tc>
          <w:tcPr>
            <w:tcW w:w="2437" w:type="dxa"/>
            <w:tcBorders>
              <w:top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1/48</w:t>
            </w:r>
          </w:p>
        </w:tc>
      </w:tr>
    </w:tbl>
    <w:p>
      <w:pPr>
        <w:pStyle w:val="BodyText"/>
        <w:bidi w:val="0"/>
        <w:spacing w:before="171" w:after="311"/>
        <w:ind w:hanging="0" w:start="426" w:end="0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 xml:space="preserve">Odpisy </w:t>
      </w:r>
      <w:r>
        <w:rPr>
          <w:rFonts w:ascii="Times New Roman" w:hAnsi="Times New Roman"/>
          <w:sz w:val="20"/>
          <w:u w:val="single"/>
        </w:rPr>
        <w:t>dlhodobého hmotného majetku</w:t>
      </w:r>
      <w:r>
        <w:rPr>
          <w:rFonts w:ascii="Times New Roman" w:hAnsi="Times New Roman"/>
          <w:sz w:val="20"/>
        </w:rPr>
        <w:t xml:space="preserve"> sú stanovené vychádzajúc z predpokladanej doby jeho používania a predpokladaného priebehu jeho opotrebenia. Odpisovať sa začína prvým dňom mesiaca, v ktorom je dlhodobý  majetok uvedený do používania.</w:t>
      </w:r>
    </w:p>
    <w:p>
      <w:pPr>
        <w:pStyle w:val="BodyText"/>
        <w:bidi w:val="0"/>
        <w:spacing w:before="171" w:after="311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Drobný dlhodobý hmotný majetok (okrem výpočtovej techniky), ktorého obstarávacia cena (resp. vlastné náklady) je rovná alebo nižšia ako suma podľa daňového zákona , ako aj technické zhodnotenie v hodnote rovnej alebo nižšej ako suma podľa daňového zákona, sa zaúčtuje pri uvedení do používania na príslušný účet 501 – Spotreba materiálu. 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Predpokladaná doba používania, metóda odpisovania a odpisová sadzba sú uvedené v nasledujúcej tabuľke:</w:t>
      </w:r>
    </w:p>
    <w:tbl>
      <w:tblPr>
        <w:tblW w:w="9240" w:type="dxa"/>
        <w:jc w:val="start"/>
        <w:tblInd w:w="426" w:type="dxa"/>
        <w:tblLayout w:type="fixed"/>
        <w:tblCellMar>
          <w:top w:w="0" w:type="dxa"/>
          <w:start w:w="30" w:type="dxa"/>
          <w:bottom w:w="0" w:type="dxa"/>
          <w:end w:w="30" w:type="dxa"/>
        </w:tblCellMar>
      </w:tblPr>
      <w:tblGrid>
        <w:gridCol w:w="3402"/>
        <w:gridCol w:w="1983"/>
        <w:gridCol w:w="1755"/>
        <w:gridCol w:w="2100"/>
      </w:tblGrid>
      <w:tr>
        <w:trPr>
          <w:trHeight w:val="700" w:hRule="atLeast"/>
        </w:trPr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Druh majetku</w:t>
            </w:r>
          </w:p>
        </w:tc>
        <w:tc>
          <w:tcPr>
            <w:tcW w:w="1983" w:type="dxa"/>
            <w:tcBorders>
              <w:bottom w:val="single" w:sz="4" w:space="0" w:color="000000"/>
            </w:tcBorders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Predpokladaná</w:t>
            </w:r>
          </w:p>
          <w:p>
            <w:pPr>
              <w:pStyle w:val="Tabulka"/>
              <w:widowControl w:val="false"/>
              <w:tabs>
                <w:tab w:val="clear" w:pos="708"/>
              </w:tabs>
              <w:bidi w:val="0"/>
              <w:ind w:hanging="0" w:start="0" w:end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doba používania</w:t>
            </w:r>
            <w:r>
              <w:rPr>
                <w:rFonts w:ascii="Times New Roman" w:hAnsi="Times New Roman"/>
              </w:rPr>
              <w:br/>
            </w:r>
            <w:r>
              <w:rPr>
                <w:rFonts w:ascii="Times New Roman" w:hAnsi="Times New Roman"/>
                <w:b/>
                <w:i/>
                <w:sz w:val="20"/>
              </w:rPr>
              <w:t>v rokoch</w:t>
            </w:r>
          </w:p>
        </w:tc>
        <w:tc>
          <w:tcPr>
            <w:tcW w:w="1755" w:type="dxa"/>
            <w:tcBorders>
              <w:bottom w:val="single" w:sz="4" w:space="0" w:color="000000"/>
            </w:tcBorders>
            <w:vAlign w:val="center"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Metóda</w:t>
            </w:r>
          </w:p>
          <w:p>
            <w:pPr>
              <w:pStyle w:val="Tabulka"/>
              <w:widowControl w:val="false"/>
              <w:tabs>
                <w:tab w:val="clear" w:pos="708"/>
              </w:tabs>
              <w:bidi w:val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odpisovania</w:t>
            </w:r>
          </w:p>
        </w:tc>
        <w:tc>
          <w:tcPr>
            <w:tcW w:w="2100" w:type="dxa"/>
            <w:tcBorders>
              <w:bottom w:val="single" w:sz="4" w:space="0" w:color="000000"/>
            </w:tcBorders>
            <w:vAlign w:val="center"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Ročná odpisová</w:t>
            </w:r>
          </w:p>
          <w:p>
            <w:pPr>
              <w:pStyle w:val="Tabulka"/>
              <w:widowControl w:val="false"/>
              <w:tabs>
                <w:tab w:val="clear" w:pos="708"/>
              </w:tabs>
              <w:bidi w:val="0"/>
              <w:ind w:hanging="0" w:start="0" w:end="0"/>
              <w:jc w:val="center"/>
              <w:rPr>
                <w:rFonts w:ascii="Times New Roman" w:hAnsi="Times New Roman"/>
                <w:b/>
                <w:i/>
                <w:sz w:val="20"/>
              </w:rPr>
            </w:pPr>
            <w:r>
              <w:rPr>
                <w:rFonts w:ascii="Times New Roman" w:hAnsi="Times New Roman"/>
                <w:b/>
                <w:i/>
                <w:sz w:val="20"/>
              </w:rPr>
              <w:t>sadzba</w:t>
            </w:r>
          </w:p>
        </w:tc>
      </w:tr>
      <w:tr>
        <w:trPr>
          <w:trHeight w:val="250" w:hRule="atLeast"/>
        </w:trPr>
        <w:tc>
          <w:tcPr>
            <w:tcW w:w="3402" w:type="dxa"/>
            <w:tcBorders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Stroje, prístroje a zariadenia</w:t>
            </w:r>
          </w:p>
        </w:tc>
        <w:tc>
          <w:tcPr>
            <w:tcW w:w="1983" w:type="dxa"/>
            <w:tcBorders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až 25</w:t>
            </w:r>
          </w:p>
        </w:tc>
        <w:tc>
          <w:tcPr>
            <w:tcW w:w="1755" w:type="dxa"/>
            <w:tcBorders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lineárna</w:t>
            </w:r>
          </w:p>
        </w:tc>
        <w:tc>
          <w:tcPr>
            <w:tcW w:w="2100" w:type="dxa"/>
            <w:tcBorders/>
          </w:tcPr>
          <w:p>
            <w:pPr>
              <w:pStyle w:val="Tabulka"/>
              <w:widowControl w:val="false"/>
              <w:tabs>
                <w:tab w:val="clear" w:pos="708"/>
              </w:tabs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25 až 4</w:t>
            </w:r>
          </w:p>
        </w:tc>
      </w:tr>
      <w:tr>
        <w:trPr>
          <w:trHeight w:val="650" w:hRule="atLeast"/>
        </w:trPr>
        <w:tc>
          <w:tcPr>
            <w:tcW w:w="3402" w:type="dxa"/>
            <w:tcBorders/>
          </w:tcPr>
          <w:p>
            <w:pPr>
              <w:pStyle w:val="Tabulka"/>
              <w:widowControl w:val="false"/>
              <w:bidi w:val="0"/>
              <w:spacing w:before="120" w:after="0"/>
              <w:ind w:hanging="0" w:start="0" w:end="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Drobný dlhodobý hmotný majetok</w:t>
            </w:r>
          </w:p>
        </w:tc>
        <w:tc>
          <w:tcPr>
            <w:tcW w:w="1983" w:type="dxa"/>
            <w:tcBorders/>
          </w:tcPr>
          <w:p>
            <w:pPr>
              <w:pStyle w:val="Tabulka"/>
              <w:widowControl w:val="false"/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rôzne</w:t>
            </w:r>
          </w:p>
        </w:tc>
        <w:tc>
          <w:tcPr>
            <w:tcW w:w="1755" w:type="dxa"/>
            <w:tcBorders/>
          </w:tcPr>
          <w:p>
            <w:pPr>
              <w:pStyle w:val="Tabulka"/>
              <w:widowControl w:val="false"/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lineárna</w:t>
            </w:r>
          </w:p>
        </w:tc>
        <w:tc>
          <w:tcPr>
            <w:tcW w:w="2100" w:type="dxa"/>
            <w:tcBorders/>
          </w:tcPr>
          <w:p>
            <w:pPr>
              <w:pStyle w:val="Tabulka"/>
              <w:widowControl w:val="false"/>
              <w:bidi w:val="0"/>
              <w:spacing w:before="120" w:after="0"/>
              <w:ind w:hanging="0" w:start="0" w:end="0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Mesačná odpisová sadzba :1/48</w:t>
            </w:r>
          </w:p>
        </w:tc>
      </w:tr>
    </w:tbl>
    <w:p>
      <w:pPr>
        <w:pStyle w:val="BodyText"/>
        <w:bidi w:val="0"/>
        <w:spacing w:before="171" w:after="311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Prehľad účtovných a daňových odpisov v € za aktuálne účtovné obdobie je uvedený v nasledujúcej tabuľke :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  <w:object w:dxaOrig="9417" w:dyaOrig="1977">
          <v:shapetype id="_x0000_tole_rId2" coordsize="21600,21600" o:spt="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" type="_x0000_tole_rId2" style="position:absolute;margin-left:25.3pt;margin-top:-9.05pt;width:438.7pt;height:87.4pt;mso-position-horizontal-relative:text;mso-position-vertical-relative:text" filled="f" o:ole="">
            <v:imagedata r:id="rId3" o:title=""/>
            <w10:wrap type="topAndBottom"/>
          </v:shape>
          <o:OLEObject Type="Embed" ProgID="Excel.Sheet.12" ShapeID="ole_rId2" DrawAspect="Content" ObjectID="_297208048" r:id="rId2"/>
        </w:objec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Špecifikácia doby odpisovania podľa jednotlivých druhov majetku je spolu s odpisovým plánom založená v učtárni Spoločnosti.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Pozemky, umelecké diela a zbierky a predmety z drahých kovov sa neodpisujú. </w:t>
      </w:r>
    </w:p>
    <w:p>
      <w:pPr>
        <w:pStyle w:val="Pismenka"/>
        <w:numPr>
          <w:ilvl w:val="0"/>
          <w:numId w:val="7"/>
        </w:numPr>
        <w:tabs>
          <w:tab w:val="left" w:pos="0" w:leader="none"/>
          <w:tab w:val="left" w:pos="426" w:leader="none"/>
        </w:tabs>
        <w:bidi w:val="0"/>
        <w:ind w:hanging="360" w:start="72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Dotácie zo štátneho rozpočtu</w:t>
      </w:r>
    </w:p>
    <w:p>
      <w:pPr>
        <w:pStyle w:val="Normal"/>
        <w:bidi w:val="0"/>
        <w:ind w:hanging="0" w:start="425" w:end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na základe splnených podmienok na poskytnutie dotácie sa Spoločnosti daná dotácia poskytne.</w:t>
      </w:r>
    </w:p>
    <w:p>
      <w:pPr>
        <w:pStyle w:val="Normal"/>
        <w:bidi w:val="0"/>
        <w:ind w:hanging="0" w:start="425" w:end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>
      <w:pPr>
        <w:pStyle w:val="Normal"/>
        <w:bidi w:val="0"/>
        <w:ind w:hanging="0" w:start="425" w:end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majetku a dlhodobého nehmotného majetku sa najskôr vykazujú ako výnosy budúcich období a do výkazu ziskov a strát sa rozpúšťajú v časovej a vecnej súvislosti so zaúčtovaním odpisov z tohto dlhodobého majetku.</w:t>
      </w:r>
    </w:p>
    <w:p>
      <w:pPr>
        <w:pStyle w:val="Normal"/>
        <w:bidi w:val="0"/>
        <w:ind w:hanging="0" w:start="425" w:end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Pismenka"/>
        <w:numPr>
          <w:ilvl w:val="0"/>
          <w:numId w:val="2"/>
        </w:numPr>
        <w:tabs>
          <w:tab w:val="left" w:pos="0" w:leader="none"/>
          <w:tab w:val="left" w:pos="426" w:leader="none"/>
        </w:tabs>
        <w:bidi w:val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Oprava významných chýb minulých účtovných období</w:t>
      </w:r>
    </w:p>
    <w:p>
      <w:pPr>
        <w:pStyle w:val="Pismenka"/>
        <w:bidi w:val="0"/>
        <w:ind w:hanging="0" w:start="360" w:end="0"/>
        <w:rPr>
          <w:rFonts w:ascii="Times New Roman" w:hAnsi="Times New Roman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  <w:t xml:space="preserve">Významné opravy chýb minulých účtovných období sa účtujú na účte 428 – Nerozdelený zisk minulých rokov alebo na účte 429 – Neuhradená strata minulých rokov.  </w:t>
      </w:r>
    </w:p>
    <w:p>
      <w:pPr>
        <w:pStyle w:val="Pismenka"/>
        <w:bidi w:val="0"/>
        <w:ind w:hanging="0" w:start="360" w:end="0"/>
        <w:rPr>
          <w:rFonts w:ascii="Times New Roman" w:hAnsi="Times New Roman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  <w:t>Za opravu chýb minulých účtovných období sa nepovažujú rozdiely zo zmeny účtovnej hodnoty majetku a záväzku, vyplývajúcich zo zmeny úprav ocenenia, napríklad účtovanie výšky opravnej položky, úpravy doby používania alebo spôsobu opotrebovania dlhodobého majetku a výšky rezervy.</w:t>
      </w:r>
    </w:p>
    <w:p>
      <w:pPr>
        <w:pStyle w:val="Pismenka"/>
        <w:bidi w:val="0"/>
        <w:ind w:hanging="0" w:start="360" w:end="0"/>
        <w:rPr>
          <w:rFonts w:ascii="Times New Roman" w:hAnsi="Times New Roman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  <w:t xml:space="preserve">Spoločnosť za minimálnu hranicu významnosti považuje 1% sumy príslušného syntetického účtu nákladov alebo výnosov za predchádzajúce účtovné obdobie. </w:t>
      </w:r>
    </w:p>
    <w:p>
      <w:pPr>
        <w:pStyle w:val="Pismenka"/>
        <w:bidi w:val="0"/>
        <w:ind w:hanging="0" w:start="360" w:end="0"/>
        <w:rPr>
          <w:rFonts w:ascii="Times New Roman" w:hAnsi="Times New Roman"/>
          <w:b w:val="false"/>
          <w:sz w:val="20"/>
        </w:rPr>
      </w:pPr>
      <w:r>
        <w:rPr>
          <w:rFonts w:ascii="Times New Roman" w:hAnsi="Times New Roman"/>
          <w:b w:val="false"/>
          <w:sz w:val="20"/>
        </w:rPr>
        <w:t>Opravy nevýznamných nákladov a nevýznamných výnosov sa účtujú ako účtovné prípady bežného účtovného obdobia na príslušných účtoch nákladov alebo výnosov.</w:t>
      </w:r>
    </w:p>
    <w:p>
      <w:pPr>
        <w:pStyle w:val="Heading1"/>
        <w:numPr>
          <w:ilvl w:val="0"/>
          <w:numId w:val="10"/>
        </w:numPr>
        <w:tabs>
          <w:tab w:val="clear" w:pos="708"/>
          <w:tab w:val="left" w:pos="0" w:leader="none"/>
          <w:tab w:val="left" w:pos="1530" w:leader="none"/>
        </w:tabs>
        <w:bidi w:val="0"/>
        <w:ind w:firstLine="454" w:start="964" w:end="0"/>
        <w:rPr>
          <w:rFonts w:ascii="Times New Roman" w:hAnsi="Times New Roman"/>
          <w:sz w:val="24"/>
          <w:szCs w:val="24"/>
        </w:rPr>
      </w:pPr>
      <w:bookmarkStart w:id="19" w:name="_Toc530739900"/>
      <w:bookmarkEnd w:id="19"/>
      <w:r>
        <w:rPr>
          <w:rFonts w:ascii="Times New Roman" w:hAnsi="Times New Roman"/>
          <w:sz w:val="24"/>
          <w:szCs w:val="24"/>
        </w:rPr>
        <w:t>Informácie, ktoré vysvetľujú a doplňujú položky súvahy</w:t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0" w:leader="none"/>
        </w:tabs>
        <w:bidi w:val="0"/>
        <w:spacing w:before="63" w:after="0"/>
        <w:ind w:hanging="360" w:start="720" w:end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Informácie k položkám – AKTÍVA SÚVAHY</w:t>
      </w:r>
    </w:p>
    <w:p>
      <w:pPr>
        <w:pStyle w:val="Heading2"/>
        <w:numPr>
          <w:ilvl w:val="0"/>
          <w:numId w:val="11"/>
        </w:numPr>
        <w:tabs>
          <w:tab w:val="clear" w:pos="708"/>
          <w:tab w:val="left" w:pos="0" w:leader="none"/>
        </w:tabs>
        <w:bidi w:val="0"/>
        <w:spacing w:before="126" w:after="6"/>
        <w:ind w:hanging="360" w:start="720" w:end="0"/>
        <w:rPr/>
      </w:pPr>
      <w:r>
        <w:rPr>
          <w:rFonts w:cs="Times New Roman" w:ascii="Times New Roman" w:hAnsi="Times New Roman"/>
          <w:i w:val="false"/>
          <w:sz w:val="20"/>
        </w:rPr>
        <w:t>Dlhodobý majeto</w:t>
      </w:r>
      <w:r>
        <w:rPr>
          <w:rFonts w:cs="Times New Roman" w:ascii="Times New Roman" w:hAnsi="Times New Roman"/>
          <w:i w:val="false"/>
          <w:sz w:val="20"/>
        </w:rPr>
        <w:t>k</w:t>
      </w:r>
      <w:r>
        <w:rPr>
          <w:rFonts w:cs="Times New Roman" w:ascii="Times New Roman" w:hAnsi="Times New Roman"/>
          <w:i w:val="false"/>
          <w:sz w:val="20"/>
        </w:rPr>
        <w:t xml:space="preserve"> </w:t>
      </w:r>
    </w:p>
    <w:p>
      <w:pPr>
        <w:pStyle w:val="BodyText"/>
        <w:bidi w:val="0"/>
        <w:spacing w:before="114" w:after="254"/>
        <w:ind w:hanging="0" w:start="360" w:end="0"/>
        <w:rPr>
          <w:rFonts w:ascii="Times New Roman" w:hAnsi="Times New Roman"/>
          <w:b/>
          <w:i/>
          <w:sz w:val="20"/>
        </w:rPr>
      </w:pPr>
      <w:r>
        <w:rPr>
          <w:rFonts w:ascii="Times New Roman" w:hAnsi="Times New Roman"/>
          <w:b/>
          <w:i/>
          <w:sz w:val="20"/>
        </w:rPr>
        <w:t>Prehľad o pohybe dlhodobého nehmotného majetku od 1. januára 202</w:t>
      </w:r>
      <w:r>
        <w:rPr>
          <w:rFonts w:ascii="Times New Roman" w:hAnsi="Times New Roman"/>
          <w:b/>
          <w:i/>
          <w:sz w:val="20"/>
        </w:rPr>
        <w:t>5</w:t>
      </w:r>
      <w:r>
        <w:rPr>
          <w:rFonts w:ascii="Times New Roman" w:hAnsi="Times New Roman"/>
          <w:b/>
          <w:i/>
          <w:sz w:val="20"/>
        </w:rPr>
        <w:t xml:space="preserve"> do 31. decembra 202</w:t>
      </w:r>
      <w:r>
        <w:rPr>
          <w:rFonts w:ascii="Times New Roman" w:hAnsi="Times New Roman"/>
          <w:b/>
          <w:i/>
          <w:sz w:val="20"/>
        </w:rPr>
        <w:t>5</w:t>
      </w:r>
    </w:p>
    <w:p>
      <w:pPr>
        <w:pStyle w:val="Normal"/>
        <w:spacing w:before="63" w:after="0"/>
        <w:ind w:hanging="0" w:start="0" w:end="0"/>
        <w:rPr>
          <w:rFonts w:ascii="Times New Roman" w:hAnsi="Times New Roman"/>
        </w:rPr>
      </w:pPr>
      <w:bookmarkStart w:id="20" w:name="_Toc530739900"/>
      <w:bookmarkEnd w:id="20"/>
      <w:r>
        <w:rPr>
          <w:rFonts w:ascii="Times New Roman" w:hAnsi="Times New Roman"/>
          <w:b/>
          <w:i/>
          <w:sz w:val="20"/>
        </w:rPr>
        <w:br/>
      </w:r>
      <w:r>
        <w:object w:dxaOrig="11151" w:dyaOrig="7198">
          <v:shapetype id="_x0000_tole_rId4" coordsize="21600,21600" o:spt="4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4" type="_x0000_tole_rId4" style="position:absolute;margin-left:5.8pt;margin-top:-7.55pt;width:451.35pt;height:295.85pt;mso-position-horizontal-relative:text;mso-position-vertical-relative:text" filled="f" o:ole="">
            <v:imagedata r:id="rId5" o:title=""/>
            <w10:wrap type="square" side="largest"/>
          </v:shape>
          <o:OLEObject Type="Embed" ProgID="Excel.Sheet.12" ShapeID="ole_rId4" DrawAspect="Content" ObjectID="_1295735488" r:id="rId4"/>
        </w:object>
      </w:r>
      <w:r>
        <w:rPr>
          <w:rFonts w:ascii="Times New Roman" w:hAnsi="Times New Roman"/>
          <w:b/>
          <w:i/>
          <w:sz w:val="20"/>
        </w:rPr>
        <w:t>Prehľad o pohybe dlhodobého nehmotného majetku od 1. januára 20</w:t>
      </w:r>
      <w:r>
        <w:rPr>
          <w:rFonts w:ascii="Times New Roman" w:hAnsi="Times New Roman"/>
          <w:b/>
          <w:i/>
          <w:sz w:val="20"/>
        </w:rPr>
        <w:t>2</w:t>
      </w:r>
      <w:r>
        <w:rPr>
          <w:rFonts w:ascii="Times New Roman" w:hAnsi="Times New Roman"/>
          <w:b/>
          <w:i/>
          <w:sz w:val="20"/>
        </w:rPr>
        <w:t>4</w:t>
      </w:r>
      <w:r>
        <w:rPr>
          <w:rFonts w:ascii="Times New Roman" w:hAnsi="Times New Roman"/>
          <w:b/>
          <w:i/>
          <w:sz w:val="20"/>
        </w:rPr>
        <w:t>do 31. decembra 20</w:t>
      </w:r>
      <w:r>
        <w:rPr>
          <w:rFonts w:ascii="Times New Roman" w:hAnsi="Times New Roman"/>
          <w:b/>
          <w:i/>
          <w:sz w:val="20"/>
        </w:rPr>
        <w:t>2</w:t>
      </w:r>
      <w:r>
        <w:rPr>
          <w:rFonts w:ascii="Times New Roman" w:hAnsi="Times New Roman"/>
          <w:b/>
          <w:i/>
          <w:sz w:val="20"/>
        </w:rPr>
        <w:t>4</w:t>
      </w:r>
      <w:r>
        <w:rPr>
          <w:rFonts w:ascii="Times New Roman" w:hAnsi="Times New Roman"/>
          <w:b/>
          <w:i/>
          <w:sz w:val="20"/>
        </w:rPr>
        <w:t>:</w:t>
      </w:r>
    </w:p>
    <w:p>
      <w:pPr>
        <w:pStyle w:val="Normal"/>
        <w:ind w:hanging="0" w:start="0" w:end="0"/>
        <w:rPr>
          <w:rFonts w:ascii="Times New Roman" w:hAnsi="Times New Roman"/>
          <w:b/>
          <w:i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  <w:object w:dxaOrig="10246" w:dyaOrig="7417">
          <v:shapetype id="_x0000_tole_rId6" coordsize="21600,21600" o:spt="6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6" type="_x0000_tole_rId6" style="position:absolute;margin-left:10.05pt;margin-top:9.95pt;width:447.55pt;height:318.25pt;mso-position-horizontal-relative:text;mso-position-vertical-relative:text" filled="f" o:ole="">
            <v:imagedata r:id="rId7" o:title=""/>
            <w10:wrap type="topAndBottom"/>
          </v:shape>
          <o:OLEObject Type="Embed" ProgID="Excel.Sheet.12" ShapeID="ole_rId6" DrawAspect="Content" ObjectID="_282304577" r:id="rId6"/>
        </w:object>
      </w:r>
    </w:p>
    <w:p>
      <w:pPr>
        <w:pStyle w:val="Normal"/>
        <w:ind w:hanging="0" w:start="0" w:end="0"/>
        <w:rPr>
          <w:rFonts w:ascii="Times New Roman" w:hAnsi="Times New Roman"/>
          <w:b/>
          <w:i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  <w:br/>
        <w:t>Prehľad o pohybe dlhodobého hmotného majetku od 1. januára 202</w:t>
      </w:r>
      <w:r>
        <w:rPr>
          <w:rFonts w:ascii="Times New Roman" w:hAnsi="Times New Roman"/>
          <w:b/>
          <w:i/>
          <w:sz w:val="20"/>
          <w:szCs w:val="20"/>
        </w:rPr>
        <w:t>5</w:t>
      </w:r>
      <w:r>
        <w:rPr>
          <w:rFonts w:ascii="Times New Roman" w:hAnsi="Times New Roman"/>
          <w:b/>
          <w:i/>
          <w:sz w:val="20"/>
          <w:szCs w:val="20"/>
        </w:rPr>
        <w:t xml:space="preserve"> do 31. decembra 202</w:t>
      </w:r>
      <w:r>
        <w:rPr>
          <w:rFonts w:ascii="Times New Roman" w:hAnsi="Times New Roman"/>
          <w:b/>
          <w:i/>
          <w:sz w:val="20"/>
          <w:szCs w:val="20"/>
        </w:rPr>
        <w:t>5</w:t>
      </w:r>
      <w:r>
        <w:rPr>
          <w:rFonts w:ascii="Times New Roman" w:hAnsi="Times New Roman"/>
          <w:b/>
          <w:i/>
          <w:sz w:val="20"/>
          <w:szCs w:val="20"/>
        </w:rPr>
        <w:t>:</w:t>
      </w:r>
    </w:p>
    <w:p>
      <w:pPr>
        <w:pStyle w:val="Normal"/>
        <w:ind w:hanging="0" w:start="0" w:end="0"/>
        <w:rPr>
          <w:rFonts w:ascii="Times New Roman" w:hAnsi="Times New Roman"/>
          <w:b/>
          <w:i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</w:r>
    </w:p>
    <w:p>
      <w:pPr>
        <w:pStyle w:val="Normal"/>
        <w:ind w:hanging="0" w:start="0" w:end="0"/>
        <w:rPr/>
      </w:pPr>
      <w:r>
        <w:object w:dxaOrig="12991" w:dyaOrig="8202">
          <v:shapetype id="_x0000_tole_rId8" coordsize="21600,21600" o:spt="8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8" type="_x0000_tole_rId8" style="position:absolute;margin-left:-17.45pt;margin-top:0.35pt;width:504.75pt;height:320.7pt;mso-position-horizontal-relative:text;mso-position-vertical-relative:text" filled="f" o:ole="">
            <v:imagedata r:id="rId9" o:title=""/>
            <w10:wrap type="square" side="largest"/>
          </v:shape>
          <o:OLEObject Type="Embed" ProgID="Excel.Sheet.12" ShapeID="ole_rId8" DrawAspect="Content" ObjectID="_227274859" r:id="rId8"/>
        </w:object>
      </w:r>
      <w:r>
        <w:rPr>
          <w:rFonts w:ascii="Times New Roman" w:hAnsi="Times New Roman"/>
          <w:b/>
          <w:i/>
          <w:sz w:val="20"/>
          <w:szCs w:val="20"/>
        </w:rPr>
        <w:br/>
      </w:r>
      <w:r>
        <w:rPr>
          <w:rFonts w:ascii="Times New Roman" w:hAnsi="Times New Roman"/>
          <w:b/>
          <w:i/>
          <w:sz w:val="20"/>
        </w:rPr>
        <w:t>Prehľad o pohybe dlhodobého hmotného majetku od 1. januára 20</w:t>
      </w:r>
      <w:r>
        <w:rPr>
          <w:rFonts w:ascii="Times New Roman" w:hAnsi="Times New Roman"/>
          <w:b/>
          <w:i/>
          <w:sz w:val="20"/>
        </w:rPr>
        <w:t>2</w:t>
      </w:r>
      <w:r>
        <w:rPr>
          <w:rFonts w:ascii="Times New Roman" w:hAnsi="Times New Roman"/>
          <w:b/>
          <w:i/>
          <w:sz w:val="20"/>
        </w:rPr>
        <w:t>4</w:t>
      </w:r>
      <w:r>
        <w:rPr>
          <w:rFonts w:ascii="Times New Roman" w:hAnsi="Times New Roman"/>
          <w:b/>
          <w:i/>
          <w:sz w:val="20"/>
        </w:rPr>
        <w:t xml:space="preserve"> do 31. decembra 20</w:t>
      </w:r>
      <w:r>
        <w:rPr>
          <w:rFonts w:ascii="Times New Roman" w:hAnsi="Times New Roman"/>
          <w:b/>
          <w:i/>
          <w:sz w:val="20"/>
        </w:rPr>
        <w:t>2</w:t>
      </w:r>
      <w:r>
        <w:rPr>
          <w:rFonts w:ascii="Times New Roman" w:hAnsi="Times New Roman"/>
          <w:b/>
          <w:i/>
          <w:sz w:val="20"/>
        </w:rPr>
        <w:t>4</w:t>
      </w:r>
      <w:r>
        <w:rPr>
          <w:rFonts w:ascii="Times New Roman" w:hAnsi="Times New Roman"/>
          <w:b/>
          <w:i/>
          <w:sz w:val="20"/>
        </w:rPr>
        <w:t>:</w:t>
      </w:r>
      <w:bookmarkStart w:id="21" w:name="_MON_1643295003"/>
    </w:p>
    <w:p>
      <w:pPr>
        <w:pStyle w:val="Normal"/>
        <w:ind w:hanging="0" w:start="0" w:end="0"/>
        <w:rPr>
          <w:rFonts w:ascii="Times New Roman" w:hAnsi="Times New Roman"/>
          <w:b/>
          <w:i/>
          <w:sz w:val="20"/>
          <w:szCs w:val="20"/>
        </w:rPr>
      </w:pPr>
      <w:bookmarkEnd w:id="21"/>
      <w:r>
        <w:object w:dxaOrig="12438" w:dyaOrig="7618">
          <v:shapetype id="_x0000_tole_rId10" coordsize="21600,21600" o:spt="10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10" type="_x0000_tole_rId10" style="position:absolute;margin-left:-17.45pt;margin-top:5.9pt;width:505.6pt;height:313.5pt;mso-position-horizontal-relative:text;mso-position-vertical-relative:text" filled="f" o:ole="">
            <v:imagedata r:id="rId11" o:title=""/>
            <w10:wrap type="square" side="largest"/>
          </v:shape>
          <o:OLEObject Type="Embed" ProgID="Excel.Sheet.12" ShapeID="ole_rId10" DrawAspect="Content" ObjectID="_709147480" r:id="rId10"/>
        </w:object>
      </w:r>
      <w:r>
        <w:rPr>
          <w:rFonts w:ascii="Times New Roman" w:hAnsi="Times New Roman"/>
          <w:b/>
          <w:i/>
          <w:sz w:val="20"/>
          <w:szCs w:val="20"/>
        </w:rPr>
        <w:br/>
      </w:r>
    </w:p>
    <w:p>
      <w:pPr>
        <w:pStyle w:val="Normal"/>
        <w:ind w:hanging="0" w:start="0" w:end="0"/>
        <w:rPr>
          <w:rFonts w:ascii="Times New Roman" w:hAnsi="Times New Roman"/>
          <w:b/>
          <w:i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</w:r>
    </w:p>
    <w:p>
      <w:pPr>
        <w:pStyle w:val="Heading2"/>
        <w:bidi w:val="0"/>
        <w:ind w:hanging="0" w:start="360" w:end="0"/>
        <w:rPr>
          <w:rFonts w:ascii="Times New Roman" w:hAnsi="Times New Roman" w:cs="Times New Roman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>Spôsob a výška poistenia dlhodobého majetku</w:t>
      </w:r>
    </w:p>
    <w:p>
      <w:pPr>
        <w:pStyle w:val="Normal"/>
        <w:bidi w:val="0"/>
        <w:ind w:hanging="0" w:start="360" w:end="0"/>
        <w:rPr/>
      </w:pPr>
      <w:r>
        <w:rPr>
          <w:rFonts w:ascii="Times New Roman" w:hAnsi="Times New Roman"/>
          <w:sz w:val="20"/>
          <w:szCs w:val="20"/>
        </w:rPr>
        <w:t>Spoločnosť mala poistený dlhodobý hmotný majetok v roku 202</w:t>
      </w:r>
      <w:r>
        <w:rPr>
          <w:rFonts w:ascii="Times New Roman" w:hAnsi="Times New Roman"/>
          <w:sz w:val="20"/>
          <w:szCs w:val="20"/>
        </w:rPr>
        <w:t>5</w:t>
      </w:r>
    </w:p>
    <w:p>
      <w:pPr>
        <w:pStyle w:val="Normal"/>
        <w:bidi w:val="0"/>
        <w:ind w:hanging="0" w:start="360" w:end="0"/>
        <w:rPr/>
      </w:pP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takto :</w:t>
      </w:r>
      <w:r>
        <w:rPr>
          <w:rFonts w:ascii="Times New Roman" w:hAnsi="Times New Roman"/>
        </w:rPr>
        <w:t xml:space="preserve"> </w:t>
      </w:r>
      <w:bookmarkStart w:id="22" w:name="_MON_1485858742"/>
      <w:bookmarkStart w:id="23" w:name="_MON_1485346900"/>
      <w:bookmarkStart w:id="24" w:name="_MON_1516535879"/>
      <w:bookmarkStart w:id="25" w:name="_MON_1517912147"/>
      <w:bookmarkEnd w:id="22"/>
      <w:bookmarkEnd w:id="23"/>
      <w:bookmarkEnd w:id="24"/>
      <w:bookmarkEnd w:id="25"/>
    </w:p>
    <w:p>
      <w:pPr>
        <w:pStyle w:val="Normal"/>
        <w:bidi w:val="0"/>
        <w:ind w:hanging="0" w:start="360" w:end="0"/>
        <w:rPr/>
      </w:pPr>
      <w:r>
        <w:rPr>
          <w:rFonts w:ascii="Times New Roman" w:hAnsi="Times New Roman"/>
        </w:rPr>
        <w:br/>
      </w:r>
      <w:r>
        <w:rPr>
          <w:rFonts w:ascii="Times New Roman" w:hAnsi="Times New Roman"/>
          <w:sz w:val="20"/>
          <w:szCs w:val="20"/>
        </w:rPr>
        <w:t>V roku 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uhradila Spoločnosť za poistenie majetku celkom  </w:t>
      </w:r>
      <w:r>
        <w:rPr>
          <w:rFonts w:ascii="Times New Roman" w:hAnsi="Times New Roman"/>
          <w:sz w:val="20"/>
          <w:szCs w:val="20"/>
        </w:rPr>
        <w:t>6 364,-</w:t>
      </w: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object w:dxaOrig="6660" w:dyaOrig="2014">
          <v:shapetype id="_x0000_tole_rId12" coordsize="21600,21600" o:spt="1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12" type="_x0000_tole_rId12" style="position:absolute;margin-left:24.2pt;margin-top:14.6pt;width:369.6pt;height:98.1pt;mso-position-horizontal-relative:text;mso-position-vertical-relative:text" filled="f" o:ole="">
            <v:imagedata r:id="rId13" o:title=""/>
            <w10:wrap type="topAndBottom"/>
          </v:shape>
          <o:OLEObject Type="Embed" ProgID="Excel.Sheet.12" ShapeID="ole_rId12" DrawAspect="Content" ObjectID="_1897067437" r:id="rId12"/>
        </w:object>
      </w:r>
      <w:r>
        <w:rPr>
          <w:rFonts w:ascii="Times New Roman" w:hAnsi="Times New Roman"/>
          <w:sz w:val="20"/>
          <w:szCs w:val="20"/>
        </w:rPr>
        <w:t xml:space="preserve">€. </w:t>
      </w:r>
    </w:p>
    <w:p>
      <w:pPr>
        <w:pStyle w:val="Heading2"/>
        <w:numPr>
          <w:ilvl w:val="0"/>
          <w:numId w:val="12"/>
        </w:numPr>
        <w:tabs>
          <w:tab w:val="clear" w:pos="708"/>
          <w:tab w:val="left" w:pos="0" w:leader="none"/>
        </w:tabs>
        <w:bidi w:val="0"/>
        <w:spacing w:before="183" w:after="63"/>
        <w:ind w:hanging="294" w:start="720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Vlastnícke právo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Neaktuálne.</w:t>
      </w:r>
    </w:p>
    <w:p>
      <w:pPr>
        <w:pStyle w:val="Heading2"/>
        <w:numPr>
          <w:ilvl w:val="0"/>
          <w:numId w:val="12"/>
        </w:numPr>
        <w:tabs>
          <w:tab w:val="clear" w:pos="708"/>
          <w:tab w:val="left" w:pos="0" w:leader="none"/>
        </w:tabs>
        <w:bidi w:val="0"/>
        <w:spacing w:before="183" w:after="63"/>
        <w:ind w:hanging="294" w:start="720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Záložné právo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neeviduje dlhodobý majetok, na ktorý je zriadené záložné právo, ani dlhodobý majetok, pri ktorom má účtovná obmedzené právo nakladať s ním.</w:t>
      </w:r>
    </w:p>
    <w:p>
      <w:pPr>
        <w:pStyle w:val="Heading2"/>
        <w:numPr>
          <w:ilvl w:val="0"/>
          <w:numId w:val="12"/>
        </w:numPr>
        <w:tabs>
          <w:tab w:val="clear" w:pos="708"/>
          <w:tab w:val="left" w:pos="0" w:leader="none"/>
        </w:tabs>
        <w:bidi w:val="0"/>
        <w:spacing w:before="183" w:after="63"/>
        <w:ind w:hanging="360" w:start="720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Goodwill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nemá majetok, ktorým je goodwill.</w:t>
      </w:r>
    </w:p>
    <w:p>
      <w:pPr>
        <w:pStyle w:val="Heading2"/>
        <w:numPr>
          <w:ilvl w:val="0"/>
          <w:numId w:val="12"/>
        </w:numPr>
        <w:tabs>
          <w:tab w:val="clear" w:pos="708"/>
          <w:tab w:val="left" w:pos="0" w:leader="none"/>
        </w:tabs>
        <w:bidi w:val="0"/>
        <w:spacing w:before="183" w:after="63"/>
        <w:ind w:hanging="360" w:start="720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Výskumná a vývojová činnosť</w:t>
      </w:r>
      <w:bookmarkStart w:id="26" w:name="_MON_1315638700"/>
      <w:bookmarkStart w:id="27" w:name="_MON_1315638233"/>
      <w:bookmarkStart w:id="28" w:name="_MON_1361168381"/>
      <w:bookmarkStart w:id="29" w:name="_MON_1360754648"/>
      <w:bookmarkStart w:id="30" w:name="_MON_1360754405"/>
      <w:bookmarkStart w:id="31" w:name="_MON_1360561699"/>
      <w:bookmarkStart w:id="32" w:name="_MON_1360561489"/>
      <w:bookmarkStart w:id="33" w:name="_MON_1360560826"/>
      <w:bookmarkStart w:id="34" w:name="_MON_1360560790"/>
      <w:bookmarkStart w:id="35" w:name="_MON_1360560282"/>
      <w:bookmarkStart w:id="36" w:name="_MON_1360492638"/>
      <w:bookmarkStart w:id="37" w:name="_MON_1360168520"/>
      <w:bookmarkStart w:id="38" w:name="_MON_1360165136"/>
      <w:bookmarkStart w:id="39" w:name="_MON_1360165128"/>
      <w:bookmarkStart w:id="40" w:name="_MON_1359296804"/>
      <w:bookmarkStart w:id="41" w:name="_MON_1328608217"/>
      <w:bookmarkStart w:id="42" w:name="_MON_1328446278"/>
      <w:bookmarkStart w:id="43" w:name="_MON_1315639252"/>
      <w:bookmarkStart w:id="44" w:name="_MON_1315639239"/>
      <w:bookmarkStart w:id="45" w:name="_MON_1315639216"/>
      <w:bookmarkStart w:id="46" w:name="_MON_1315639209"/>
      <w:bookmarkStart w:id="47" w:name="_MON_1315639100"/>
      <w:bookmarkStart w:id="48" w:name="_MON_1315638990"/>
      <w:bookmarkStart w:id="49" w:name="_MON_1315638932"/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Neaktuálne.</w:t>
      </w:r>
    </w:p>
    <w:p>
      <w:pPr>
        <w:pStyle w:val="Heading2"/>
        <w:numPr>
          <w:ilvl w:val="0"/>
          <w:numId w:val="12"/>
        </w:numPr>
        <w:tabs>
          <w:tab w:val="clear" w:pos="708"/>
          <w:tab w:val="left" w:pos="0" w:leader="none"/>
        </w:tabs>
        <w:bidi w:val="0"/>
        <w:spacing w:before="183" w:after="63"/>
        <w:ind w:hanging="360" w:start="720" w:end="0"/>
        <w:rPr>
          <w:rFonts w:ascii="Times New Roman" w:hAnsi="Times New Roman"/>
          <w:i w:val="false"/>
          <w:sz w:val="20"/>
        </w:rPr>
      </w:pPr>
      <w:r>
        <w:rPr>
          <w:rFonts w:ascii="Times New Roman" w:hAnsi="Times New Roman"/>
          <w:i w:val="false"/>
          <w:sz w:val="20"/>
        </w:rPr>
        <w:t>-k)  Dlhodobý  finančný majetok a jeho štruktúra</w:t>
      </w:r>
      <w:bookmarkStart w:id="50" w:name="_MON_1388939082"/>
      <w:bookmarkStart w:id="51" w:name="_MON_1389111930"/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Neaktuálne.</w:t>
      </w:r>
      <w:bookmarkStart w:id="52" w:name="_MON_1454416237"/>
      <w:bookmarkStart w:id="53" w:name="_MON_1454416515"/>
      <w:bookmarkStart w:id="54" w:name="_MON_1454911600"/>
      <w:bookmarkStart w:id="55" w:name="_MON_1454416621"/>
      <w:bookmarkStart w:id="56" w:name="_MON_1485347086"/>
      <w:bookmarkStart w:id="57" w:name="_MON_1454844396"/>
      <w:bookmarkStart w:id="58" w:name="_MON_1454844951"/>
      <w:bookmarkStart w:id="59" w:name="_MON_1456132009"/>
      <w:bookmarkStart w:id="60" w:name="_MON_1388940369"/>
    </w:p>
    <w:p>
      <w:pPr>
        <w:pStyle w:val="Heading2"/>
        <w:numPr>
          <w:ilvl w:val="0"/>
          <w:numId w:val="13"/>
        </w:numPr>
        <w:tabs>
          <w:tab w:val="clear" w:pos="708"/>
          <w:tab w:val="left" w:pos="0" w:leader="none"/>
        </w:tabs>
        <w:bidi w:val="0"/>
        <w:spacing w:before="183" w:after="63"/>
        <w:ind w:hanging="360" w:start="720" w:end="0"/>
        <w:rPr>
          <w:rFonts w:ascii="Times New Roman" w:hAnsi="Times New Roman" w:cs="Times New Roman"/>
          <w:i w:val="false"/>
          <w:sz w:val="20"/>
        </w:rPr>
      </w:pPr>
      <w:bookmarkStart w:id="61" w:name="_MON_1361346580"/>
      <w:bookmarkStart w:id="62" w:name="_MON_1361346413"/>
      <w:bookmarkStart w:id="63" w:name="_MON_1361345677"/>
      <w:bookmarkStart w:id="64" w:name="_MON_1360754345"/>
      <w:bookmarkStart w:id="65" w:name="_MON_1360754319"/>
      <w:bookmarkStart w:id="66" w:name="_MON_1360751709"/>
      <w:bookmarkStart w:id="67" w:name="_MON_1454416270"/>
      <w:bookmarkStart w:id="68" w:name="_MON_1360494679"/>
      <w:bookmarkStart w:id="69" w:name="_MON_1485346954"/>
      <w:bookmarkStart w:id="70" w:name="_MON_1360495621"/>
      <w:bookmarkStart w:id="71" w:name="_MON_1370169694"/>
      <w:bookmarkStart w:id="72" w:name="_MON_1361347665"/>
      <w:bookmarkStart w:id="73" w:name="_MON_1361347238"/>
      <w:r>
        <w:rPr>
          <w:rFonts w:cs="Times New Roman" w:ascii="Times New Roman" w:hAnsi="Times New Roman"/>
          <w:i w:val="false"/>
          <w:sz w:val="20"/>
        </w:rPr>
        <w:t>Zásoby</w:t>
      </w:r>
      <w:bookmarkStart w:id="74" w:name="prehlad"/>
    </w:p>
    <w:p>
      <w:pPr>
        <w:pStyle w:val="BodyText"/>
        <w:bidi w:val="0"/>
        <w:ind w:firstLine="360" w:start="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v roku 202</w:t>
      </w:r>
      <w:r>
        <w:rPr>
          <w:rFonts w:ascii="Times New Roman" w:hAnsi="Times New Roman"/>
          <w:sz w:val="20"/>
        </w:rPr>
        <w:t>5</w:t>
      </w:r>
      <w:r>
        <w:rPr>
          <w:rFonts w:ascii="Times New Roman" w:hAnsi="Times New Roman"/>
          <w:sz w:val="20"/>
        </w:rPr>
        <w:t xml:space="preserve"> netvorila opravnú položku k zásobám. </w:t>
      </w:r>
      <w:bookmarkStart w:id="75" w:name="_MON_1066667876"/>
      <w:bookmarkStart w:id="76" w:name="_MON_1066667900"/>
      <w:bookmarkStart w:id="77" w:name="_MON_1066667955"/>
      <w:bookmarkStart w:id="78" w:name="_MON_1066749303"/>
      <w:bookmarkStart w:id="79" w:name="_MON_1094479584"/>
      <w:bookmarkStart w:id="80" w:name="_MON_1122617700"/>
      <w:bookmarkStart w:id="81" w:name="_MON_1127126523"/>
      <w:bookmarkStart w:id="82" w:name="_MON_1154781652"/>
      <w:bookmarkStart w:id="83" w:name="_MON_1154949732"/>
      <w:bookmarkStart w:id="84" w:name="_MON_1160252225"/>
      <w:bookmarkStart w:id="85" w:name="_MON_1160252252"/>
      <w:bookmarkStart w:id="86" w:name="_MON_1160915469"/>
      <w:bookmarkStart w:id="87" w:name="_MON_1189921781"/>
      <w:bookmarkStart w:id="88" w:name="_MON_1221377431"/>
      <w:bookmarkStart w:id="89" w:name="_MON_1221384011"/>
      <w:bookmarkStart w:id="90" w:name="_MON_1221384038"/>
      <w:bookmarkStart w:id="91" w:name="_MON_1249137874"/>
      <w:bookmarkStart w:id="92" w:name="_MON_1293358072"/>
      <w:bookmarkStart w:id="93" w:name="_MON_1296481979"/>
      <w:bookmarkStart w:id="94" w:name="_MON_1296482033"/>
      <w:bookmarkStart w:id="95" w:name="_MON_1296482047"/>
      <w:bookmarkStart w:id="96" w:name="_MON_1315639400"/>
      <w:bookmarkStart w:id="97" w:name="_MON_1315639457"/>
      <w:bookmarkStart w:id="98" w:name="_MON_1328446396"/>
      <w:bookmarkStart w:id="99" w:name="_MON_1359296990"/>
      <w:bookmarkStart w:id="100" w:name="_MON_1360495742"/>
      <w:bookmarkStart w:id="101" w:name="_MON_1370169710"/>
      <w:bookmarkStart w:id="102" w:name="_MON_1370169750"/>
      <w:bookmarkStart w:id="103" w:name="_MON_1066667455"/>
      <w:bookmarkStart w:id="104" w:name="_MON_1066667704"/>
      <w:bookmarkStart w:id="105" w:name="_MON_1066667736"/>
    </w:p>
    <w:p>
      <w:pPr>
        <w:pStyle w:val="BodyText"/>
        <w:bidi w:val="0"/>
        <w:ind w:firstLine="360" w:start="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V roku 202</w:t>
      </w:r>
      <w:r>
        <w:rPr>
          <w:rFonts w:ascii="Times New Roman" w:hAnsi="Times New Roman"/>
          <w:sz w:val="20"/>
        </w:rPr>
        <w:t>5</w:t>
      </w:r>
      <w:r>
        <w:rPr>
          <w:rFonts w:ascii="Times New Roman" w:hAnsi="Times New Roman"/>
          <w:sz w:val="20"/>
        </w:rPr>
        <w:t xml:space="preserve"> mala spoločnosť poistené v spoločnosti Allianz Slovenská poisťovňa, a. s.</w:t>
      </w:r>
    </w:p>
    <w:p>
      <w:pPr>
        <w:pStyle w:val="Heading2"/>
        <w:numPr>
          <w:ilvl w:val="0"/>
          <w:numId w:val="13"/>
        </w:numPr>
        <w:tabs>
          <w:tab w:val="clear" w:pos="708"/>
          <w:tab w:val="left" w:pos="0" w:leader="none"/>
        </w:tabs>
        <w:bidi w:val="0"/>
        <w:spacing w:before="183" w:after="63"/>
        <w:ind w:hanging="360" w:start="720" w:end="0"/>
        <w:rPr>
          <w:rFonts w:ascii="Times New Roman" w:hAnsi="Times New Roman"/>
        </w:rPr>
      </w:pPr>
      <w:bookmarkStart w:id="106" w:name="_MON_1315639661"/>
      <w:bookmarkStart w:id="107" w:name="_MON_1315639566"/>
      <w:bookmarkStart w:id="108" w:name="_MON_1370169773"/>
      <w:bookmarkStart w:id="109" w:name="_MON_1360754577"/>
      <w:bookmarkStart w:id="110" w:name="_MON_1517916386"/>
      <w:bookmarkStart w:id="111" w:name="_MON_1359297400"/>
      <w:bookmarkStart w:id="112" w:name="_MON_1328608282"/>
      <w:r>
        <w:rPr>
          <w:rFonts w:cs="Times New Roman" w:ascii="Times New Roman" w:hAnsi="Times New Roman"/>
          <w:i w:val="false"/>
          <w:sz w:val="20"/>
        </w:rPr>
        <w:t>Z</w:t>
      </w:r>
      <w:r>
        <w:rPr>
          <w:rFonts w:cs="Times New Roman" w:ascii="Times New Roman" w:hAnsi="Times New Roman"/>
          <w:i w:val="false"/>
          <w:sz w:val="20"/>
        </w:rPr>
        <w:t>áložné právo k zásobám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neeviduje zásoby, na ktoré je zriadené záložné právo, ani zásoby, pri ktorých má účtovná obmedzené právo nakladať s ním.</w:t>
      </w:r>
    </w:p>
    <w:p>
      <w:pPr>
        <w:pStyle w:val="BodyText"/>
        <w:numPr>
          <w:ilvl w:val="0"/>
          <w:numId w:val="13"/>
        </w:numPr>
        <w:tabs>
          <w:tab w:val="clear" w:pos="708"/>
          <w:tab w:val="left" w:pos="0" w:leader="none"/>
        </w:tabs>
        <w:bidi w:val="0"/>
        <w:spacing w:before="0" w:after="83"/>
        <w:ind w:hanging="360" w:start="720" w:end="0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Údaje o zákazkovej výrobe</w:t>
      </w:r>
    </w:p>
    <w:p>
      <w:pPr>
        <w:pStyle w:val="BodyText"/>
        <w:bidi w:val="0"/>
        <w:spacing w:before="0" w:after="83"/>
        <w:ind w:firstLine="360" w:start="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neúčtuje o zákazkovej výrobe.</w:t>
      </w:r>
    </w:p>
    <w:p>
      <w:pPr>
        <w:pStyle w:val="Heading2"/>
        <w:numPr>
          <w:ilvl w:val="0"/>
          <w:numId w:val="13"/>
        </w:numPr>
        <w:tabs>
          <w:tab w:val="clear" w:pos="708"/>
          <w:tab w:val="left" w:pos="0" w:leader="none"/>
        </w:tabs>
        <w:bidi w:val="0"/>
        <w:spacing w:before="183" w:after="63"/>
        <w:ind w:hanging="360" w:start="720" w:end="0"/>
        <w:rPr>
          <w:rFonts w:ascii="Times New Roman" w:hAnsi="Times New Roman" w:eastAsia="Microsoft YaHei" w:cs="Times New Roman"/>
          <w:b/>
          <w:i w:val="false"/>
          <w:sz w:val="20"/>
          <w:szCs w:val="28"/>
        </w:rPr>
      </w:pPr>
      <w:r>
        <w:rPr>
          <w:rFonts w:eastAsia="Microsoft YaHei" w:cs="Times New Roman" w:ascii="Times New Roman" w:hAnsi="Times New Roman"/>
          <w:b/>
          <w:i w:val="false"/>
          <w:sz w:val="20"/>
          <w:szCs w:val="28"/>
        </w:rPr>
        <w:t>Pohľadávky</w:t>
      </w:r>
    </w:p>
    <w:p>
      <w:pPr>
        <w:pStyle w:val="BodyText"/>
        <w:bidi w:val="0"/>
        <w:spacing w:before="0" w:after="83"/>
        <w:ind w:firstLine="360" w:start="0" w:end="0"/>
        <w:rPr>
          <w:rFonts w:ascii="Times New Roman" w:hAnsi="Times New Roman"/>
        </w:rPr>
      </w:pPr>
      <w:bookmarkStart w:id="113" w:name="_MON_1361346580"/>
      <w:bookmarkStart w:id="114" w:name="_MON_1361346413"/>
      <w:bookmarkStart w:id="115" w:name="_MON_1361345677"/>
      <w:bookmarkStart w:id="116" w:name="_MON_1360754345"/>
      <w:bookmarkStart w:id="117" w:name="_MON_1360754319"/>
      <w:bookmarkStart w:id="118" w:name="_MON_1360751709"/>
      <w:bookmarkStart w:id="119" w:name="_MON_1454416270"/>
      <w:bookmarkStart w:id="120" w:name="_MON_1360494679"/>
      <w:bookmarkStart w:id="121" w:name="_MON_1485346954"/>
      <w:bookmarkStart w:id="122" w:name="_MON_1360495621"/>
      <w:bookmarkStart w:id="123" w:name="_MON_1370169694"/>
      <w:bookmarkStart w:id="124" w:name="_MON_1361347665"/>
      <w:bookmarkStart w:id="125" w:name="_MON_1361347238"/>
      <w:bookmarkStart w:id="126" w:name="_MON_1315639661"/>
      <w:bookmarkStart w:id="127" w:name="_MON_1315639566"/>
      <w:bookmarkStart w:id="128" w:name="_MON_1370169773"/>
      <w:bookmarkStart w:id="129" w:name="_MON_1360754577"/>
      <w:bookmarkStart w:id="130" w:name="_MON_1517916386"/>
      <w:bookmarkStart w:id="131" w:name="_MON_1359297400"/>
      <w:bookmarkStart w:id="132" w:name="_MON_1328608282"/>
      <w:r>
        <w:rPr>
          <w:rFonts w:ascii="Times New Roman" w:hAnsi="Times New Roman"/>
          <w:sz w:val="20"/>
        </w:rPr>
        <w:t>Vývoj opravnej položky v priebehu účtovného obdobia je zobrazený v nasledujúcom preh</w:t>
      </w:r>
      <w:bookmarkStart w:id="133" w:name="_MON_1485348145"/>
      <w:bookmarkStart w:id="134" w:name="_MON_1485351361"/>
      <w:bookmarkStart w:id="135" w:name="_MON_1516793665"/>
      <w:bookmarkStart w:id="136" w:name="_MON_1485351221"/>
      <w:bookmarkStart w:id="137" w:name="_MON_1487741154"/>
      <w:bookmarkStart w:id="138" w:name="_MON_1516700568"/>
      <w:bookmarkStart w:id="139" w:name="_MON_1516700231"/>
      <w:bookmarkStart w:id="140" w:name="_MON_1486995857"/>
      <w:bookmarkStart w:id="141" w:name="_MON_1516613491"/>
      <w:bookmarkStart w:id="142" w:name="_MON_1516611235"/>
      <w:bookmarkStart w:id="143" w:name="_MON_1516603879"/>
      <w:bookmarkStart w:id="144" w:name="_MON_1516600671"/>
      <w:bookmarkStart w:id="145" w:name="_MON_1516600346"/>
      <w:bookmarkStart w:id="146" w:name="_MON_1516600222"/>
      <w:bookmarkStart w:id="147" w:name="_MON_1516600217"/>
      <w:bookmarkStart w:id="148" w:name="_MON_1517917159"/>
      <w:bookmarkStart w:id="149" w:name="_MON_1516600188"/>
      <w:bookmarkStart w:id="150" w:name="_MON_1516600175"/>
      <w:bookmarkStart w:id="151" w:name="_MON_1516599958"/>
      <w:bookmarkStart w:id="152" w:name="_MON_1516598728"/>
      <w:bookmarkStart w:id="153" w:name="_MON_1486995345"/>
      <w:bookmarkStart w:id="154" w:name="_MON_1516537063"/>
      <w:bookmarkStart w:id="155" w:name="_MON_1485351205"/>
      <w:bookmarkStart w:id="156" w:name="_MON_1485351194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26"/>
      <w:bookmarkEnd w:id="127"/>
      <w:bookmarkEnd w:id="128"/>
      <w:bookmarkEnd w:id="129"/>
      <w:bookmarkEnd w:id="130"/>
      <w:bookmarkEnd w:id="131"/>
      <w:bookmarkEnd w:id="132"/>
      <w:r>
        <w:object w:dxaOrig="9778" w:dyaOrig="2862">
          <v:shapetype id="_x0000_tole_rId14" coordsize="21600,21600" o:spt="14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14" type="_x0000_tole_rId14" style="position:absolute;margin-left:-15.2pt;margin-top:15.7pt;width:531.8pt;height:130.7pt;mso-position-horizontal-relative:text;mso-position-vertical-relative:text" filled="f" o:ole="">
            <v:imagedata r:id="rId15" o:title=""/>
            <w10:wrap type="square" side="largest"/>
          </v:shape>
          <o:OLEObject Type="Embed" ProgID="Excel.Sheet.12" ShapeID="ole_rId14" DrawAspect="Content" ObjectID="_1650029945" r:id="rId14"/>
        </w:object>
      </w:r>
      <w:r>
        <w:rPr>
          <w:rFonts w:ascii="Times New Roman" w:hAnsi="Times New Roman"/>
          <w:sz w:val="20"/>
        </w:rPr>
        <w:t>ľade</w:t>
      </w:r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r>
        <w:rPr>
          <w:rFonts w:ascii="Times New Roman" w:hAnsi="Times New Roman"/>
          <w:sz w:val="20"/>
        </w:rPr>
        <w:t>:</w:t>
      </w:r>
    </w:p>
    <w:p>
      <w:pPr>
        <w:pStyle w:val="Normal"/>
        <w:bidi w:val="0"/>
        <w:ind w:hanging="0" w:start="360" w:end="0"/>
        <w:rPr>
          <w:rFonts w:ascii="Times New Roman" w:hAnsi="Times New Roman" w:eastAsia="Microsoft YaHei" w:cs="Times New Roman"/>
          <w:b/>
          <w:i w:val="false"/>
          <w:sz w:val="20"/>
          <w:szCs w:val="28"/>
        </w:rPr>
      </w:pPr>
      <w:r>
        <w:rPr>
          <w:rFonts w:eastAsia="Microsoft YaHei" w:cs="Times New Roman" w:ascii="Times New Roman" w:hAnsi="Times New Roman"/>
          <w:b/>
          <w:i w:val="false"/>
          <w:sz w:val="20"/>
          <w:szCs w:val="28"/>
        </w:rPr>
      </w:r>
    </w:p>
    <w:p>
      <w:pPr>
        <w:pStyle w:val="Normal"/>
        <w:bidi w:val="0"/>
        <w:ind w:hanging="0" w:start="360" w:end="0"/>
        <w:rPr>
          <w:rFonts w:ascii="Times New Roman" w:hAnsi="Times New Roman" w:eastAsia="Microsoft YaHei" w:cs="Times New Roman"/>
          <w:b/>
          <w:i w:val="false"/>
          <w:sz w:val="20"/>
          <w:szCs w:val="28"/>
        </w:rPr>
      </w:pPr>
      <w:r>
        <w:rPr>
          <w:rFonts w:eastAsia="Microsoft YaHei" w:cs="Times New Roman" w:ascii="Times New Roman" w:hAnsi="Times New Roman"/>
          <w:b/>
          <w:i w:val="false"/>
          <w:sz w:val="20"/>
          <w:szCs w:val="28"/>
        </w:rPr>
      </w:r>
    </w:p>
    <w:p>
      <w:pPr>
        <w:pStyle w:val="Normal"/>
        <w:bidi w:val="0"/>
        <w:ind w:hanging="0" w:start="360" w:end="0"/>
        <w:rPr>
          <w:rFonts w:ascii="Times New Roman" w:hAnsi="Times New Roman" w:eastAsia="Microsoft YaHei" w:cs="Times New Roman"/>
          <w:b/>
          <w:i w:val="false"/>
          <w:sz w:val="20"/>
          <w:szCs w:val="28"/>
        </w:rPr>
      </w:pPr>
      <w:r>
        <w:rPr>
          <w:rFonts w:eastAsia="Microsoft YaHei" w:cs="Times New Roman" w:ascii="Times New Roman" w:hAnsi="Times New Roman"/>
          <w:b/>
          <w:i w:val="false"/>
          <w:sz w:val="20"/>
          <w:szCs w:val="28"/>
        </w:rPr>
      </w:r>
    </w:p>
    <w:p>
      <w:pPr>
        <w:pStyle w:val="Normal"/>
        <w:bidi w:val="0"/>
        <w:ind w:hanging="0" w:start="360" w:end="0"/>
        <w:rPr>
          <w:rFonts w:ascii="Times New Roman" w:hAnsi="Times New Roman" w:eastAsia="Microsoft YaHei" w:cs="Times New Roman"/>
          <w:b/>
          <w:i w:val="false"/>
          <w:sz w:val="20"/>
          <w:szCs w:val="28"/>
        </w:rPr>
      </w:pPr>
      <w:r>
        <w:rPr>
          <w:rFonts w:eastAsia="Microsoft YaHei" w:cs="Times New Roman" w:ascii="Times New Roman" w:hAnsi="Times New Roman"/>
          <w:b/>
          <w:i w:val="false"/>
          <w:sz w:val="20"/>
          <w:szCs w:val="28"/>
        </w:rPr>
      </w:r>
    </w:p>
    <w:p>
      <w:pPr>
        <w:pStyle w:val="Normal"/>
        <w:bidi w:val="0"/>
        <w:ind w:hanging="0" w:start="360" w:end="0"/>
        <w:rPr>
          <w:rFonts w:ascii="Times New Roman" w:hAnsi="Times New Roman" w:eastAsia="Microsoft YaHei" w:cs="Times New Roman"/>
          <w:b/>
          <w:i w:val="false"/>
          <w:sz w:val="20"/>
          <w:szCs w:val="28"/>
        </w:rPr>
      </w:pPr>
      <w:r>
        <w:rPr>
          <w:rFonts w:eastAsia="Microsoft YaHei" w:cs="Times New Roman" w:ascii="Times New Roman" w:hAnsi="Times New Roman"/>
          <w:b/>
          <w:i w:val="false"/>
          <w:sz w:val="20"/>
          <w:szCs w:val="28"/>
        </w:rPr>
      </w:r>
      <w:bookmarkStart w:id="157" w:name="_MON_15166126912"/>
      <w:bookmarkStart w:id="158" w:name="_MON_15166166642"/>
      <w:bookmarkStart w:id="159" w:name="_MON_15166213052"/>
      <w:bookmarkStart w:id="160" w:name="_MON_14869970422"/>
      <w:bookmarkStart w:id="161" w:name="_MON_15166943052"/>
      <w:bookmarkStart w:id="162" w:name="_MON_14561336952"/>
      <w:bookmarkStart w:id="163" w:name="_MON_14548477242"/>
      <w:bookmarkStart w:id="164" w:name="_MON_15167936972"/>
      <w:bookmarkStart w:id="165" w:name="_MON_14544186012"/>
      <w:bookmarkStart w:id="166" w:name="_MON_14871680812"/>
      <w:bookmarkStart w:id="167" w:name="_MON_14544182622"/>
      <w:bookmarkStart w:id="168" w:name="_MON_14548473552"/>
      <w:bookmarkStart w:id="169" w:name="_MON_14853522572"/>
      <w:bookmarkStart w:id="170" w:name="_MON_14853526152"/>
      <w:bookmarkStart w:id="171" w:name="_MON_14853526742"/>
      <w:bookmarkStart w:id="172" w:name="_MON_14548475262"/>
      <w:bookmarkStart w:id="173" w:name="_MON_14856865512"/>
      <w:bookmarkStart w:id="174" w:name="_MON_14856867222"/>
      <w:bookmarkStart w:id="175" w:name="_MON_15179172252"/>
      <w:bookmarkStart w:id="176" w:name="_MON_15179173872"/>
      <w:bookmarkStart w:id="177" w:name="_MON_15179188302"/>
      <w:bookmarkStart w:id="178" w:name="_MON_15179190392"/>
      <w:bookmarkStart w:id="179" w:name="_MON_15179191272"/>
      <w:bookmarkStart w:id="180" w:name="_MON_15179192082"/>
      <w:bookmarkStart w:id="181" w:name="_MON_15179195572"/>
      <w:bookmarkStart w:id="182" w:name="_MON_15179196282"/>
      <w:bookmarkStart w:id="183" w:name="_MON_15179196432"/>
      <w:bookmarkStart w:id="184" w:name="_MON_15179196602"/>
      <w:bookmarkStart w:id="185" w:name="_MON_15179197112"/>
      <w:bookmarkStart w:id="186" w:name="_MON_15179197512"/>
      <w:bookmarkStart w:id="187" w:name="_MON_15179197862"/>
      <w:bookmarkStart w:id="188" w:name="_MON_14856870832"/>
      <w:bookmarkStart w:id="189" w:name="_MON_14869962062"/>
      <w:bookmarkStart w:id="190" w:name="_MON_15166110862"/>
      <w:bookmarkStart w:id="191" w:name="_MON_15166111372"/>
      <w:bookmarkStart w:id="192" w:name="_MON_15166112462"/>
      <w:bookmarkStart w:id="193" w:name="_MON_15182736852"/>
      <w:bookmarkStart w:id="194" w:name="_MON_15182737752"/>
      <w:bookmarkStart w:id="195" w:name="_MON_15182737922"/>
      <w:bookmarkStart w:id="196" w:name="_MON_15166112572"/>
      <w:bookmarkStart w:id="197" w:name="_MON_15166112672"/>
      <w:bookmarkStart w:id="198" w:name="_MON_15189525632"/>
      <w:bookmarkStart w:id="199" w:name="_MON_15166112722"/>
      <w:bookmarkStart w:id="200" w:name="_MON_15166113172"/>
      <w:bookmarkStart w:id="201" w:name="_MON_15166113372"/>
      <w:bookmarkStart w:id="202" w:name="_MON_15166118032"/>
      <w:bookmarkStart w:id="203" w:name="_MON_15166118082"/>
      <w:bookmarkStart w:id="204" w:name="_MON_15166118222"/>
      <w:bookmarkStart w:id="205" w:name="_MON_15166118892"/>
      <w:bookmarkStart w:id="206" w:name="_MON_15166122842"/>
      <w:bookmarkStart w:id="207" w:name="_MON_15166126912"/>
      <w:bookmarkStart w:id="208" w:name="_MON_15166166642"/>
      <w:bookmarkStart w:id="209" w:name="_MON_15166213052"/>
      <w:bookmarkStart w:id="210" w:name="_MON_14869970422"/>
      <w:bookmarkStart w:id="211" w:name="_MON_15166943052"/>
      <w:bookmarkStart w:id="212" w:name="_MON_14561336952"/>
      <w:bookmarkStart w:id="213" w:name="_MON_14548477242"/>
      <w:bookmarkStart w:id="214" w:name="_MON_15167936972"/>
      <w:bookmarkStart w:id="215" w:name="_MON_14544186012"/>
      <w:bookmarkStart w:id="216" w:name="_MON_14871680812"/>
      <w:bookmarkStart w:id="217" w:name="_MON_14544182622"/>
      <w:bookmarkStart w:id="218" w:name="_MON_14548473552"/>
      <w:bookmarkStart w:id="219" w:name="_MON_14853522572"/>
      <w:bookmarkStart w:id="220" w:name="_MON_14853526152"/>
      <w:bookmarkStart w:id="221" w:name="_MON_14853526742"/>
      <w:bookmarkStart w:id="222" w:name="_MON_14548475262"/>
      <w:bookmarkStart w:id="223" w:name="_MON_14856865512"/>
      <w:bookmarkStart w:id="224" w:name="_MON_14856867222"/>
      <w:bookmarkStart w:id="225" w:name="_MON_15179172252"/>
      <w:bookmarkStart w:id="226" w:name="_MON_15179173872"/>
      <w:bookmarkStart w:id="227" w:name="_MON_15179188302"/>
      <w:bookmarkStart w:id="228" w:name="_MON_15179190392"/>
      <w:bookmarkStart w:id="229" w:name="_MON_15179191272"/>
      <w:bookmarkStart w:id="230" w:name="_MON_15179192082"/>
      <w:bookmarkStart w:id="231" w:name="_MON_15179195572"/>
      <w:bookmarkStart w:id="232" w:name="_MON_15179196282"/>
      <w:bookmarkStart w:id="233" w:name="_MON_15179196432"/>
      <w:bookmarkStart w:id="234" w:name="_MON_15179196602"/>
      <w:bookmarkStart w:id="235" w:name="_MON_15179197112"/>
      <w:bookmarkStart w:id="236" w:name="_MON_15179197512"/>
      <w:bookmarkStart w:id="237" w:name="_MON_15179197862"/>
      <w:bookmarkStart w:id="238" w:name="_MON_14856870832"/>
      <w:bookmarkStart w:id="239" w:name="_MON_14869962062"/>
      <w:bookmarkStart w:id="240" w:name="_MON_15166110862"/>
      <w:bookmarkStart w:id="241" w:name="_MON_15166111372"/>
      <w:bookmarkStart w:id="242" w:name="_MON_15166112462"/>
      <w:bookmarkStart w:id="243" w:name="_MON_15182736852"/>
      <w:bookmarkStart w:id="244" w:name="_MON_15182737752"/>
      <w:bookmarkStart w:id="245" w:name="_MON_15182737922"/>
      <w:bookmarkStart w:id="246" w:name="_MON_15166112572"/>
      <w:bookmarkStart w:id="247" w:name="_MON_15166112672"/>
      <w:bookmarkStart w:id="248" w:name="_MON_15189525632"/>
      <w:bookmarkStart w:id="249" w:name="_MON_15166112722"/>
      <w:bookmarkStart w:id="250" w:name="_MON_15166113172"/>
      <w:bookmarkStart w:id="251" w:name="_MON_15166113372"/>
      <w:bookmarkStart w:id="252" w:name="_MON_15166118032"/>
      <w:bookmarkStart w:id="253" w:name="_MON_15166118082"/>
      <w:bookmarkStart w:id="254" w:name="_MON_15166118222"/>
      <w:bookmarkStart w:id="255" w:name="_MON_15166118892"/>
      <w:bookmarkStart w:id="256" w:name="_MON_15166122842"/>
    </w:p>
    <w:p>
      <w:pPr>
        <w:pStyle w:val="Normal"/>
        <w:numPr>
          <w:ilvl w:val="0"/>
          <w:numId w:val="34"/>
        </w:numPr>
        <w:bidi w:val="0"/>
        <w:rPr>
          <w:rFonts w:ascii="Times New Roman" w:hAnsi="Times New Roman" w:eastAsia="Microsoft YaHei" w:cs="Times New Roman"/>
          <w:b/>
          <w:i w:val="false"/>
          <w:sz w:val="20"/>
          <w:szCs w:val="28"/>
        </w:rPr>
      </w:pPr>
      <w:bookmarkStart w:id="257" w:name="_MON_15166118221"/>
      <w:bookmarkStart w:id="258" w:name="_MON_15166118081"/>
      <w:bookmarkStart w:id="259" w:name="_MON_15166118031"/>
      <w:bookmarkStart w:id="260" w:name="_MON_15166113371"/>
      <w:bookmarkStart w:id="261" w:name="_MON_15166113171"/>
      <w:bookmarkStart w:id="262" w:name="_MON_15166112721"/>
      <w:bookmarkStart w:id="263" w:name="_MON_15189525631"/>
      <w:bookmarkStart w:id="264" w:name="_MON_15166112671"/>
      <w:bookmarkStart w:id="265" w:name="_MON_15166112571"/>
      <w:bookmarkStart w:id="266" w:name="_MON_15182737921"/>
      <w:bookmarkStart w:id="267" w:name="_MON_15182737751"/>
      <w:bookmarkStart w:id="268" w:name="_MON_15182736851"/>
      <w:bookmarkStart w:id="269" w:name="_MON_15166112461"/>
      <w:bookmarkStart w:id="270" w:name="_MON_15166111371"/>
      <w:bookmarkStart w:id="271" w:name="_MON_15166110861"/>
      <w:bookmarkStart w:id="272" w:name="_MON_14869962061"/>
      <w:bookmarkStart w:id="273" w:name="_MON_14856870831"/>
      <w:bookmarkStart w:id="274" w:name="_MON_15179197861"/>
      <w:bookmarkStart w:id="275" w:name="_MON_15179197511"/>
      <w:bookmarkStart w:id="276" w:name="_MON_15179197111"/>
      <w:bookmarkStart w:id="277" w:name="_MON_15179196601"/>
      <w:bookmarkStart w:id="278" w:name="_MON_15179196431"/>
      <w:bookmarkStart w:id="279" w:name="_MON_15179196281"/>
      <w:bookmarkStart w:id="280" w:name="_MON_15179195571"/>
      <w:bookmarkStart w:id="281" w:name="_MON_15179192081"/>
      <w:bookmarkStart w:id="282" w:name="_MON_15179191271"/>
      <w:bookmarkStart w:id="283" w:name="_MON_15179190391"/>
      <w:bookmarkStart w:id="284" w:name="_MON_15179188301"/>
      <w:bookmarkStart w:id="285" w:name="_MON_15179173871"/>
      <w:bookmarkStart w:id="286" w:name="_MON_15179172251"/>
      <w:bookmarkStart w:id="287" w:name="_MON_14856867221"/>
      <w:bookmarkStart w:id="288" w:name="_MON_14856865511"/>
      <w:bookmarkStart w:id="289" w:name="_MON_14548475261"/>
      <w:bookmarkStart w:id="290" w:name="_MON_14853526741"/>
      <w:bookmarkStart w:id="291" w:name="_MON_14853526151"/>
      <w:bookmarkStart w:id="292" w:name="_MON_14853522571"/>
      <w:bookmarkStart w:id="293" w:name="_MON_14548473551"/>
      <w:bookmarkStart w:id="294" w:name="_MON_14544182621"/>
      <w:bookmarkStart w:id="295" w:name="_MON_14871680811"/>
      <w:bookmarkStart w:id="296" w:name="_MON_14544186011"/>
      <w:bookmarkStart w:id="297" w:name="_MON_15167936971"/>
      <w:bookmarkStart w:id="298" w:name="_MON_14548477241"/>
      <w:bookmarkStart w:id="299" w:name="_MON_14561336951"/>
      <w:bookmarkStart w:id="300" w:name="_MON_15166943051"/>
      <w:bookmarkStart w:id="301" w:name="_MON_14869970421"/>
      <w:bookmarkStart w:id="302" w:name="_MON_15166213051"/>
      <w:bookmarkStart w:id="303" w:name="_MON_15166166641"/>
      <w:bookmarkStart w:id="304" w:name="_MON_15166126911"/>
      <w:bookmarkStart w:id="305" w:name="_MON_15166122841"/>
      <w:bookmarkStart w:id="306" w:name="_MON_15166118891"/>
      <w:r>
        <w:rPr>
          <w:rFonts w:eastAsia="Microsoft YaHei" w:cs="Times New Roman" w:ascii="Times New Roman" w:hAnsi="Times New Roman"/>
          <w:b/>
          <w:i w:val="false"/>
          <w:sz w:val="20"/>
          <w:szCs w:val="28"/>
        </w:rPr>
        <w:t>Hodnota pohľadávok do lehoty splatnosti a po lehote splatnosti</w:t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bookmarkStart w:id="307" w:name="_MON_15166126912"/>
      <w:bookmarkStart w:id="308" w:name="_MON_15166166642"/>
      <w:bookmarkStart w:id="309" w:name="_MON_15166213052"/>
      <w:bookmarkStart w:id="310" w:name="_MON_14869970422"/>
      <w:bookmarkStart w:id="311" w:name="_MON_15166943052"/>
      <w:bookmarkStart w:id="312" w:name="_MON_14561336952"/>
      <w:bookmarkStart w:id="313" w:name="_MON_14548477242"/>
      <w:bookmarkStart w:id="314" w:name="_MON_15167936972"/>
      <w:bookmarkStart w:id="315" w:name="_MON_14544186012"/>
      <w:bookmarkStart w:id="316" w:name="_MON_14871680812"/>
      <w:bookmarkStart w:id="317" w:name="_MON_14544182622"/>
      <w:bookmarkStart w:id="318" w:name="_MON_14548473552"/>
      <w:bookmarkStart w:id="319" w:name="_MON_14853522572"/>
      <w:bookmarkStart w:id="320" w:name="_MON_14853526152"/>
      <w:bookmarkStart w:id="321" w:name="_MON_14853526742"/>
      <w:bookmarkStart w:id="322" w:name="_MON_14548475262"/>
      <w:bookmarkStart w:id="323" w:name="_MON_14856865512"/>
      <w:bookmarkStart w:id="324" w:name="_MON_14856867222"/>
      <w:bookmarkStart w:id="325" w:name="_MON_15179172252"/>
      <w:bookmarkStart w:id="326" w:name="_MON_15179173872"/>
      <w:bookmarkStart w:id="327" w:name="_MON_15179188302"/>
      <w:bookmarkStart w:id="328" w:name="_MON_15179190392"/>
      <w:bookmarkStart w:id="329" w:name="_MON_15179191272"/>
      <w:bookmarkStart w:id="330" w:name="_MON_15179192082"/>
      <w:bookmarkStart w:id="331" w:name="_MON_15179195572"/>
      <w:bookmarkStart w:id="332" w:name="_MON_15179196282"/>
      <w:bookmarkStart w:id="333" w:name="_MON_15179196432"/>
      <w:bookmarkStart w:id="334" w:name="_MON_15179196602"/>
      <w:bookmarkStart w:id="335" w:name="_MON_15179197112"/>
      <w:bookmarkStart w:id="336" w:name="_MON_15179197512"/>
      <w:bookmarkStart w:id="337" w:name="_MON_15179197862"/>
      <w:bookmarkStart w:id="338" w:name="_MON_14856870832"/>
      <w:bookmarkStart w:id="339" w:name="_MON_14869962062"/>
      <w:bookmarkStart w:id="340" w:name="_MON_15166110862"/>
      <w:bookmarkStart w:id="341" w:name="_MON_15166111372"/>
      <w:bookmarkStart w:id="342" w:name="_MON_15166112462"/>
      <w:bookmarkStart w:id="343" w:name="_MON_15182736852"/>
      <w:bookmarkStart w:id="344" w:name="_MON_15182737752"/>
      <w:bookmarkStart w:id="345" w:name="_MON_15182737922"/>
      <w:bookmarkStart w:id="346" w:name="_MON_15166112572"/>
      <w:bookmarkStart w:id="347" w:name="_MON_15166112672"/>
      <w:bookmarkStart w:id="348" w:name="_MON_15189525632"/>
      <w:bookmarkStart w:id="349" w:name="_MON_15166112722"/>
      <w:bookmarkStart w:id="350" w:name="_MON_15166113172"/>
      <w:bookmarkStart w:id="351" w:name="_MON_15166113372"/>
      <w:bookmarkStart w:id="352" w:name="_MON_15166118032"/>
      <w:bookmarkStart w:id="353" w:name="_MON_15166118082"/>
      <w:bookmarkStart w:id="354" w:name="_MON_15166118222"/>
      <w:bookmarkStart w:id="355" w:name="_MON_15166118892"/>
      <w:bookmarkStart w:id="356" w:name="_MON_15166122842"/>
      <w:bookmarkStart w:id="357" w:name="_MON_15166118221"/>
      <w:bookmarkStart w:id="358" w:name="_MON_15166118081"/>
      <w:bookmarkStart w:id="359" w:name="_MON_15166118031"/>
      <w:bookmarkStart w:id="360" w:name="_MON_15166113371"/>
      <w:bookmarkStart w:id="361" w:name="_MON_15166113171"/>
      <w:bookmarkStart w:id="362" w:name="_MON_15166112721"/>
      <w:bookmarkStart w:id="363" w:name="_MON_15189525631"/>
      <w:bookmarkStart w:id="364" w:name="_MON_15166112671"/>
      <w:bookmarkStart w:id="365" w:name="_MON_15166112571"/>
      <w:bookmarkStart w:id="366" w:name="_MON_15182737921"/>
      <w:bookmarkStart w:id="367" w:name="_MON_15182737751"/>
      <w:bookmarkStart w:id="368" w:name="_MON_15182736851"/>
      <w:bookmarkStart w:id="369" w:name="_MON_15166112461"/>
      <w:bookmarkStart w:id="370" w:name="_MON_15166111371"/>
      <w:bookmarkStart w:id="371" w:name="_MON_15166110861"/>
      <w:bookmarkStart w:id="372" w:name="_MON_14869962061"/>
      <w:bookmarkStart w:id="373" w:name="_MON_14856870831"/>
      <w:bookmarkStart w:id="374" w:name="_MON_15179197861"/>
      <w:bookmarkStart w:id="375" w:name="_MON_15179197511"/>
      <w:bookmarkStart w:id="376" w:name="_MON_15179197111"/>
      <w:bookmarkStart w:id="377" w:name="_MON_15179196601"/>
      <w:bookmarkStart w:id="378" w:name="_MON_15179196431"/>
      <w:bookmarkStart w:id="379" w:name="_MON_15179196281"/>
      <w:bookmarkStart w:id="380" w:name="_MON_15179195571"/>
      <w:bookmarkStart w:id="381" w:name="_MON_15179192081"/>
      <w:bookmarkStart w:id="382" w:name="_MON_15179191271"/>
      <w:bookmarkStart w:id="383" w:name="_MON_15179190391"/>
      <w:bookmarkStart w:id="384" w:name="_MON_15179188301"/>
      <w:bookmarkStart w:id="385" w:name="_MON_15179173871"/>
      <w:bookmarkStart w:id="386" w:name="_MON_15179172251"/>
      <w:bookmarkStart w:id="387" w:name="_MON_14856867221"/>
      <w:bookmarkStart w:id="388" w:name="_MON_14856865511"/>
      <w:bookmarkStart w:id="389" w:name="_MON_14548475261"/>
      <w:bookmarkStart w:id="390" w:name="_MON_14853526741"/>
      <w:bookmarkStart w:id="391" w:name="_MON_14853526151"/>
      <w:bookmarkStart w:id="392" w:name="_MON_14853522571"/>
      <w:bookmarkStart w:id="393" w:name="_MON_14548473551"/>
      <w:bookmarkStart w:id="394" w:name="_MON_14544182621"/>
      <w:bookmarkStart w:id="395" w:name="_MON_14871680811"/>
      <w:bookmarkStart w:id="396" w:name="_MON_14544186011"/>
      <w:bookmarkStart w:id="397" w:name="_MON_15167936971"/>
      <w:bookmarkStart w:id="398" w:name="_MON_14548477241"/>
      <w:bookmarkStart w:id="399" w:name="_MON_14561336951"/>
      <w:bookmarkStart w:id="400" w:name="_MON_15166943051"/>
      <w:bookmarkStart w:id="401" w:name="_MON_14869970421"/>
      <w:bookmarkStart w:id="402" w:name="_MON_15166213051"/>
      <w:bookmarkStart w:id="403" w:name="_MON_15166166641"/>
      <w:bookmarkStart w:id="404" w:name="_MON_15166126911"/>
      <w:bookmarkStart w:id="405" w:name="_MON_15166122841"/>
      <w:bookmarkStart w:id="406" w:name="_MON_15166118891"/>
      <w:r>
        <w:rPr>
          <w:rFonts w:ascii="Times New Roman" w:hAnsi="Times New Roman"/>
          <w:sz w:val="20"/>
        </w:rPr>
        <w:t>Veková štruktúra pohľadávok  za bežné účtovné obdobie je uvedená v nasledujúcom prehľade:</w:t>
      </w:r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163" w:dyaOrig="5262">
          <v:shapetype id="_x0000_tole_rId16" coordsize="21600,21600" o:spt="16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16" type="_x0000_tole_rId16" style="position:absolute;margin-left:14.05pt;margin-top:2.25pt;width:454.55pt;height:251.1pt;mso-position-horizontal-relative:text;mso-position-vertical-relative:text" filled="f" o:ole="">
            <v:imagedata r:id="rId17" o:title=""/>
            <w10:wrap type="square" side="largest"/>
          </v:shape>
          <o:OLEObject Type="Embed" ProgID="Excel.Sheet.12" ShapeID="ole_rId16" DrawAspect="Content" ObjectID="_646558885" r:id="rId16"/>
        </w:object>
      </w:r>
    </w:p>
    <w:p>
      <w:pPr>
        <w:pStyle w:val="BodyText"/>
        <w:bidi w:val="0"/>
        <w:ind w:hanging="0" w:start="426" w:end="0"/>
        <w:jc w:val="start"/>
        <w:rPr/>
      </w:pPr>
      <w:r>
        <w:rPr>
          <w:rFonts w:ascii="Times New Roman" w:hAnsi="Times New Roman"/>
          <w:sz w:val="20"/>
        </w:rPr>
        <w:t>Vekov</w:t>
      </w:r>
      <w:r>
        <w:rPr>
          <w:sz w:val="20"/>
        </w:rPr>
        <w:object w:dxaOrig="9168" w:dyaOrig="4675">
          <v:shapetype id="_x0000_tole_rId18" coordsize="21600,21600" o:spt="18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18" type="_x0000_tole_rId18" style="position:absolute;margin-left:15.55pt;margin-top:36.45pt;width:455.7pt;height:236.35pt;mso-position-horizontal-relative:text;mso-position-vertical-relative:text" filled="f" o:ole="">
            <v:imagedata r:id="rId19" o:title=""/>
            <w10:wrap type="square" side="largest"/>
          </v:shape>
          <o:OLEObject Type="Embed" ProgID="Excel.Sheet.12" ShapeID="ole_rId18" DrawAspect="Content" ObjectID="_1202293178" r:id="rId18"/>
        </w:object>
      </w:r>
      <w:r>
        <w:rPr>
          <w:sz w:val="20"/>
        </w:rPr>
        <w:t>á štruktúra pohľadávok  za bezprostredne predchádzajúce účtovné obdobie je uvedená v nasledujúcom prehľade:</w:t>
        <w:br/>
      </w:r>
    </w:p>
    <w:p>
      <w:pPr>
        <w:pStyle w:val="Heading2"/>
        <w:numPr>
          <w:ilvl w:val="0"/>
          <w:numId w:val="14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Hodnota pohľadávok zabezpečených záložným právom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Spoločnosť neeviduje pohľadávky, na ktoré je zriadené záložné právo. </w:t>
      </w:r>
    </w:p>
    <w:p>
      <w:pPr>
        <w:pStyle w:val="Heading2"/>
        <w:numPr>
          <w:ilvl w:val="0"/>
          <w:numId w:val="14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Odložená daňová pohľadávka</w:t>
      </w:r>
      <w:bookmarkStart w:id="407" w:name="_MON_1359297651"/>
      <w:bookmarkStart w:id="408" w:name="_MON_1370169821"/>
      <w:bookmarkStart w:id="409" w:name="_MON_1361197398"/>
      <w:bookmarkStart w:id="410" w:name="_MON_1360565893"/>
      <w:bookmarkStart w:id="411" w:name="_MON_1360500944"/>
      <w:bookmarkStart w:id="412" w:name="_MON_1360500696"/>
      <w:bookmarkStart w:id="413" w:name="_MON_1360500448"/>
      <w:bookmarkStart w:id="414" w:name="_MON_1066668907"/>
      <w:bookmarkStart w:id="415" w:name="_MON_1066668019"/>
      <w:bookmarkStart w:id="416" w:name="_MON_1370169792"/>
      <w:bookmarkStart w:id="417" w:name="_MON_1360497685"/>
      <w:bookmarkStart w:id="418" w:name="_MON_1360497474"/>
      <w:bookmarkStart w:id="419" w:name="_MON_1359297472"/>
      <w:bookmarkStart w:id="420" w:name="_MON_1328446930"/>
      <w:bookmarkStart w:id="421" w:name="_MON_1315639716"/>
      <w:bookmarkStart w:id="422" w:name="_MON_1296482403"/>
      <w:bookmarkStart w:id="423" w:name="_MON_1293358438"/>
      <w:bookmarkStart w:id="424" w:name="_MON_1293358366"/>
      <w:bookmarkStart w:id="425" w:name="_MON_1249137916"/>
      <w:bookmarkStart w:id="426" w:name="_MON_1221377486"/>
      <w:bookmarkStart w:id="427" w:name="_MON_1189922015"/>
      <w:bookmarkStart w:id="428" w:name="_MON_1160915493"/>
      <w:bookmarkStart w:id="429" w:name="_MON_1160255582"/>
      <w:bookmarkStart w:id="430" w:name="_MON_1160255562"/>
      <w:bookmarkStart w:id="431" w:name="_MON_1160255510"/>
      <w:bookmarkStart w:id="432" w:name="_MON_1154949723"/>
      <w:bookmarkStart w:id="433" w:name="_MON_1154783067"/>
      <w:bookmarkStart w:id="434" w:name="_MON_1127126724"/>
      <w:bookmarkStart w:id="435" w:name="_MON_1127126651"/>
      <w:bookmarkStart w:id="436" w:name="_MON_1126546125"/>
      <w:bookmarkStart w:id="437" w:name="_MON_1126546097"/>
      <w:bookmarkStart w:id="438" w:name="_MON_1122618021"/>
      <w:bookmarkStart w:id="439" w:name="_MON_1094479777"/>
      <w:bookmarkStart w:id="440" w:name="_MON_1066749439"/>
      <w:bookmarkStart w:id="441" w:name="_MON_1066749414"/>
      <w:bookmarkStart w:id="442" w:name="_MON_1359297677"/>
    </w:p>
    <w:p>
      <w:pPr>
        <w:pStyle w:val="Normal"/>
        <w:bidi w:val="0"/>
        <w:ind w:hanging="0" w:start="36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vykazuje k 31.12.202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odloženú daňov</w:t>
      </w:r>
      <w:r>
        <w:rPr>
          <w:rFonts w:ascii="Times New Roman" w:hAnsi="Times New Roman"/>
          <w:sz w:val="20"/>
          <w:szCs w:val="20"/>
        </w:rPr>
        <w:t>ý záväzok</w:t>
      </w:r>
      <w:r>
        <w:rPr>
          <w:rFonts w:ascii="Times New Roman" w:hAnsi="Times New Roman"/>
          <w:sz w:val="20"/>
          <w:szCs w:val="20"/>
        </w:rPr>
        <w:t>, jej popis je zobrazený v Článku III. 2 bod f).</w:t>
      </w:r>
    </w:p>
    <w:p>
      <w:pPr>
        <w:pStyle w:val="Heading2"/>
        <w:numPr>
          <w:ilvl w:val="0"/>
          <w:numId w:val="14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 w:cs="Times New Roman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 xml:space="preserve">Krátkodobý finančný majetok </w:t>
      </w:r>
    </w:p>
    <w:p>
      <w:pPr>
        <w:pStyle w:val="Normal"/>
        <w:bidi w:val="0"/>
        <w:ind w:hanging="0" w:start="36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nevlastní k 31.12.202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žiadny krátkodobý finančný majetok.</w:t>
      </w:r>
    </w:p>
    <w:p>
      <w:pPr>
        <w:pStyle w:val="Heading2"/>
        <w:numPr>
          <w:ilvl w:val="0"/>
          <w:numId w:val="14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 w:cs="Times New Roman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 xml:space="preserve">Finančné účty </w:t>
      </w:r>
    </w:p>
    <w:p>
      <w:pPr>
        <w:pStyle w:val="Normal"/>
        <w:bidi w:val="0"/>
        <w:ind w:hanging="0" w:start="36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Ako finančné účty sú vykázané peniaze v pokladnici a účty v bankách. </w:t>
      </w:r>
      <w:bookmarkStart w:id="443" w:name="_MON_1516703009"/>
      <w:bookmarkStart w:id="444" w:name="_MON_1517920280"/>
      <w:bookmarkStart w:id="445" w:name="_MON_1486890647"/>
      <w:bookmarkStart w:id="446" w:name="_MON_1486885447"/>
      <w:bookmarkStart w:id="447" w:name="_MON_1485687313"/>
      <w:bookmarkStart w:id="448" w:name="_MON_1486885489"/>
      <w:bookmarkStart w:id="449" w:name="_MON_1486885471"/>
      <w:bookmarkStart w:id="450" w:name="_MON_1516703465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304" w:dyaOrig="2484">
          <v:shapetype id="_x0000_tole_rId20" coordsize="21600,21600" o:spt="20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0" type="_x0000_tole_rId20" style="position:absolute;margin-left:8.05pt;margin-top:0.75pt;width:463.45pt;height:120.4pt;mso-position-horizontal-relative:text;mso-position-vertical-relative:text" filled="f" o:ole="">
            <v:imagedata r:id="rId21" o:title=""/>
            <w10:wrap type="square" side="largest"/>
          </v:shape>
          <o:OLEObject Type="Embed" ProgID="Excel.Sheet.12" ShapeID="ole_rId20" DrawAspect="Content" ObjectID="_979042725" r:id="rId20"/>
        </w:object>
      </w:r>
    </w:p>
    <w:p>
      <w:pPr>
        <w:pStyle w:val="Normal"/>
        <w:bidi w:val="0"/>
        <w:spacing w:before="177" w:after="57"/>
        <w:ind w:hanging="0" w:start="360" w:end="0"/>
        <w:jc w:val="star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Účtami v bankách môže Spoločnosť voľne disponovať. </w:t>
      </w:r>
    </w:p>
    <w:p>
      <w:pPr>
        <w:pStyle w:val="Normal"/>
        <w:bidi w:val="0"/>
        <w:spacing w:before="177" w:after="57"/>
        <w:ind w:hanging="0" w:start="36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má peňažné prostriedky poistené proti odcudzeniu.</w:t>
      </w:r>
    </w:p>
    <w:p>
      <w:pPr>
        <w:pStyle w:val="Normal"/>
        <w:bidi w:val="0"/>
        <w:spacing w:before="177" w:after="57"/>
        <w:ind w:hanging="0" w:start="36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Pre účely vykazovania peňažných tokov zahŕňajú peňažné prostriedky a peňažné ekvivalenty nasledujúce položky:</w:t>
      </w:r>
      <w:bookmarkStart w:id="451" w:name="_MON_1485687547"/>
      <w:bookmarkStart w:id="452" w:name="_MON_1516703555"/>
      <w:bookmarkStart w:id="453" w:name="_MON_1516703436"/>
      <w:bookmarkStart w:id="454" w:name="_MON_1485687632"/>
    </w:p>
    <w:p>
      <w:pPr>
        <w:pStyle w:val="Normal"/>
        <w:bidi w:val="0"/>
        <w:spacing w:before="177" w:after="57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261" w:dyaOrig="1938">
          <v:shapetype id="_x0000_tole_rId22" coordsize="21600,21600" o:spt="2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2" type="_x0000_tole_rId22" style="position:absolute;margin-left:9.4pt;margin-top:-1.85pt;width:461.2pt;height:90.6pt;mso-position-horizontal-relative:text;mso-position-vertical-relative:text" filled="f" o:ole="">
            <v:imagedata r:id="rId23" o:title=""/>
            <w10:wrap type="square" side="largest"/>
          </v:shape>
          <o:OLEObject Type="Embed" ProgID="Excel.Sheet.12" ShapeID="ole_rId22" DrawAspect="Content" ObjectID="_509931034" r:id="rId22"/>
        </w:object>
      </w:r>
    </w:p>
    <w:p>
      <w:pPr>
        <w:pStyle w:val="Heading2"/>
        <w:keepNext w:val="true"/>
        <w:widowControl/>
        <w:numPr>
          <w:ilvl w:val="0"/>
          <w:numId w:val="35"/>
        </w:numPr>
        <w:bidi w:val="0"/>
        <w:spacing w:lineRule="atLeast" w:line="240" w:before="240" w:after="120"/>
        <w:jc w:val="start"/>
        <w:rPr>
          <w:rFonts w:ascii="Times New Roman" w:hAnsi="Times New Roman" w:eastAsia="Microsoft YaHei" w:cs="Times New Roman"/>
          <w:b/>
          <w:i w:val="false"/>
          <w:caps w:val="false"/>
          <w:smallCaps w:val="false"/>
          <w:sz w:val="20"/>
          <w:szCs w:val="20"/>
        </w:rPr>
      </w:pPr>
      <w:r>
        <w:rPr>
          <w:rFonts w:eastAsia="Microsoft YaHei" w:cs="Times New Roman" w:ascii="Times New Roman" w:hAnsi="Times New Roman"/>
          <w:b/>
          <w:i w:val="false"/>
          <w:caps w:val="false"/>
          <w:smallCaps w:val="false"/>
          <w:sz w:val="20"/>
          <w:szCs w:val="20"/>
        </w:rPr>
        <w:t xml:space="preserve">Vlastné akcie  </w:t>
      </w:r>
    </w:p>
    <w:p>
      <w:pPr>
        <w:pStyle w:val="BodyText"/>
        <w:ind w:hanging="0" w:start="786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Neaktuálne.</w:t>
      </w:r>
    </w:p>
    <w:p>
      <w:pPr>
        <w:pStyle w:val="Heading2"/>
        <w:keepNext w:val="true"/>
        <w:widowControl/>
        <w:numPr>
          <w:ilvl w:val="0"/>
          <w:numId w:val="35"/>
        </w:numPr>
        <w:bidi w:val="0"/>
        <w:spacing w:lineRule="atLeast" w:line="240" w:before="240" w:after="120"/>
        <w:ind w:firstLine="340" w:start="0" w:end="0"/>
        <w:jc w:val="start"/>
        <w:rPr/>
      </w:pPr>
      <w:r>
        <w:rPr>
          <w:rFonts w:eastAsia="Microsoft YaHei" w:cs="Times New Roman" w:ascii="Times New Roman;serif" w:hAnsi="Times New Roman;serif"/>
          <w:b/>
          <w:i w:val="false"/>
          <w:caps w:val="false"/>
          <w:smallCaps w:val="false"/>
          <w:sz w:val="20"/>
          <w:szCs w:val="20"/>
        </w:rPr>
        <w:t>Položky časového rozlíšenia aktív</w:t>
      </w:r>
      <w:r>
        <w:rPr>
          <w:rFonts w:eastAsia="Microsoft YaHei" w:cs="Times New Roman" w:ascii="Times New Roman" w:hAnsi="Times New Roman"/>
          <w:b/>
          <w:i w:val="false"/>
          <w:caps w:val="false"/>
          <w:smallCaps w:val="false"/>
          <w:sz w:val="20"/>
          <w:szCs w:val="20"/>
        </w:rPr>
        <w:t xml:space="preserve">  </w:t>
      </w:r>
    </w:p>
    <w:p>
      <w:pPr>
        <w:pStyle w:val="BodyText"/>
        <w:rPr>
          <w:sz w:val="20"/>
        </w:rPr>
      </w:pPr>
      <w:r>
        <w:rPr>
          <w:sz w:val="20"/>
        </w:rPr>
        <w:t>Ide o tieto položky:</w:t>
      </w:r>
      <w:bookmarkStart w:id="455" w:name="_MON_1516703621"/>
      <w:bookmarkStart w:id="456" w:name="_MON_1454420396"/>
      <w:bookmarkStart w:id="457" w:name="_MON_1485693093"/>
      <w:bookmarkStart w:id="458" w:name="_MON_1485687711"/>
      <w:bookmarkStart w:id="459" w:name="_MON_1454420170"/>
      <w:bookmarkStart w:id="460" w:name="_MON_1516776264"/>
      <w:bookmarkStart w:id="461" w:name="_MON_1516776081"/>
      <w:bookmarkStart w:id="462" w:name="_MON_1516776055"/>
      <w:bookmarkStart w:id="463" w:name="_MON_1516776045"/>
      <w:bookmarkStart w:id="464" w:name="_MON_1454420452"/>
      <w:bookmarkStart w:id="465" w:name="_MON_1516707612"/>
      <w:bookmarkStart w:id="466" w:name="_MON_1518274036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125" w:dyaOrig="4834">
          <v:shapetype id="_x0000_tole_rId24" coordsize="21600,21600" o:spt="24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4" type="_x0000_tole_rId24" style="position:absolute;margin-left:10.7pt;margin-top:0.25pt;width:459.7pt;height:234.85pt;mso-position-horizontal-relative:text;mso-position-vertical-relative:text" filled="f" o:ole="">
            <v:imagedata r:id="rId25" o:title=""/>
            <w10:wrap type="square" side="largest"/>
          </v:shape>
          <o:OLEObject Type="Embed" ProgID="Excel.Sheet.12" ShapeID="ole_rId24" DrawAspect="Content" ObjectID="_357678025" r:id="rId24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numPr>
          <w:ilvl w:val="0"/>
          <w:numId w:val="15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k položkám – PASÍVA SÚVAHY</w:t>
      </w:r>
    </w:p>
    <w:p>
      <w:pPr>
        <w:pStyle w:val="Heading2"/>
        <w:numPr>
          <w:ilvl w:val="0"/>
          <w:numId w:val="16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Vlastné imanie</w:t>
      </w:r>
    </w:p>
    <w:p>
      <w:pPr>
        <w:pStyle w:val="BodyText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Základné imanie vo výške </w:t>
      </w:r>
      <w:r>
        <w:rPr>
          <w:rFonts w:ascii="Times New Roman" w:hAnsi="Times New Roman"/>
          <w:sz w:val="20"/>
        </w:rPr>
        <w:t>1</w:t>
      </w:r>
      <w:r>
        <w:rPr>
          <w:rFonts w:ascii="Times New Roman" w:hAnsi="Times New Roman"/>
          <w:sz w:val="20"/>
        </w:rPr>
        <w:t xml:space="preserve">50.000 € je celé splatené a zapísané do obchodného registra. </w:t>
      </w:r>
      <w:bookmarkStart w:id="467" w:name="_MON_1360586390"/>
      <w:bookmarkStart w:id="468" w:name="_MON_1360586366"/>
      <w:bookmarkStart w:id="469" w:name="_MON_1360586320"/>
      <w:bookmarkStart w:id="470" w:name="_MON_1360586299"/>
      <w:bookmarkStart w:id="471" w:name="_MON_1360586275"/>
      <w:bookmarkStart w:id="472" w:name="_MON_1360586235"/>
      <w:bookmarkStart w:id="473" w:name="_MON_1360586215"/>
      <w:bookmarkStart w:id="474" w:name="_MON_1360586201"/>
      <w:bookmarkStart w:id="475" w:name="_MON_1360586187"/>
      <w:bookmarkStart w:id="476" w:name="_MON_1360585976"/>
      <w:bookmarkStart w:id="477" w:name="_MON_1360585960"/>
      <w:bookmarkStart w:id="478" w:name="_MON_1360585619"/>
      <w:bookmarkStart w:id="479" w:name="_MON_1360585560"/>
      <w:bookmarkStart w:id="480" w:name="_MON_1360585211"/>
    </w:p>
    <w:p>
      <w:pPr>
        <w:pStyle w:val="BodyText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netvorila kapitálový fond z príspevkov podľa § 123 ods.2 a § 217a Obchodného zákonníka v znení neskorších predpisov.</w:t>
      </w:r>
    </w:p>
    <w:p>
      <w:pPr>
        <w:pStyle w:val="BodyText"/>
        <w:bidi w:val="0"/>
        <w:ind w:hanging="0" w:start="426" w:end="0"/>
        <w:jc w:val="start"/>
        <w:rPr>
          <w:rFonts w:ascii="Times New Roman" w:hAnsi="Times New Roman"/>
          <w:sz w:val="20"/>
        </w:rPr>
      </w:pPr>
      <w:bookmarkStart w:id="481" w:name="_MON_1516776749"/>
      <w:bookmarkStart w:id="482" w:name="_MON_1485693214"/>
      <w:bookmarkStart w:id="483" w:name="_MON_1454481232"/>
      <w:bookmarkStart w:id="484" w:name="_MON_1454481324"/>
      <w:bookmarkStart w:id="485" w:name="_MON_1485693280"/>
      <w:bookmarkStart w:id="486" w:name="_MON_1518952707"/>
      <w:bookmarkEnd w:id="481"/>
      <w:bookmarkEnd w:id="482"/>
      <w:bookmarkEnd w:id="483"/>
      <w:bookmarkEnd w:id="484"/>
      <w:bookmarkEnd w:id="485"/>
      <w:bookmarkEnd w:id="486"/>
      <w:r>
        <w:rPr>
          <w:rFonts w:ascii="Times New Roman" w:hAnsi="Times New Roman"/>
          <w:sz w:val="20"/>
        </w:rPr>
        <w:t>O rozdelení výsledku hospodárenia za účtovné obdobie 202</w:t>
      </w:r>
      <w:r>
        <w:rPr>
          <w:rFonts w:ascii="Times New Roman" w:hAnsi="Times New Roman"/>
          <w:sz w:val="20"/>
        </w:rPr>
        <w:t>5</w:t>
      </w:r>
      <w:r>
        <w:rPr>
          <w:rFonts w:ascii="Times New Roman" w:hAnsi="Times New Roman"/>
          <w:sz w:val="20"/>
        </w:rPr>
        <w:t xml:space="preserve"> vo výške</w:t>
      </w:r>
      <w:r>
        <w:rPr>
          <w:rFonts w:ascii="Times New Roman" w:hAnsi="Times New Roman"/>
          <w:strike w:val="false"/>
          <w:dstrike w:val="false"/>
          <w:sz w:val="20"/>
        </w:rPr>
        <w:t xml:space="preserve"> </w:t>
      </w:r>
      <w:r>
        <w:rPr>
          <w:rFonts w:ascii="Times New Roman" w:hAnsi="Times New Roman"/>
          <w:strike w:val="false"/>
          <w:dstrike w:val="false"/>
          <w:sz w:val="20"/>
        </w:rPr>
        <w:t>(</w:t>
      </w:r>
      <w:r>
        <w:rPr>
          <w:rFonts w:ascii="Times New Roman" w:hAnsi="Times New Roman"/>
          <w:strike w:val="false"/>
          <w:dstrike w:val="false"/>
          <w:sz w:val="20"/>
        </w:rPr>
        <w:t>–</w:t>
      </w:r>
      <w:r>
        <w:rPr>
          <w:rFonts w:ascii="Times New Roman" w:hAnsi="Times New Roman"/>
          <w:strike w:val="false"/>
          <w:dstrike w:val="false"/>
          <w:sz w:val="20"/>
        </w:rPr>
        <w:t>)</w:t>
      </w:r>
      <w:r>
        <w:rPr>
          <w:rFonts w:ascii="Times New Roman" w:hAnsi="Times New Roman"/>
          <w:strike w:val="false"/>
          <w:dstrike w:val="false"/>
          <w:sz w:val="20"/>
        </w:rPr>
        <w:t xml:space="preserve"> </w:t>
      </w:r>
      <w:r>
        <w:rPr>
          <w:rFonts w:ascii="Times New Roman" w:hAnsi="Times New Roman"/>
          <w:strike w:val="false"/>
          <w:dstrike w:val="false"/>
          <w:sz w:val="20"/>
        </w:rPr>
        <w:t xml:space="preserve">207 519 </w:t>
      </w:r>
      <w:r>
        <w:rPr>
          <w:rFonts w:ascii="Times New Roman" w:hAnsi="Times New Roman"/>
          <w:strike w:val="false"/>
          <w:dstrike w:val="false"/>
          <w:sz w:val="20"/>
        </w:rPr>
        <w:t>Eur</w:t>
      </w:r>
      <w:r>
        <w:rPr>
          <w:rFonts w:ascii="Times New Roman" w:hAnsi="Times New Roman"/>
          <w:sz w:val="20"/>
        </w:rPr>
        <w:t xml:space="preserve"> rozhodne jediný spoločník CHEMOSVIT, a. s.. </w:t>
      </w:r>
    </w:p>
    <w:p>
      <w:pPr>
        <w:pStyle w:val="Heading2"/>
        <w:numPr>
          <w:ilvl w:val="0"/>
          <w:numId w:val="17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>
          <w:rFonts w:ascii="Times New Roman" w:hAnsi="Times New Roman" w:cs="Times New Roman"/>
          <w:i w:val="false"/>
          <w:sz w:val="20"/>
        </w:rPr>
      </w:pPr>
      <w:r>
        <w:object w:dxaOrig="9202" w:dyaOrig="1722">
          <v:shapetype id="_x0000_tole_rId26" coordsize="21600,21600" o:spt="26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6" type="_x0000_tole_rId26" style="position:absolute;margin-left:12.2pt;margin-top:2.45pt;width:463.55pt;height:76.55pt;mso-position-horizontal-relative:text;mso-position-vertical-relative:text" filled="f" o:ole="">
            <v:imagedata r:id="rId27" o:title=""/>
            <w10:wrap type="topAndBottom"/>
          </v:shape>
          <o:OLEObject Type="Embed" ProgID="Excel.Sheet.12" ShapeID="ole_rId26" DrawAspect="Content" ObjectID="_674425316" r:id="rId26"/>
        </w:object>
      </w:r>
      <w:r>
        <w:rPr>
          <w:rFonts w:cs="Times New Roman" w:ascii="Times New Roman" w:hAnsi="Times New Roman"/>
          <w:i w:val="false"/>
          <w:sz w:val="20"/>
        </w:rPr>
        <w:t>Rezervy</w:t>
      </w:r>
    </w:p>
    <w:p>
      <w:pPr>
        <w:pStyle w:val="BodyText"/>
        <w:bidi w:val="0"/>
        <w:ind w:firstLine="360" w:start="0" w:end="0"/>
        <w:rPr>
          <w:sz w:val="20"/>
        </w:rPr>
      </w:pPr>
      <w:r>
        <w:rPr>
          <w:sz w:val="20"/>
        </w:rPr>
        <w:t>Prehľad o rezervách je uvedený v nasledujúcich prehľadoch: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803" w:dyaOrig="4899">
          <v:shapetype id="_x0000_tole_rId28" coordsize="21600,21600" o:spt="28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28" type="_x0000_tole_rId28" style="position:absolute;margin-left:17.35pt;margin-top:1.4pt;width:470.4pt;height:230.7pt;mso-position-horizontal-relative:text;mso-position-vertical-relative:text" filled="f" o:ole="">
            <v:imagedata r:id="rId29" o:title=""/>
            <w10:wrap type="square" side="largest"/>
          </v:shape>
          <o:OLEObject Type="Embed" ProgID="Excel.Sheet.12" ShapeID="ole_rId28" DrawAspect="Content" ObjectID="_499900666" r:id="rId28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bidi w:val="0"/>
        <w:spacing w:before="0" w:after="26"/>
        <w:ind w:hanging="0" w:start="426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bidi w:val="0"/>
        <w:spacing w:before="0" w:after="26"/>
        <w:ind w:hanging="0" w:start="426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973" w:dyaOrig="4302">
          <v:shapetype id="_x0000_tole_rId30" coordsize="21600,21600" o:spt="30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30" type="_x0000_tole_rId30" style="position:absolute;margin-left:19.45pt;margin-top:-0.3pt;width:471.6pt;height:212.3pt;mso-position-horizontal-relative:text;mso-position-vertical-relative:text" filled="f" o:ole="">
            <v:imagedata r:id="rId31" o:title=""/>
            <w10:wrap type="square" side="largest"/>
          </v:shape>
          <o:OLEObject Type="Embed" ProgID="Excel.Sheet.12" ShapeID="ole_rId30" DrawAspect="Content" ObjectID="_166748515" r:id="rId30"/>
        </w:object>
      </w:r>
    </w:p>
    <w:p>
      <w:pPr>
        <w:pStyle w:val="BodyText"/>
        <w:bidi w:val="0"/>
        <w:spacing w:before="0" w:after="26"/>
        <w:ind w:hanging="0" w:start="426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bidi w:val="0"/>
        <w:spacing w:before="0" w:after="0"/>
        <w:ind w:hanging="0" w:start="426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Rezerva na nevyčerpané  dovolenky bola tvorená na základe podkladov z oddelenia mzdovej učtárne </w:t>
      </w:r>
    </w:p>
    <w:p>
      <w:pPr>
        <w:pStyle w:val="BodyText"/>
        <w:bidi w:val="0"/>
        <w:spacing w:before="0" w:after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a  vypočítaná podľa počtu nevyčerpaných dní a priemernej dovolenkovej sadzby.</w:t>
      </w:r>
    </w:p>
    <w:p>
      <w:pPr>
        <w:pStyle w:val="BodyText"/>
        <w:bidi w:val="0"/>
        <w:spacing w:before="0" w:after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bidi w:val="0"/>
        <w:spacing w:before="0" w:after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Rezervy na prémie a odmeny zamestnancov bola tvorená na základe podkladov z oddelenia mzdovej učtárne. </w:t>
      </w:r>
    </w:p>
    <w:p>
      <w:pPr>
        <w:pStyle w:val="BodyText"/>
        <w:bidi w:val="0"/>
        <w:spacing w:before="0" w:after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bidi w:val="0"/>
        <w:spacing w:before="0" w:after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Nedaňová rezerva – iná bola tvorená na základe predpokladu nezúčtovania všetkých nákladov týkajúcich sa prevádzky roku 20</w:t>
      </w:r>
      <w:r>
        <w:rPr>
          <w:rFonts w:ascii="Times New Roman" w:hAnsi="Times New Roman"/>
          <w:sz w:val="20"/>
        </w:rPr>
        <w:t>2</w:t>
      </w:r>
      <w:r>
        <w:rPr>
          <w:rFonts w:ascii="Times New Roman" w:hAnsi="Times New Roman"/>
          <w:sz w:val="20"/>
        </w:rPr>
        <w:t>4</w:t>
      </w:r>
      <w:r>
        <w:rPr>
          <w:rFonts w:ascii="Times New Roman" w:hAnsi="Times New Roman"/>
          <w:sz w:val="20"/>
        </w:rPr>
        <w:t>.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bidi w:val="0"/>
        <w:ind w:hanging="0" w:start="426" w:end="0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Nevyfakturované dodávky majetku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Rezervy na nevyfakturované dodávky majetku sa nevykazujú s vplyvom na výsledok hospodárenia.</w:t>
      </w:r>
    </w:p>
    <w:p>
      <w:pPr>
        <w:pStyle w:val="Heading2"/>
        <w:numPr>
          <w:ilvl w:val="0"/>
          <w:numId w:val="18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Hodnota záväzkov do lehoty splatnosti a po lehote splatnosti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Veková štruktúra záväzkov za bežné účtovné obdobie je uvedená v nasledujúcom prehľade:</w:t>
      </w:r>
      <w:bookmarkStart w:id="487" w:name="_MON_1518324646"/>
      <w:bookmarkStart w:id="488" w:name="_MON_1518324801"/>
      <w:bookmarkStart w:id="489" w:name="_MON_1518324893"/>
      <w:bookmarkStart w:id="490" w:name="_MON_1518274837"/>
      <w:bookmarkStart w:id="491" w:name="_MON_1518953105"/>
      <w:bookmarkStart w:id="492" w:name="_MON_1517929611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680" w:dyaOrig="6153">
          <v:shapetype id="_x0000_tole_rId32" coordsize="21600,21600" o:spt="3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32" type="_x0000_tole_rId32" style="position:absolute;margin-left:10.3pt;margin-top:7.75pt;width:480.5pt;height:298.2pt;mso-position-horizontal-relative:text;mso-position-vertical-relative:text" filled="f" o:ole="">
            <v:imagedata r:id="rId33" o:title=""/>
            <w10:wrap type="square" side="largest"/>
          </v:shape>
          <o:OLEObject Type="Embed" ProgID="Excel.Sheet.12" ShapeID="ole_rId32" DrawAspect="Content" ObjectID="_464659128" r:id="rId32"/>
        </w:object>
      </w:r>
    </w:p>
    <w:p>
      <w:pPr>
        <w:pStyle w:val="Heading2"/>
        <w:numPr>
          <w:ilvl w:val="0"/>
          <w:numId w:val="0"/>
        </w:numPr>
        <w:bidi w:val="0"/>
        <w:ind w:hanging="0" w:start="720"/>
        <w:jc w:val="start"/>
        <w:rPr>
          <w:rFonts w:ascii="Times New Roman" w:hAnsi="Times New Roman"/>
          <w:i w:val="false"/>
          <w:caps w:val="false"/>
          <w:smallCaps w:val="false"/>
          <w:sz w:val="20"/>
        </w:rPr>
      </w:pPr>
      <w:r>
        <w:rPr>
          <w:rFonts w:ascii="Times New Roman" w:hAnsi="Times New Roman"/>
          <w:i w:val="false"/>
          <w:caps w:val="false"/>
          <w:smallCaps w:val="false"/>
          <w:sz w:val="20"/>
        </w:rPr>
      </w:r>
    </w:p>
    <w:p>
      <w:pPr>
        <w:pStyle w:val="Heading2"/>
        <w:numPr>
          <w:ilvl w:val="0"/>
          <w:numId w:val="36"/>
        </w:numPr>
        <w:bidi w:val="0"/>
        <w:jc w:val="start"/>
        <w:rPr>
          <w:rFonts w:ascii="Times New Roman" w:hAnsi="Times New Roman"/>
          <w:i w:val="false"/>
          <w:caps w:val="false"/>
          <w:smallCaps w:val="false"/>
          <w:sz w:val="20"/>
        </w:rPr>
      </w:pPr>
      <w:r>
        <w:object w:dxaOrig="9680" w:dyaOrig="6368">
          <v:shapetype id="_x0000_tole_rId34" coordsize="21600,21600" o:spt="34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34" type="_x0000_tole_rId34" style="position:absolute;margin-left:-1.05pt;margin-top:0pt;width:484pt;height:318.4pt;mso-position-horizontal-relative:text;mso-position-vertical-relative:text" filled="f" o:ole="">
            <v:imagedata r:id="rId35" o:title=""/>
            <w10:wrap type="square" side="largest"/>
          </v:shape>
          <o:OLEObject Type="Embed" ProgID="Excel.Sheet.12" ShapeID="ole_rId34" DrawAspect="Content" ObjectID="_365302128" r:id="rId34"/>
        </w:object>
      </w:r>
      <w:r>
        <w:rPr>
          <w:rFonts w:ascii="Times New Roman" w:hAnsi="Times New Roman"/>
          <w:i w:val="false"/>
          <w:caps w:val="false"/>
          <w:smallCaps w:val="false"/>
          <w:sz w:val="20"/>
        </w:rPr>
        <w:t>Štruktúra záväzkov podľa zostatkovej doby splatnosti</w:t>
      </w:r>
    </w:p>
    <w:p>
      <w:pPr>
        <w:pStyle w:val="BodyText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>Štruktúra záväzkov podľa zostatkovej doby splatnosti je uvedená v nasledujúcom prehľade</w:t>
      </w:r>
      <w:r>
        <w:rPr>
          <w:rFonts w:ascii="Times New Roman" w:hAnsi="Times New Roman"/>
          <w:sz w:val="20"/>
          <w:lang w:val="en-US"/>
        </w:rPr>
        <w:t>: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464" w:dyaOrig="2252">
          <v:shapetype id="_x0000_tole_rId36" coordsize="21600,21600" o:spt="36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36" type="_x0000_tole_rId36" style="position:absolute;margin-left:5.8pt;margin-top:-1.1pt;width:470.9pt;height:108.7pt;mso-position-horizontal-relative:text;mso-position-vertical-relative:text" filled="f" o:ole="">
            <v:imagedata r:id="rId37" o:title=""/>
            <w10:wrap type="square" side="largest"/>
          </v:shape>
          <o:OLEObject Type="Embed" ProgID="Excel.Sheet.12" ShapeID="ole_rId36" DrawAspect="Content" ObjectID="_442115599" r:id="rId36"/>
        </w:object>
      </w:r>
    </w:p>
    <w:p>
      <w:pPr>
        <w:pStyle w:val="BodyText"/>
        <w:bidi w:val="0"/>
        <w:ind w:hanging="0" w:start="425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Súčasťou vekovej štruktúry záväzkov nie sú záväzky zo sociálneho fondu </w:t>
      </w:r>
      <w:r>
        <w:rPr>
          <w:rFonts w:ascii="Times New Roman" w:hAnsi="Times New Roman"/>
          <w:sz w:val="20"/>
        </w:rPr>
        <w:t>617</w:t>
      </w:r>
      <w:r>
        <w:rPr>
          <w:rFonts w:ascii="Times New Roman" w:hAnsi="Times New Roman"/>
          <w:sz w:val="20"/>
        </w:rPr>
        <w:t xml:space="preserve"> €, informácie o sociálnom fonde sú uvedené v bode g).  </w:t>
      </w:r>
      <w:r>
        <w:rPr>
          <w:rFonts w:ascii="Times New Roman" w:hAnsi="Times New Roman"/>
          <w:sz w:val="20"/>
        </w:rPr>
        <w:t>ani odložený daňový záväzok.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Heading2"/>
        <w:keepNext w:val="true"/>
        <w:widowControl/>
        <w:numPr>
          <w:ilvl w:val="0"/>
          <w:numId w:val="37"/>
        </w:numPr>
        <w:bidi w:val="0"/>
        <w:spacing w:lineRule="atLeast" w:line="240" w:before="240" w:after="120"/>
        <w:ind w:hanging="0" w:start="397" w:end="0"/>
        <w:jc w:val="start"/>
        <w:rPr>
          <w:rFonts w:ascii="Times New Roman;serif" w:hAnsi="Times New Roman;serif"/>
          <w:i w:val="false"/>
          <w:caps w:val="false"/>
          <w:smallCaps w:val="false"/>
          <w:sz w:val="20"/>
        </w:rPr>
      </w:pPr>
      <w:r>
        <w:rPr>
          <w:rFonts w:ascii="Times New Roman;serif" w:hAnsi="Times New Roman;serif"/>
          <w:i w:val="false"/>
          <w:caps w:val="false"/>
          <w:smallCaps w:val="false"/>
          <w:sz w:val="20"/>
        </w:rPr>
        <w:t>Hodnota záväzkov zabezpečená záložným právom</w:t>
      </w:r>
    </w:p>
    <w:p>
      <w:pPr>
        <w:pStyle w:val="BodyText"/>
        <w:ind w:hanging="0" w:start="851" w:end="0"/>
        <w:rPr>
          <w:sz w:val="20"/>
        </w:rPr>
      </w:pPr>
      <w:r>
        <w:rPr>
          <w:sz w:val="20"/>
        </w:rPr>
        <w:t>Spoločnosť nemá záväzky zabezpečené záložným právom alebo inou formou zabezpečenia.</w:t>
      </w:r>
    </w:p>
    <w:p>
      <w:pPr>
        <w:pStyle w:val="BodyText"/>
        <w:widowControl/>
        <w:numPr>
          <w:ilvl w:val="0"/>
          <w:numId w:val="38"/>
        </w:numPr>
        <w:bidi w:val="0"/>
        <w:spacing w:lineRule="auto" w:line="276" w:before="0" w:after="140"/>
        <w:ind w:hanging="283" w:start="680" w:end="0"/>
        <w:jc w:val="both"/>
        <w:rPr>
          <w:rFonts w:ascii="Times New Roman;serif" w:hAnsi="Times New Roman;serif"/>
          <w:b/>
          <w:bCs/>
          <w:i w:val="false"/>
          <w:caps w:val="false"/>
          <w:smallCaps w:val="false"/>
          <w:sz w:val="20"/>
        </w:rPr>
      </w:pPr>
      <w:r>
        <w:rPr>
          <w:rFonts w:ascii="Times New Roman;serif" w:hAnsi="Times New Roman;serif"/>
          <w:b/>
          <w:bCs/>
          <w:i w:val="false"/>
          <w:caps w:val="false"/>
          <w:smallCaps w:val="false"/>
          <w:sz w:val="20"/>
        </w:rPr>
        <w:t>Odložen</w:t>
      </w:r>
      <w:r>
        <w:rPr>
          <w:rFonts w:ascii="Times New Roman;serif" w:hAnsi="Times New Roman;serif"/>
          <w:b/>
          <w:bCs/>
          <w:i w:val="false"/>
          <w:caps w:val="false"/>
          <w:smallCaps w:val="false"/>
          <w:sz w:val="20"/>
        </w:rPr>
        <w:t>é</w:t>
      </w:r>
      <w:r>
        <w:rPr>
          <w:rFonts w:ascii="Times New Roman;serif" w:hAnsi="Times New Roman;serif"/>
          <w:b/>
          <w:bCs/>
          <w:i w:val="false"/>
          <w:caps w:val="false"/>
          <w:smallCaps w:val="false"/>
          <w:sz w:val="20"/>
        </w:rPr>
        <w:t xml:space="preserve"> da</w:t>
      </w:r>
      <w:r>
        <w:rPr>
          <w:rFonts w:ascii="Times New Roman;serif" w:hAnsi="Times New Roman;serif"/>
          <w:b/>
          <w:bCs/>
          <w:i w:val="false"/>
          <w:caps w:val="false"/>
          <w:smallCaps w:val="false"/>
          <w:sz w:val="20"/>
        </w:rPr>
        <w:t>ne</w:t>
      </w:r>
    </w:p>
    <w:p>
      <w:pPr>
        <w:pStyle w:val="BodyText"/>
        <w:ind w:firstLine="360" w:start="0" w:end="0"/>
        <w:rPr>
          <w:sz w:val="20"/>
        </w:rPr>
      </w:pPr>
      <w:r>
        <w:rPr>
          <w:sz w:val="20"/>
        </w:rPr>
        <w:t>Výpočet odložen</w:t>
      </w:r>
      <w:r>
        <w:rPr>
          <w:sz w:val="20"/>
        </w:rPr>
        <w:t>ých daní</w:t>
      </w:r>
      <w:r>
        <w:rPr>
          <w:sz w:val="20"/>
        </w:rPr>
        <w:t xml:space="preserve"> je uvedený v nasledujúcom prehľade: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8374" w:dyaOrig="5551">
          <v:shapetype id="_x0000_tole_rId38" coordsize="21600,21600" o:spt="38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38" type="_x0000_tole_rId38" style="position:absolute;margin-left:22.3pt;margin-top:-7.15pt;width:416.15pt;height:272.1pt;mso-position-horizontal-relative:text;mso-position-vertical-relative:text" filled="f" o:ole="">
            <v:imagedata r:id="rId39" o:title=""/>
            <w10:wrap type="square" side="largest"/>
          </v:shape>
          <o:OLEObject Type="Embed" ProgID="Excel.Sheet.12" ShapeID="ole_rId38" DrawAspect="Content" ObjectID="_53067498" r:id="rId38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  <w:bookmarkStart w:id="493" w:name="_MON_1516776749"/>
      <w:bookmarkStart w:id="494" w:name="_MON_1485693214"/>
      <w:bookmarkStart w:id="495" w:name="_MON_1454481232"/>
      <w:bookmarkStart w:id="496" w:name="_MON_1454481324"/>
      <w:bookmarkStart w:id="497" w:name="_MON_1485693280"/>
      <w:bookmarkStart w:id="498" w:name="_MON_1518952707"/>
      <w:bookmarkStart w:id="499" w:name="_MON_1516776749"/>
      <w:bookmarkStart w:id="500" w:name="_MON_1485693214"/>
      <w:bookmarkStart w:id="501" w:name="_MON_1454481232"/>
      <w:bookmarkStart w:id="502" w:name="_MON_1454481324"/>
      <w:bookmarkStart w:id="503" w:name="_MON_1485693280"/>
      <w:bookmarkStart w:id="504" w:name="_MON_1518952707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99"/>
      <w:bookmarkEnd w:id="500"/>
      <w:bookmarkEnd w:id="501"/>
      <w:bookmarkEnd w:id="502"/>
      <w:bookmarkEnd w:id="503"/>
      <w:bookmarkEnd w:id="504"/>
      <w:bookmarkEnd w:id="487"/>
      <w:bookmarkEnd w:id="488"/>
      <w:bookmarkEnd w:id="489"/>
      <w:bookmarkEnd w:id="490"/>
      <w:bookmarkEnd w:id="491"/>
      <w:bookmarkEnd w:id="492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8601" w:dyaOrig="4140">
          <v:shapetype id="_x0000_tole_rId40" coordsize="21600,21600" o:spt="40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40" type="_x0000_tole_rId40" style="position:absolute;margin-left:21.55pt;margin-top:1.55pt;width:427.45pt;height:189.75pt;mso-position-horizontal-relative:text;mso-position-vertical-relative:text" filled="f" o:ole="">
            <v:imagedata r:id="rId41" o:title=""/>
            <w10:wrap type="square" side="largest"/>
          </v:shape>
          <o:OLEObject Type="Embed" ProgID="Excel.Sheet.12" ShapeID="ole_rId40" DrawAspect="Content" ObjectID="_1259185717" r:id="rId40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Heading2"/>
        <w:numPr>
          <w:ilvl w:val="0"/>
          <w:numId w:val="19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/>
      </w:pPr>
      <w:r>
        <w:rPr>
          <w:rFonts w:cs="Times New Roman" w:ascii="Times New Roman" w:hAnsi="Times New Roman"/>
          <w:i w:val="false"/>
          <w:sz w:val="20"/>
        </w:rPr>
        <w:t>S</w:t>
      </w:r>
      <w:r>
        <w:rPr>
          <w:rFonts w:cs="Times New Roman" w:ascii="Times New Roman" w:hAnsi="Times New Roman"/>
          <w:i w:val="false"/>
          <w:sz w:val="20"/>
        </w:rPr>
        <w:t>ociálny fond</w:t>
      </w:r>
    </w:p>
    <w:p>
      <w:pPr>
        <w:pStyle w:val="BodyText"/>
        <w:bidi w:val="0"/>
        <w:ind w:hanging="0" w:start="426" w:end="0"/>
        <w:rPr>
          <w:sz w:val="20"/>
        </w:rPr>
      </w:pPr>
      <w:r>
        <w:rPr>
          <w:sz w:val="20"/>
        </w:rPr>
        <w:t>Tvorba a čerpanie sociálneho fondu v priebehu účtovného obdobia sú znázornené v nasledujúcom prehľade:</w:t>
      </w:r>
      <w:bookmarkStart w:id="505" w:name="_MON_1296754245"/>
      <w:bookmarkStart w:id="506" w:name="_MON_1094480522"/>
      <w:bookmarkStart w:id="507" w:name="_MON_1066752750"/>
      <w:bookmarkStart w:id="508" w:name="_MON_1066740976"/>
      <w:bookmarkStart w:id="509" w:name="_MON_1370170267"/>
      <w:bookmarkStart w:id="510" w:name="_MON_1361359251"/>
      <w:bookmarkStart w:id="511" w:name="_MON_1360597098"/>
      <w:bookmarkStart w:id="512" w:name="_MON_1359300248"/>
      <w:bookmarkStart w:id="513" w:name="_MON_1328450576"/>
      <w:bookmarkStart w:id="514" w:name="_MON_1315648366"/>
      <w:bookmarkStart w:id="515" w:name="_MON_1127127101"/>
      <w:bookmarkStart w:id="516" w:name="_MON_1296573774"/>
      <w:bookmarkStart w:id="517" w:name="_MON_1293362394"/>
      <w:bookmarkStart w:id="518" w:name="_MON_1249138882"/>
      <w:bookmarkStart w:id="519" w:name="_MON_1221377926"/>
      <w:bookmarkStart w:id="520" w:name="_MON_1189922828"/>
      <w:bookmarkStart w:id="521" w:name="_MON_1160915867"/>
      <w:bookmarkStart w:id="522" w:name="_MON_1160256377"/>
      <w:bookmarkStart w:id="523" w:name="_MON_1154949563"/>
      <w:bookmarkStart w:id="524" w:name="_MON_1154845896"/>
      <w:bookmarkStart w:id="525" w:name="_MON_1127127132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477" w:dyaOrig="3546">
          <v:shapetype id="_x0000_tole_rId42" coordsize="21600,21600" o:spt="4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42" type="_x0000_tole_rId42" style="position:absolute;margin-left:2.05pt;margin-top:8.25pt;width:470.9pt;height:168.1pt;mso-position-horizontal-relative:text;mso-position-vertical-relative:text" filled="f" o:ole="">
            <v:imagedata r:id="rId43" o:title=""/>
            <w10:wrap type="square" side="largest"/>
          </v:shape>
          <o:OLEObject Type="Embed" ProgID="Excel.Sheet.12" ShapeID="ole_rId42" DrawAspect="Content" ObjectID="_438693580" r:id="rId42"/>
        </w:object>
      </w:r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</w:p>
    <w:p>
      <w:pPr>
        <w:pStyle w:val="BodyText"/>
        <w:bidi w:val="0"/>
        <w:ind w:hanging="0" w:start="426" w:end="0"/>
        <w:jc w:val="start"/>
        <w:rPr/>
      </w:pPr>
      <w:r>
        <w:rPr>
          <w:rFonts w:ascii="Times New Roman" w:hAnsi="Times New Roman"/>
          <w:sz w:val="20"/>
        </w:rPr>
        <w:t>Č</w:t>
      </w:r>
      <w:r>
        <w:rPr>
          <w:sz w:val="20"/>
        </w:rPr>
        <w:t>asť sociálneho fondu sa podľa zákona o sociálnom fonde tvorí povinne na ťarchu nákladov a časť sa môže vytvárať zo zisku alebo prídelom z iných fondov. Sociálny fond sa podľa zákona o sociálnom fonde čerpá na sociálne, zdravotné, rekreačné a iné potreby zamestnancov.</w:t>
      </w:r>
    </w:p>
    <w:p>
      <w:pPr>
        <w:pStyle w:val="Heading2"/>
        <w:numPr>
          <w:ilvl w:val="0"/>
          <w:numId w:val="19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Vydané dlhopisy</w:t>
      </w:r>
    </w:p>
    <w:p>
      <w:pPr>
        <w:pStyle w:val="BodyText"/>
        <w:bidi w:val="0"/>
        <w:ind w:hanging="0" w:start="426" w:end="0"/>
        <w:rPr>
          <w:sz w:val="20"/>
        </w:rPr>
      </w:pPr>
      <w:r>
        <w:rPr>
          <w:sz w:val="20"/>
        </w:rPr>
        <w:t>Neaktuálne.</w:t>
      </w:r>
    </w:p>
    <w:p>
      <w:pPr>
        <w:pStyle w:val="Heading2"/>
        <w:numPr>
          <w:ilvl w:val="0"/>
          <w:numId w:val="19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Bankové úvery</w:t>
      </w:r>
    </w:p>
    <w:p>
      <w:pPr>
        <w:pStyle w:val="BodyText"/>
        <w:bidi w:val="0"/>
        <w:ind w:hanging="0" w:start="426" w:end="0"/>
        <w:rPr>
          <w:sz w:val="20"/>
        </w:rPr>
      </w:pPr>
      <w:r>
        <w:rPr>
          <w:sz w:val="20"/>
        </w:rPr>
        <w:t>Neaktuálne.</w:t>
      </w:r>
    </w:p>
    <w:p>
      <w:pPr>
        <w:pStyle w:val="BodyText"/>
        <w:numPr>
          <w:ilvl w:val="0"/>
          <w:numId w:val="19"/>
        </w:numPr>
        <w:tabs>
          <w:tab w:val="clear" w:pos="708"/>
          <w:tab w:val="left" w:pos="735" w:leader="none"/>
          <w:tab w:val="left" w:pos="810" w:leader="none"/>
          <w:tab w:val="left" w:pos="875" w:leader="none"/>
        </w:tabs>
        <w:bidi w:val="0"/>
        <w:ind w:hanging="0" w:start="360" w:end="0"/>
        <w:rPr>
          <w:rFonts w:ascii="Times New Roman" w:hAnsi="Times New Roman" w:cs="Times New Roman"/>
          <w:b/>
          <w:bCs/>
          <w:i w:val="false"/>
          <w:sz w:val="20"/>
        </w:rPr>
      </w:pPr>
      <w:bookmarkStart w:id="526" w:name="_MON_1066741203"/>
      <w:bookmarkStart w:id="527" w:name="_MON_1066741165"/>
      <w:bookmarkStart w:id="528" w:name="_MON_1066741119"/>
      <w:bookmarkStart w:id="529" w:name="_MON_1066741077"/>
      <w:bookmarkStart w:id="530" w:name="_MON_1370170286"/>
      <w:bookmarkStart w:id="531" w:name="_MON_1361196071"/>
      <w:bookmarkStart w:id="532" w:name="_MON_1360660711"/>
      <w:bookmarkStart w:id="533" w:name="_MON_1360660670"/>
      <w:bookmarkStart w:id="534" w:name="_MON_1360660520"/>
      <w:bookmarkStart w:id="535" w:name="_MON_1360597529"/>
      <w:bookmarkStart w:id="536" w:name="_MON_1360597299"/>
      <w:bookmarkStart w:id="537" w:name="_MON_1359300311"/>
      <w:bookmarkStart w:id="538" w:name="_MON_1328510196"/>
      <w:bookmarkStart w:id="539" w:name="_MON_1328450647"/>
      <w:bookmarkStart w:id="540" w:name="_MON_1315648506"/>
      <w:bookmarkStart w:id="541" w:name="_MON_1296574023"/>
      <w:bookmarkStart w:id="542" w:name="_MON_1296573974"/>
      <w:bookmarkStart w:id="543" w:name="_MON_1265774851"/>
      <w:bookmarkStart w:id="544" w:name="_MON_1265705235"/>
      <w:bookmarkStart w:id="545" w:name="_MON_1265640881"/>
      <w:bookmarkStart w:id="546" w:name="_MON_1256623694"/>
      <w:bookmarkStart w:id="547" w:name="_MON_1220016221"/>
      <w:bookmarkStart w:id="548" w:name="_MON_1202138845"/>
      <w:bookmarkStart w:id="549" w:name="_MON_1201867059"/>
      <w:bookmarkStart w:id="550" w:name="_MON_1175063846"/>
      <w:bookmarkStart w:id="551" w:name="_MON_1170485691"/>
      <w:bookmarkStart w:id="552" w:name="_MON_1170483446"/>
      <w:bookmarkStart w:id="553" w:name="_MON_1140423234"/>
      <w:bookmarkStart w:id="554" w:name="_MON_1140422470"/>
      <w:bookmarkStart w:id="555" w:name="_MON_1140422448"/>
      <w:bookmarkStart w:id="556" w:name="_MON_1140422419"/>
      <w:bookmarkStart w:id="557" w:name="_MON_1139751993"/>
      <w:bookmarkStart w:id="558" w:name="_MON_1139750534"/>
      <w:bookmarkStart w:id="559" w:name="_MON_1139724175"/>
      <w:bookmarkStart w:id="560" w:name="_MON_1134980377"/>
      <w:bookmarkStart w:id="561" w:name="_MON_1134980347"/>
      <w:bookmarkStart w:id="562" w:name="_MON_1127127175"/>
      <w:bookmarkStart w:id="563" w:name="_MON_1127127148"/>
      <w:bookmarkStart w:id="564" w:name="_MON_1122552060"/>
      <w:bookmarkStart w:id="565" w:name="_MON_1122551929"/>
      <w:bookmarkStart w:id="566" w:name="_MON_1094650606"/>
      <w:bookmarkStart w:id="567" w:name="_MON_1094480599"/>
      <w:bookmarkStart w:id="568" w:name="_MON_1094480577"/>
      <w:bookmarkStart w:id="569" w:name="_MON_1066801256"/>
      <w:bookmarkStart w:id="570" w:name="_MON_1066753687"/>
      <w:bookmarkStart w:id="571" w:name="_MON_1066752770"/>
      <w:bookmarkStart w:id="572" w:name="_MON_1066741378"/>
      <w:bookmarkStart w:id="573" w:name="_MON_1485945314"/>
      <w:bookmarkStart w:id="574" w:name="_MON_1486887079"/>
      <w:bookmarkStart w:id="575" w:name="_MON_1485844583"/>
      <w:bookmarkStart w:id="576" w:name="_MON_1486886644"/>
      <w:bookmarkStart w:id="577" w:name="_MON_1486886566"/>
      <w:bookmarkStart w:id="578" w:name="_MON_1485846597"/>
      <w:bookmarkStart w:id="579" w:name="_MON_1485846590"/>
      <w:bookmarkStart w:id="580" w:name="_MON_1485846575"/>
      <w:bookmarkStart w:id="581" w:name="_MON_1517033006"/>
      <w:bookmarkStart w:id="582" w:name="_MON_1517032996"/>
      <w:bookmarkStart w:id="583" w:name="_MON_1517032514"/>
      <w:bookmarkStart w:id="584" w:name="_MON_1518275062"/>
      <w:bookmarkStart w:id="585" w:name="_MON_1517032052"/>
      <w:bookmarkStart w:id="586" w:name="_MON_1486453528"/>
      <w:bookmarkStart w:id="587" w:name="_MON_1485846157"/>
      <w:bookmarkStart w:id="588" w:name="_MON_1485846131"/>
      <w:bookmarkStart w:id="589" w:name="_MON_1485846040"/>
      <w:bookmarkStart w:id="590" w:name="_MON_1454829858"/>
      <w:bookmarkStart w:id="591" w:name="_MON_1454829563"/>
      <w:bookmarkStart w:id="592" w:name="_MON_1454500526"/>
      <w:bookmarkStart w:id="593" w:name="_MON_1454500230"/>
      <w:bookmarkStart w:id="594" w:name="_MON_1454850074"/>
      <w:bookmarkStart w:id="595" w:name="_MON_145484956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  <w:bookmarkEnd w:id="545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  <w:bookmarkEnd w:id="556"/>
      <w:bookmarkEnd w:id="557"/>
      <w:bookmarkEnd w:id="558"/>
      <w:bookmarkEnd w:id="559"/>
      <w:bookmarkEnd w:id="560"/>
      <w:bookmarkEnd w:id="561"/>
      <w:bookmarkEnd w:id="562"/>
      <w:bookmarkEnd w:id="563"/>
      <w:bookmarkEnd w:id="564"/>
      <w:bookmarkEnd w:id="565"/>
      <w:bookmarkEnd w:id="566"/>
      <w:bookmarkEnd w:id="567"/>
      <w:bookmarkEnd w:id="568"/>
      <w:bookmarkEnd w:id="569"/>
      <w:bookmarkEnd w:id="570"/>
      <w:bookmarkEnd w:id="571"/>
      <w:bookmarkEnd w:id="572"/>
      <w:bookmarkEnd w:id="573"/>
      <w:bookmarkEnd w:id="574"/>
      <w:bookmarkEnd w:id="575"/>
      <w:bookmarkEnd w:id="576"/>
      <w:bookmarkEnd w:id="577"/>
      <w:bookmarkEnd w:id="578"/>
      <w:bookmarkEnd w:id="579"/>
      <w:bookmarkEnd w:id="580"/>
      <w:bookmarkEnd w:id="581"/>
      <w:bookmarkEnd w:id="582"/>
      <w:bookmarkEnd w:id="583"/>
      <w:bookmarkEnd w:id="584"/>
      <w:bookmarkEnd w:id="585"/>
      <w:bookmarkEnd w:id="586"/>
      <w:bookmarkEnd w:id="587"/>
      <w:bookmarkEnd w:id="588"/>
      <w:bookmarkEnd w:id="589"/>
      <w:bookmarkEnd w:id="590"/>
      <w:bookmarkEnd w:id="591"/>
      <w:bookmarkEnd w:id="592"/>
      <w:bookmarkEnd w:id="593"/>
      <w:bookmarkEnd w:id="594"/>
      <w:bookmarkEnd w:id="595"/>
      <w:r>
        <w:rPr>
          <w:rFonts w:cs="Times New Roman" w:ascii="Times New Roman" w:hAnsi="Times New Roman"/>
          <w:b/>
          <w:bCs/>
          <w:i w:val="false"/>
          <w:sz w:val="20"/>
        </w:rPr>
        <w:t>Časové rozlíšenie</w:t>
      </w:r>
    </w:p>
    <w:p>
      <w:pPr>
        <w:pStyle w:val="BodyText"/>
        <w:bidi w:val="0"/>
        <w:ind w:firstLine="360" w:start="0" w:end="0"/>
        <w:rPr>
          <w:sz w:val="20"/>
        </w:rPr>
      </w:pPr>
      <w:r>
        <w:rPr>
          <w:sz w:val="20"/>
        </w:rPr>
        <w:t>Štruktúra časového rozlíšenia je uvedená v nasledujúcom prehľade: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10747" w:dyaOrig="4030">
          <v:shapetype id="_x0000_tole_rId44" coordsize="21600,21600" o:spt="44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44" type="_x0000_tole_rId44" style="position:absolute;margin-left:-2.45pt;margin-top:1.75pt;width:528pt;height:194.5pt;mso-position-horizontal-relative:text;mso-position-vertical-relative:text" filled="f" o:ole="">
            <v:imagedata r:id="rId45" o:title=""/>
            <w10:wrap type="square" side="largest"/>
          </v:shape>
          <o:OLEObject Type="Embed" ProgID="Excel.Sheet.12" ShapeID="ole_rId44" DrawAspect="Content" ObjectID="_984027758" r:id="rId44"/>
        </w:objec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/>
      </w:pPr>
      <w:r>
        <w:rPr>
          <w:rFonts w:ascii="Times New Roman" w:hAnsi="Times New Roman"/>
          <w:b/>
          <w:sz w:val="24"/>
          <w:szCs w:val="24"/>
        </w:rPr>
        <w:t>Majetok prenaj</w:t>
      </w:r>
      <w:r>
        <w:rPr>
          <w:b/>
          <w:sz w:val="24"/>
          <w:szCs w:val="24"/>
        </w:rPr>
        <w:t>ímaný formou finančného prenájmu u prenajímateľa</w:t>
      </w:r>
    </w:p>
    <w:p>
      <w:pPr>
        <w:pStyle w:val="BodyText"/>
        <w:bidi w:val="0"/>
        <w:ind w:firstLine="360" w:start="0" w:end="0"/>
        <w:rPr>
          <w:sz w:val="20"/>
        </w:rPr>
      </w:pPr>
      <w:r>
        <w:rPr>
          <w:sz w:val="20"/>
        </w:rPr>
        <w:t>Spoločnosť neprenajíma majetok formou finančného prenájmu.</w:t>
      </w:r>
    </w:p>
    <w:p>
      <w:pPr>
        <w:pStyle w:val="BodyText"/>
        <w:bidi w:val="0"/>
        <w:ind w:firstLine="360" w:start="0" w:end="0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0" w:leader="none"/>
        </w:tabs>
        <w:bidi w:val="0"/>
        <w:ind w:hanging="360" w:start="720" w:end="0"/>
        <w:rPr>
          <w:b/>
          <w:sz w:val="24"/>
          <w:szCs w:val="24"/>
        </w:rPr>
      </w:pPr>
      <w:r>
        <w:rPr>
          <w:b/>
          <w:sz w:val="24"/>
          <w:szCs w:val="24"/>
        </w:rPr>
        <w:t>Majetok prenajímaný formou finančného prenájmu u nájomcu</w:t>
      </w:r>
    </w:p>
    <w:p>
      <w:pPr>
        <w:pStyle w:val="BodyText"/>
        <w:bidi w:val="0"/>
        <w:ind w:hanging="0" w:start="360" w:end="0"/>
        <w:rPr/>
      </w:pPr>
      <w:r>
        <w:rPr>
          <w:sz w:val="20"/>
        </w:rPr>
        <w:br/>
        <w:t xml:space="preserve">Spoločnosť </w:t>
      </w:r>
      <w:r>
        <w:rPr>
          <w:sz w:val="20"/>
        </w:rPr>
        <w:t>má obstaraný osobný automobil</w:t>
      </w:r>
      <w:r>
        <w:rPr>
          <w:sz w:val="20"/>
        </w:rPr>
        <w:t xml:space="preserve"> formou finančného prenájmu od spoločnosti </w:t>
      </w:r>
      <w:r>
        <w:rPr/>
        <w:br/>
      </w:r>
      <w:r>
        <w:rPr>
          <w:sz w:val="20"/>
        </w:rPr>
        <w:t xml:space="preserve">CHEMOSVIT, a. s.. Obstarávacia cena  je </w:t>
      </w:r>
      <w:r>
        <w:rPr>
          <w:sz w:val="20"/>
        </w:rPr>
        <w:t xml:space="preserve">23 886 </w:t>
      </w:r>
      <w:r>
        <w:rPr>
          <w:sz w:val="20"/>
        </w:rPr>
        <w:t xml:space="preserve">€ </w:t>
      </w:r>
      <w:r>
        <w:rPr>
          <w:sz w:val="20"/>
        </w:rPr>
        <w:t>a</w:t>
      </w:r>
      <w:r>
        <w:rPr>
          <w:sz w:val="20"/>
        </w:rPr>
        <w:t xml:space="preserve"> </w:t>
      </w:r>
      <w:r>
        <w:rPr>
          <w:sz w:val="20"/>
        </w:rPr>
        <w:t xml:space="preserve">traktor Kubota obstarávacia cena je 24 490 €. </w:t>
      </w:r>
    </w:p>
    <w:p>
      <w:pPr>
        <w:pStyle w:val="BodyText"/>
        <w:bidi w:val="0"/>
        <w:ind w:hanging="0" w:start="360" w:end="0"/>
        <w:rPr>
          <w:sz w:val="20"/>
        </w:rPr>
      </w:pPr>
      <w:r>
        <w:rPr>
          <w:sz w:val="20"/>
        </w:rPr>
      </w:r>
    </w:p>
    <w:p>
      <w:pPr>
        <w:pStyle w:val="BodyText"/>
        <w:bidi w:val="0"/>
        <w:ind w:hanging="0" w:start="360" w:end="0"/>
        <w:rPr>
          <w:sz w:val="20"/>
        </w:rPr>
      </w:pPr>
      <w:r>
        <w:rPr>
          <w:sz w:val="20"/>
        </w:rPr>
      </w:r>
    </w:p>
    <w:p>
      <w:pPr>
        <w:pStyle w:val="BodyText"/>
        <w:tabs>
          <w:tab w:val="clear" w:pos="708"/>
          <w:tab w:val="left" w:pos="5827" w:leader="none"/>
        </w:tabs>
        <w:bidi w:val="0"/>
        <w:ind w:hanging="0" w:start="360" w:end="0"/>
        <w:rPr>
          <w:b/>
          <w:sz w:val="20"/>
          <w:szCs w:val="24"/>
        </w:rPr>
      </w:pPr>
      <w:r>
        <w:rPr>
          <w:b/>
          <w:sz w:val="20"/>
          <w:szCs w:val="24"/>
        </w:rPr>
        <w:t>Výška budúcich platieb rozdelená na istinu a finančný náklad podľa doby splatnosti je uvedená v nasledujúcom prehľade: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528" w:dyaOrig="3069">
          <v:shapetype id="_x0000_tole_rId46" coordsize="21600,21600" o:spt="46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46" type="_x0000_tole_rId46" style="position:absolute;margin-left:23.8pt;margin-top:8.5pt;width:473.3pt;height:151.45pt;mso-position-horizontal-relative:text;mso-position-vertical-relative:text" filled="f" o:ole="">
            <v:imagedata r:id="rId47" o:title=""/>
            <w10:wrap type="square" side="largest"/>
          </v:shape>
          <o:OLEObject Type="Embed" ProgID="Excel.Sheet.12" ShapeID="ole_rId46" DrawAspect="Content" ObjectID="_1335509958" r:id="rId46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widowControl/>
        <w:numPr>
          <w:ilvl w:val="0"/>
          <w:numId w:val="20"/>
        </w:numPr>
        <w:bidi w:val="0"/>
        <w:spacing w:lineRule="auto" w:line="276" w:before="0" w:after="140"/>
        <w:ind w:hanging="340" w:start="737" w:end="0"/>
        <w:jc w:val="start"/>
        <w:rPr>
          <w:rFonts w:ascii="Times New Roman" w:hAnsi="Times New Roman"/>
          <w:b/>
          <w:sz w:val="24"/>
          <w:szCs w:val="24"/>
        </w:rPr>
      </w:pPr>
      <w:bookmarkStart w:id="596" w:name="_MON_1066741203"/>
      <w:bookmarkStart w:id="597" w:name="_MON_1066741165"/>
      <w:bookmarkStart w:id="598" w:name="_MON_1066741119"/>
      <w:bookmarkStart w:id="599" w:name="_MON_1066741077"/>
      <w:bookmarkStart w:id="600" w:name="_MON_1370170286"/>
      <w:bookmarkStart w:id="601" w:name="_MON_1361196071"/>
      <w:bookmarkStart w:id="602" w:name="_MON_1360660711"/>
      <w:bookmarkStart w:id="603" w:name="_MON_1360660670"/>
      <w:bookmarkStart w:id="604" w:name="_MON_1360660520"/>
      <w:bookmarkStart w:id="605" w:name="_MON_1360597529"/>
      <w:bookmarkStart w:id="606" w:name="_MON_1360597299"/>
      <w:bookmarkStart w:id="607" w:name="_MON_1359300311"/>
      <w:bookmarkStart w:id="608" w:name="_MON_1328510196"/>
      <w:bookmarkStart w:id="609" w:name="_MON_1328450647"/>
      <w:bookmarkStart w:id="610" w:name="_MON_1315648506"/>
      <w:bookmarkStart w:id="611" w:name="_MON_1296574023"/>
      <w:bookmarkStart w:id="612" w:name="_MON_1296573974"/>
      <w:bookmarkStart w:id="613" w:name="_MON_1265774851"/>
      <w:bookmarkStart w:id="614" w:name="_MON_1265705235"/>
      <w:bookmarkStart w:id="615" w:name="_MON_1265640881"/>
      <w:bookmarkStart w:id="616" w:name="_MON_1256623694"/>
      <w:bookmarkStart w:id="617" w:name="_MON_1220016221"/>
      <w:bookmarkStart w:id="618" w:name="_MON_1202138845"/>
      <w:bookmarkStart w:id="619" w:name="_MON_1201867059"/>
      <w:bookmarkStart w:id="620" w:name="_MON_1175063846"/>
      <w:bookmarkStart w:id="621" w:name="_MON_1170485691"/>
      <w:bookmarkStart w:id="622" w:name="_MON_1170483446"/>
      <w:bookmarkStart w:id="623" w:name="_MON_1140423234"/>
      <w:bookmarkStart w:id="624" w:name="_MON_1140422470"/>
      <w:bookmarkStart w:id="625" w:name="_MON_1140422448"/>
      <w:bookmarkStart w:id="626" w:name="_MON_1140422419"/>
      <w:bookmarkStart w:id="627" w:name="_MON_1139751993"/>
      <w:bookmarkStart w:id="628" w:name="_MON_1139750534"/>
      <w:bookmarkStart w:id="629" w:name="_MON_1139724175"/>
      <w:bookmarkStart w:id="630" w:name="_MON_1134980377"/>
      <w:bookmarkStart w:id="631" w:name="_MON_1134980347"/>
      <w:bookmarkStart w:id="632" w:name="_MON_1127127175"/>
      <w:bookmarkStart w:id="633" w:name="_MON_1127127148"/>
      <w:bookmarkStart w:id="634" w:name="_MON_1122552060"/>
      <w:bookmarkStart w:id="635" w:name="_MON_1122551929"/>
      <w:bookmarkStart w:id="636" w:name="_MON_1094650606"/>
      <w:bookmarkStart w:id="637" w:name="_MON_1094480599"/>
      <w:bookmarkStart w:id="638" w:name="_MON_1094480577"/>
      <w:bookmarkStart w:id="639" w:name="_MON_1066801256"/>
      <w:bookmarkStart w:id="640" w:name="_MON_1066753687"/>
      <w:bookmarkStart w:id="641" w:name="_MON_1066752770"/>
      <w:bookmarkStart w:id="642" w:name="_MON_1066741378"/>
      <w:bookmarkStart w:id="643" w:name="_MON_1485945314"/>
      <w:bookmarkStart w:id="644" w:name="_MON_1486887079"/>
      <w:bookmarkStart w:id="645" w:name="_MON_1485844583"/>
      <w:bookmarkStart w:id="646" w:name="_MON_1486886644"/>
      <w:bookmarkStart w:id="647" w:name="_MON_1486886566"/>
      <w:bookmarkStart w:id="648" w:name="_MON_1485846597"/>
      <w:bookmarkStart w:id="649" w:name="_MON_1485846590"/>
      <w:bookmarkStart w:id="650" w:name="_MON_1485846575"/>
      <w:bookmarkStart w:id="651" w:name="_MON_1517033006"/>
      <w:bookmarkStart w:id="652" w:name="_MON_1517032996"/>
      <w:bookmarkStart w:id="653" w:name="_MON_1517032514"/>
      <w:bookmarkStart w:id="654" w:name="_MON_1518275062"/>
      <w:bookmarkStart w:id="655" w:name="_MON_1517032052"/>
      <w:bookmarkStart w:id="656" w:name="_MON_1486453528"/>
      <w:bookmarkStart w:id="657" w:name="_MON_1485846157"/>
      <w:bookmarkStart w:id="658" w:name="_MON_1485846131"/>
      <w:bookmarkStart w:id="659" w:name="_MON_1485846040"/>
      <w:bookmarkStart w:id="660" w:name="_MON_1454829858"/>
      <w:bookmarkStart w:id="661" w:name="_MON_1454829563"/>
      <w:bookmarkStart w:id="662" w:name="_MON_1454500526"/>
      <w:bookmarkStart w:id="663" w:name="_MON_1454500230"/>
      <w:bookmarkStart w:id="664" w:name="_MON_1454850074"/>
      <w:bookmarkStart w:id="665" w:name="_MON_1454849565"/>
      <w:bookmarkEnd w:id="596"/>
      <w:bookmarkEnd w:id="597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  <w:bookmarkEnd w:id="617"/>
      <w:bookmarkEnd w:id="618"/>
      <w:bookmarkEnd w:id="619"/>
      <w:bookmarkEnd w:id="620"/>
      <w:bookmarkEnd w:id="621"/>
      <w:bookmarkEnd w:id="622"/>
      <w:bookmarkEnd w:id="623"/>
      <w:bookmarkEnd w:id="624"/>
      <w:bookmarkEnd w:id="625"/>
      <w:bookmarkEnd w:id="626"/>
      <w:bookmarkEnd w:id="627"/>
      <w:bookmarkEnd w:id="628"/>
      <w:bookmarkEnd w:id="629"/>
      <w:bookmarkEnd w:id="630"/>
      <w:bookmarkEnd w:id="631"/>
      <w:bookmarkEnd w:id="632"/>
      <w:bookmarkEnd w:id="633"/>
      <w:bookmarkEnd w:id="634"/>
      <w:bookmarkEnd w:id="635"/>
      <w:bookmarkEnd w:id="636"/>
      <w:bookmarkEnd w:id="637"/>
      <w:bookmarkEnd w:id="638"/>
      <w:bookmarkEnd w:id="639"/>
      <w:bookmarkEnd w:id="640"/>
      <w:bookmarkEnd w:id="641"/>
      <w:bookmarkEnd w:id="642"/>
      <w:bookmarkEnd w:id="643"/>
      <w:bookmarkEnd w:id="644"/>
      <w:bookmarkEnd w:id="645"/>
      <w:bookmarkEnd w:id="646"/>
      <w:bookmarkEnd w:id="647"/>
      <w:bookmarkEnd w:id="648"/>
      <w:bookmarkEnd w:id="649"/>
      <w:bookmarkEnd w:id="650"/>
      <w:bookmarkEnd w:id="651"/>
      <w:bookmarkEnd w:id="652"/>
      <w:bookmarkEnd w:id="653"/>
      <w:bookmarkEnd w:id="654"/>
      <w:bookmarkEnd w:id="655"/>
      <w:bookmarkEnd w:id="656"/>
      <w:bookmarkEnd w:id="657"/>
      <w:bookmarkEnd w:id="658"/>
      <w:bookmarkEnd w:id="659"/>
      <w:bookmarkEnd w:id="660"/>
      <w:bookmarkEnd w:id="661"/>
      <w:bookmarkEnd w:id="662"/>
      <w:bookmarkEnd w:id="663"/>
      <w:bookmarkEnd w:id="664"/>
      <w:bookmarkEnd w:id="665"/>
      <w:r>
        <w:rPr>
          <w:rFonts w:ascii="Times New Roman" w:hAnsi="Times New Roman"/>
          <w:b/>
          <w:sz w:val="24"/>
          <w:szCs w:val="24"/>
        </w:rPr>
        <w:t>Ďalšie informácie o odloženej dani z príjmov</w:t>
      </w:r>
    </w:p>
    <w:p>
      <w:pPr>
        <w:pStyle w:val="BodyText"/>
        <w:widowControl/>
        <w:numPr>
          <w:ilvl w:val="0"/>
          <w:numId w:val="39"/>
        </w:numPr>
        <w:bidi w:val="0"/>
        <w:spacing w:lineRule="auto" w:line="276" w:before="0" w:after="140"/>
        <w:ind w:hanging="737" w:start="1134" w:end="0"/>
        <w:jc w:val="both"/>
        <w:rPr/>
      </w:pPr>
      <w:r>
        <w:rPr>
          <w:b/>
          <w:caps w:val="false"/>
          <w:smallCaps w:val="false"/>
          <w:color w:val="000000"/>
          <w:sz w:val="20"/>
        </w:rPr>
        <w:t xml:space="preserve"> </w:t>
      </w:r>
      <w:r>
        <w:rPr/>
        <w:t xml:space="preserve">– </w:t>
      </w:r>
      <w:r>
        <w:rPr>
          <w:b/>
          <w:sz w:val="20"/>
        </w:rPr>
        <w:t xml:space="preserve">e),  g) </w:t>
      </w:r>
      <w:r>
        <w:rPr>
          <w:sz w:val="20"/>
        </w:rPr>
        <w:t>Ďalšie informácie o odloženej dani z príjmov :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709" w:dyaOrig="4594">
          <v:shapetype id="_x0000_tole_rId48" coordsize="21600,21600" o:spt="48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48" type="_x0000_tole_rId48" style="position:absolute;margin-left:-5.45pt;margin-top:-3.1pt;width:482.3pt;height:226.55pt;mso-position-horizontal-relative:text;mso-position-vertical-relative:text" filled="f" o:ole="">
            <v:imagedata r:id="rId49" o:title=""/>
            <w10:wrap type="square" side="largest"/>
          </v:shape>
          <o:OLEObject Type="Embed" ProgID="Excel.Sheet.12" ShapeID="ole_rId48" DrawAspect="Content" ObjectID="_1809272815" r:id="rId48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10449" w:dyaOrig="5652">
          <v:shapetype id="_x0000_tole_rId50" coordsize="21600,21600" o:spt="50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50" type="_x0000_tole_rId50" style="position:absolute;margin-left:-2.5pt;margin-top:22.2pt;width:509.4pt;height:279.75pt;mso-position-horizontal-relative:text;mso-position-vertical-relative:text" filled="f" o:ole="">
            <v:imagedata r:id="rId51" o:title=""/>
            <w10:wrap type="square" side="largest"/>
          </v:shape>
          <o:OLEObject Type="Embed" ProgID="Excel.Sheet.12" ShapeID="ole_rId50" DrawAspect="Content" ObjectID="_1687983480" r:id="rId50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Heading2"/>
        <w:numPr>
          <w:ilvl w:val="0"/>
          <w:numId w:val="21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Prevod od teoretickej dane z príjmov k vykázanej dani z príjmov je uvedený v nasledujúcom prehľade:</w:t>
      </w:r>
    </w:p>
    <w:p>
      <w:pPr>
        <w:pStyle w:val="Normal"/>
        <w:numPr>
          <w:ilvl w:val="0"/>
          <w:numId w:val="22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/>
      </w:pPr>
      <w:r>
        <w:rPr>
          <w:rFonts w:ascii="Times New Roman" w:hAnsi="Times New Roman"/>
          <w:b/>
          <w:sz w:val="24"/>
          <w:szCs w:val="24"/>
        </w:rPr>
        <w:t>Inform</w:t>
      </w:r>
      <w:r>
        <w:rPr>
          <w:b/>
          <w:sz w:val="24"/>
          <w:szCs w:val="24"/>
        </w:rPr>
        <w:t>ácie o významných položkách majetku a záväzkoch zabezpečených derivátmi</w:t>
      </w:r>
    </w:p>
    <w:p>
      <w:pPr>
        <w:pStyle w:val="BodyText"/>
        <w:bidi w:val="0"/>
        <w:spacing w:before="0" w:after="83"/>
        <w:ind w:firstLine="360" w:start="0" w:end="0"/>
        <w:rPr>
          <w:sz w:val="20"/>
        </w:rPr>
      </w:pPr>
      <w:r>
        <w:rPr>
          <w:sz w:val="20"/>
        </w:rPr>
      </w:r>
    </w:p>
    <w:p>
      <w:pPr>
        <w:pStyle w:val="BodyText"/>
        <w:bidi w:val="0"/>
        <w:spacing w:before="0" w:after="83"/>
        <w:ind w:firstLine="360" w:start="0" w:end="0"/>
        <w:rPr>
          <w:sz w:val="20"/>
        </w:rPr>
      </w:pPr>
      <w:r>
        <w:rPr>
          <w:rFonts w:ascii="Times New Roman" w:hAnsi="Times New Roman"/>
          <w:sz w:val="20"/>
        </w:rPr>
        <w:t>Spoločnosť nemá položky zabezpečené derivátmi</w:t>
      </w:r>
      <w:r>
        <w:rPr>
          <w:sz w:val="20"/>
        </w:rPr>
        <w:t>.</w:t>
      </w:r>
    </w:p>
    <w:p>
      <w:pPr>
        <w:pStyle w:val="Normal"/>
        <w:numPr>
          <w:ilvl w:val="0"/>
          <w:numId w:val="23"/>
        </w:numPr>
        <w:tabs>
          <w:tab w:val="clear" w:pos="708"/>
          <w:tab w:val="left" w:pos="0" w:leader="none"/>
        </w:tabs>
        <w:bidi w:val="0"/>
        <w:ind w:firstLine="680" w:start="680" w:end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ktoré vysvetľujú a dopĺňajú položky výkazu ziskov a strát</w:t>
      </w:r>
    </w:p>
    <w:p>
      <w:pPr>
        <w:pStyle w:val="Heading1"/>
        <w:numPr>
          <w:ilvl w:val="0"/>
          <w:numId w:val="24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Doplňujúce a vysvetľujúce informácie k položkám nákladov a výnosov </w:t>
      </w:r>
    </w:p>
    <w:p>
      <w:pPr>
        <w:pStyle w:val="Heading2"/>
        <w:numPr>
          <w:ilvl w:val="0"/>
          <w:numId w:val="25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Tržby za vlastné výkony a tovar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Tržby za vlastné výkony a tovar podľa jednotlivých segmentov, t. j. podľa typov výrobkov a služieb, a podľa hlavných teritórií sú uvedené v nasledujúcom prehľade:</w:t>
      </w:r>
    </w:p>
    <w:p>
      <w:pPr>
        <w:pStyle w:val="Heading2"/>
        <w:numPr>
          <w:ilvl w:val="0"/>
          <w:numId w:val="25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>
          <w:rFonts w:ascii="Times New Roman" w:hAnsi="Times New Roman" w:cs="Times New Roman"/>
          <w:i w:val="false"/>
          <w:sz w:val="20"/>
        </w:rPr>
      </w:pPr>
      <w:r>
        <w:object w:dxaOrig="10463" w:dyaOrig="2878">
          <v:shapetype id="_x0000_tole_rId52" coordsize="21600,21600" o:spt="5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52" type="_x0000_tole_rId52" style="position:absolute;margin-left:-5.45pt;margin-top:-1pt;width:518.3pt;height:136.35pt;mso-position-horizontal-relative:text;mso-position-vertical-relative:text" filled="f" o:ole="">
            <v:imagedata r:id="rId53" o:title=""/>
            <w10:wrap type="square" side="largest"/>
          </v:shape>
          <o:OLEObject Type="Embed" ProgID="Excel.Sheet.12" ShapeID="ole_rId52" DrawAspect="Content" ObjectID="_1047290204" r:id="rId52"/>
        </w:object>
      </w:r>
      <w:r>
        <w:rPr>
          <w:rFonts w:cs="Times New Roman" w:ascii="Times New Roman" w:hAnsi="Times New Roman"/>
          <w:i w:val="false"/>
          <w:sz w:val="20"/>
        </w:rPr>
        <w:t xml:space="preserve">Zmena stavu vnútroorganizačných zásob 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V roku </w:t>
      </w:r>
      <w:r>
        <w:rPr>
          <w:rFonts w:ascii="Times New Roman" w:hAnsi="Times New Roman"/>
          <w:sz w:val="20"/>
        </w:rPr>
        <w:t>202</w:t>
      </w:r>
      <w:r>
        <w:rPr>
          <w:rFonts w:ascii="Times New Roman" w:hAnsi="Times New Roman"/>
          <w:sz w:val="20"/>
        </w:rPr>
        <w:t>5</w:t>
      </w:r>
      <w:r>
        <w:rPr>
          <w:rFonts w:ascii="Times New Roman" w:hAnsi="Times New Roman"/>
          <w:sz w:val="20"/>
        </w:rPr>
        <w:t xml:space="preserve"> Spoločnosť neúčtovala o zásobách vlastnej výroby.</w:t>
      </w:r>
    </w:p>
    <w:p>
      <w:pPr>
        <w:pStyle w:val="Heading2"/>
        <w:numPr>
          <w:ilvl w:val="0"/>
          <w:numId w:val="25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 w:cs="Times New Roman"/>
          <w:i w:val="false"/>
          <w:sz w:val="20"/>
        </w:rPr>
      </w:pPr>
      <w:bookmarkStart w:id="666" w:name="_MON_1066742591"/>
      <w:bookmarkStart w:id="667" w:name="_MON_1066742519"/>
      <w:bookmarkStart w:id="668" w:name="_MON_1066742435"/>
      <w:bookmarkStart w:id="669" w:name="_MON_1370171124"/>
      <w:bookmarkStart w:id="670" w:name="_MON_1361359375"/>
      <w:bookmarkStart w:id="671" w:name="_MON_1360600765"/>
      <w:bookmarkStart w:id="672" w:name="_MON_1360600746"/>
      <w:bookmarkStart w:id="673" w:name="_MON_1360600470"/>
      <w:bookmarkStart w:id="674" w:name="_MON_1360600356"/>
      <w:bookmarkStart w:id="675" w:name="_MON_1360600013"/>
      <w:bookmarkStart w:id="676" w:name="_MON_1360599690"/>
      <w:bookmarkStart w:id="677" w:name="_MON_1359304015"/>
      <w:bookmarkStart w:id="678" w:name="_MON_1359303818"/>
      <w:bookmarkStart w:id="679" w:name="_MON_1328451243"/>
      <w:bookmarkStart w:id="680" w:name="_MON_1315650273"/>
      <w:bookmarkStart w:id="681" w:name="_MON_1315649559"/>
      <w:bookmarkStart w:id="682" w:name="_MON_1296574873"/>
      <w:bookmarkStart w:id="683" w:name="_MON_1296574412"/>
      <w:bookmarkStart w:id="684" w:name="_MON_1252331403"/>
      <w:bookmarkStart w:id="685" w:name="_MON_1251724056"/>
      <w:bookmarkStart w:id="686" w:name="_MON_1251722262"/>
      <w:bookmarkStart w:id="687" w:name="_MON_1251554449"/>
      <w:bookmarkStart w:id="688" w:name="_MON_1251553672"/>
      <w:bookmarkStart w:id="689" w:name="_MON_1251550961"/>
      <w:bookmarkStart w:id="690" w:name="_MON_1251550369"/>
      <w:bookmarkStart w:id="691" w:name="_MON_1251550084"/>
      <w:bookmarkStart w:id="692" w:name="_MON_1251549926"/>
      <w:bookmarkStart w:id="693" w:name="_MON_1251549839"/>
      <w:bookmarkStart w:id="694" w:name="_MON_1251549328"/>
      <w:bookmarkStart w:id="695" w:name="_MON_1249286862"/>
      <w:bookmarkStart w:id="696" w:name="_MON_1249283230"/>
      <w:bookmarkStart w:id="697" w:name="_MON_1249282302"/>
      <w:bookmarkStart w:id="698" w:name="_MON_1249139021"/>
      <w:bookmarkStart w:id="699" w:name="_MON_1221378332"/>
      <w:bookmarkStart w:id="700" w:name="_MON_1190465854"/>
      <w:bookmarkStart w:id="701" w:name="_MON_1189923107"/>
      <w:bookmarkStart w:id="702" w:name="_MON_1160915981"/>
      <w:bookmarkStart w:id="703" w:name="_MON_1160256884"/>
      <w:bookmarkStart w:id="704" w:name="_MON_1154951473"/>
      <w:bookmarkStart w:id="705" w:name="_MON_1154949542"/>
      <w:bookmarkStart w:id="706" w:name="_MON_1154846192"/>
      <w:bookmarkStart w:id="707" w:name="_MON_1127127270"/>
      <w:bookmarkStart w:id="708" w:name="_MON_1122707549"/>
      <w:bookmarkStart w:id="709" w:name="_MON_1094480757"/>
      <w:bookmarkStart w:id="710" w:name="_MON_1066753020"/>
      <w:bookmarkStart w:id="711" w:name="_MON_1066742799"/>
      <w:bookmarkStart w:id="712" w:name="_MON_1066742640"/>
      <w:bookmarkStart w:id="713" w:name="_MON_1066742600"/>
      <w:bookmarkEnd w:id="666"/>
      <w:bookmarkEnd w:id="667"/>
      <w:bookmarkEnd w:id="668"/>
      <w:bookmarkEnd w:id="669"/>
      <w:bookmarkEnd w:id="670"/>
      <w:bookmarkEnd w:id="671"/>
      <w:bookmarkEnd w:id="672"/>
      <w:bookmarkEnd w:id="673"/>
      <w:bookmarkEnd w:id="674"/>
      <w:bookmarkEnd w:id="675"/>
      <w:bookmarkEnd w:id="676"/>
      <w:bookmarkEnd w:id="677"/>
      <w:bookmarkEnd w:id="678"/>
      <w:bookmarkEnd w:id="679"/>
      <w:bookmarkEnd w:id="680"/>
      <w:bookmarkEnd w:id="681"/>
      <w:bookmarkEnd w:id="682"/>
      <w:bookmarkEnd w:id="683"/>
      <w:bookmarkEnd w:id="684"/>
      <w:bookmarkEnd w:id="685"/>
      <w:bookmarkEnd w:id="686"/>
      <w:bookmarkEnd w:id="687"/>
      <w:bookmarkEnd w:id="688"/>
      <w:bookmarkEnd w:id="689"/>
      <w:bookmarkEnd w:id="690"/>
      <w:bookmarkEnd w:id="691"/>
      <w:bookmarkEnd w:id="692"/>
      <w:bookmarkEnd w:id="693"/>
      <w:bookmarkEnd w:id="694"/>
      <w:bookmarkEnd w:id="695"/>
      <w:bookmarkEnd w:id="696"/>
      <w:bookmarkEnd w:id="697"/>
      <w:bookmarkEnd w:id="698"/>
      <w:bookmarkEnd w:id="699"/>
      <w:bookmarkEnd w:id="700"/>
      <w:bookmarkEnd w:id="701"/>
      <w:bookmarkEnd w:id="702"/>
      <w:bookmarkEnd w:id="703"/>
      <w:bookmarkEnd w:id="704"/>
      <w:bookmarkEnd w:id="705"/>
      <w:bookmarkEnd w:id="706"/>
      <w:bookmarkEnd w:id="707"/>
      <w:bookmarkEnd w:id="708"/>
      <w:bookmarkEnd w:id="709"/>
      <w:bookmarkEnd w:id="710"/>
      <w:bookmarkEnd w:id="711"/>
      <w:bookmarkEnd w:id="712"/>
      <w:bookmarkEnd w:id="713"/>
      <w:r>
        <w:rPr>
          <w:rFonts w:cs="Times New Roman" w:ascii="Times New Roman" w:hAnsi="Times New Roman"/>
          <w:i w:val="false"/>
          <w:sz w:val="20"/>
        </w:rPr>
        <w:t>Položky výnosov pri aktivácii nákladov</w:t>
      </w:r>
    </w:p>
    <w:p>
      <w:pPr>
        <w:pStyle w:val="BodyText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Prehľad o výnosoch pri aktivácii nákladov je uvedený v nasledujúcom prehľade: </w:t>
      </w:r>
      <w:bookmarkStart w:id="714" w:name="_MON_1487682191"/>
      <w:bookmarkStart w:id="715" w:name="_MON_1487682186"/>
      <w:bookmarkStart w:id="716" w:name="_MON_1487681844"/>
      <w:bookmarkStart w:id="717" w:name="_MON_1487678894"/>
      <w:bookmarkStart w:id="718" w:name="_MON_1454850651"/>
      <w:bookmarkStart w:id="719" w:name="_MON_1485769551"/>
      <w:bookmarkStart w:id="720" w:name="_MON_1487168352"/>
      <w:bookmarkStart w:id="721" w:name="_MON_1485768876"/>
      <w:bookmarkStart w:id="722" w:name="_MON_1517035695"/>
      <w:bookmarkStart w:id="723" w:name="_MON_1485768478"/>
      <w:bookmarkStart w:id="724" w:name="_MON_1454742541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040" w:dyaOrig="2093">
          <v:shapetype id="_x0000_tole_rId54" coordsize="21600,21600" o:spt="54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54" type="_x0000_tole_rId54" style="position:absolute;margin-left:18.55pt;margin-top:-5.25pt;width:449.3pt;height:98.85pt;mso-position-horizontal-relative:text;mso-position-vertical-relative:text" filled="f" o:ole="">
            <v:imagedata r:id="rId55" o:title=""/>
            <w10:wrap type="square" side="largest"/>
          </v:shape>
          <o:OLEObject Type="Embed" ProgID="Excel.Sheet.12" ShapeID="ole_rId54" DrawAspect="Content" ObjectID="_1318423981" r:id="rId54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Heading2"/>
        <w:numPr>
          <w:ilvl w:val="0"/>
          <w:numId w:val="25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Ostatné položky výnosov z hospodárskej činnosti</w:t>
      </w:r>
    </w:p>
    <w:p>
      <w:pPr>
        <w:pStyle w:val="BodyText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Prehľad o ostatných položkách výnosov z hospodárskej činnosti je uvedený v nasledujúcom prehľade: </w:t>
      </w:r>
      <w:bookmarkStart w:id="725" w:name="_MON_1611646944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349" w:dyaOrig="5598">
          <v:shapetype id="_x0000_tole_rId56" coordsize="21600,21600" o:spt="56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56" type="_x0000_tole_rId56" style="position:absolute;margin-left:9.7pt;margin-top:2.2pt;width:456.4pt;height:259.3pt;mso-position-horizontal-relative:text;mso-position-vertical-relative:text" filled="f" o:ole="">
            <v:imagedata r:id="rId57" o:title=""/>
            <w10:wrap type="square" side="largest"/>
          </v:shape>
          <o:OLEObject Type="Embed" ProgID="Excel.Sheet.12" ShapeID="ole_rId56" DrawAspect="Content" ObjectID="_1084414422" r:id="rId56"/>
        </w:object>
      </w:r>
    </w:p>
    <w:p>
      <w:pPr>
        <w:pStyle w:val="Heading2"/>
        <w:numPr>
          <w:ilvl w:val="0"/>
          <w:numId w:val="25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Položky osobných nákladov</w:t>
      </w:r>
      <w:bookmarkStart w:id="726" w:name="_MON_1518275643"/>
    </w:p>
    <w:p>
      <w:pPr>
        <w:pStyle w:val="BodyText"/>
        <w:bidi w:val="0"/>
        <w:ind w:hanging="0" w:start="360" w:end="0"/>
        <w:jc w:val="start"/>
        <w:rPr/>
      </w:pPr>
      <w:r>
        <w:rPr>
          <w:rFonts w:ascii="Times New Roman" w:hAnsi="Times New Roman"/>
          <w:sz w:val="20"/>
        </w:rPr>
        <w:t>Prehľad o položkách osobných nákladov je uvedený v nasledujúcom prehľade:</w:t>
      </w:r>
      <w:r>
        <w:rPr>
          <w:sz w:val="20"/>
        </w:rPr>
        <w:t xml:space="preserve"> </w:t>
      </w:r>
    </w:p>
    <w:p>
      <w:pPr>
        <w:pStyle w:val="BodyText"/>
        <w:numPr>
          <w:ilvl w:val="0"/>
          <w:numId w:val="25"/>
        </w:numPr>
        <w:bidi w:val="0"/>
        <w:jc w:val="start"/>
        <w:rPr>
          <w:rFonts w:ascii="Times New Roman" w:hAnsi="Times New Roman" w:cs="Times New Roman"/>
          <w:b/>
          <w:bCs/>
          <w:i w:val="false"/>
          <w:sz w:val="20"/>
        </w:rPr>
      </w:pPr>
      <w:r>
        <w:object w:dxaOrig="9469" w:dyaOrig="2996">
          <v:shapetype id="_x0000_tole_rId58" coordsize="21600,21600" o:spt="58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58" type="_x0000_tole_rId58" style="position:absolute;margin-left:9.55pt;margin-top:1.15pt;width:470.9pt;height:144.85pt;mso-position-horizontal-relative:text;mso-position-vertical-relative:text" filled="f" o:ole="">
            <v:imagedata r:id="rId59" o:title=""/>
            <w10:wrap type="square" side="largest"/>
          </v:shape>
          <o:OLEObject Type="Embed" ProgID="Excel.Sheet.12" ShapeID="ole_rId58" DrawAspect="Content" ObjectID="_1266943440" r:id="rId58"/>
        </w:object>
      </w:r>
      <w:r>
        <w:rPr>
          <w:rFonts w:cs="Times New Roman" w:ascii="Times New Roman" w:hAnsi="Times New Roman"/>
          <w:b/>
          <w:bCs/>
          <w:i w:val="false"/>
          <w:sz w:val="20"/>
        </w:rPr>
        <w:t>Položky finančných výnosov</w:t>
      </w:r>
    </w:p>
    <w:p>
      <w:pPr>
        <w:pStyle w:val="BodyText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Prehľad o položkách finančných výnosov je uvedený v nasledujúcom prehľade: </w:t>
      </w:r>
      <w:bookmarkStart w:id="727" w:name="_MON_1518161343"/>
      <w:bookmarkStart w:id="728" w:name="_MON_1518275796"/>
      <w:bookmarkStart w:id="729" w:name="_MON_1518325366"/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501" w:dyaOrig="2970">
          <v:shapetype id="_x0000_tole_rId60" coordsize="21600,21600" o:spt="60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60" type="_x0000_tole_rId60" style="position:absolute;margin-left:8.15pt;margin-top:5.5pt;width:473.05pt;height:140.1pt;mso-position-horizontal-relative:text;mso-position-vertical-relative:text" filled="f" o:ole="">
            <v:imagedata r:id="rId61" o:title=""/>
            <w10:wrap type="square" side="largest"/>
          </v:shape>
          <o:OLEObject Type="Embed" ProgID="Excel.Sheet.12" ShapeID="ole_rId60" DrawAspect="Content" ObjectID="_1558567370" r:id="rId60"/>
        </w:object>
      </w:r>
    </w:p>
    <w:p>
      <w:pPr>
        <w:pStyle w:val="Heading2"/>
        <w:numPr>
          <w:ilvl w:val="0"/>
          <w:numId w:val="25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Položky nákladov na poskytnuté služby</w:t>
      </w:r>
    </w:p>
    <w:p>
      <w:pPr>
        <w:pStyle w:val="BodyText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Prehľad o položkách nákladov na poskytnuté služby je uvedený v nasledujúcom prehľade: </w:t>
      </w:r>
    </w:p>
    <w:p>
      <w:pPr>
        <w:pStyle w:val="Heading2"/>
        <w:numPr>
          <w:ilvl w:val="0"/>
          <w:numId w:val="25"/>
        </w:numPr>
        <w:tabs>
          <w:tab w:val="clear" w:pos="708"/>
          <w:tab w:val="left" w:pos="0" w:leader="none"/>
        </w:tabs>
        <w:bidi w:val="0"/>
        <w:ind w:hanging="360" w:start="720" w:end="0"/>
        <w:jc w:val="start"/>
        <w:rPr>
          <w:rFonts w:ascii="Times New Roman" w:hAnsi="Times New Roman" w:cs="Times New Roman"/>
          <w:i w:val="false"/>
          <w:sz w:val="20"/>
        </w:rPr>
      </w:pPr>
      <w:bookmarkStart w:id="730" w:name="_MON_1487682531"/>
      <w:bookmarkStart w:id="731" w:name="_MON_1487682406"/>
      <w:bookmarkStart w:id="732" w:name="_MON_1487680935"/>
      <w:bookmarkStart w:id="733" w:name="_MON_1487680810"/>
      <w:bookmarkStart w:id="734" w:name="_MON_1487680740"/>
      <w:bookmarkStart w:id="735" w:name="_MON_1487680653"/>
      <w:bookmarkStart w:id="736" w:name="_MON_1487680559"/>
      <w:bookmarkStart w:id="737" w:name="_MON_1454852062"/>
      <w:bookmarkStart w:id="738" w:name="_MON_1454852036"/>
      <w:bookmarkStart w:id="739" w:name="_MON_1454851438"/>
      <w:bookmarkStart w:id="740" w:name="_MON_1454851410"/>
      <w:bookmarkStart w:id="741" w:name="_MON_1454851357"/>
      <w:bookmarkStart w:id="742" w:name="_MON_1486998135"/>
      <w:bookmarkStart w:id="743" w:name="_MON_1486997775"/>
      <w:bookmarkStart w:id="744" w:name="_MON_1454851141"/>
      <w:bookmarkStart w:id="745" w:name="_MON_1454744500"/>
      <w:bookmarkStart w:id="746" w:name="_MON_1454753453"/>
      <w:bookmarkStart w:id="747" w:name="_MON_1454753417"/>
      <w:bookmarkStart w:id="748" w:name="_MON_1454753393"/>
      <w:bookmarkStart w:id="749" w:name="_MON_1454752725"/>
      <w:bookmarkStart w:id="750" w:name="_MON_1486458688"/>
      <w:bookmarkStart w:id="751" w:name="_MON_1486458340"/>
      <w:bookmarkStart w:id="752" w:name="_MON_1454752720"/>
      <w:bookmarkStart w:id="753" w:name="_MON_1454752706"/>
      <w:bookmarkStart w:id="754" w:name="_MON_1454752698"/>
      <w:bookmarkStart w:id="755" w:name="_MON_1454752690"/>
      <w:bookmarkStart w:id="756" w:name="_MON_1454752606"/>
      <w:bookmarkStart w:id="757" w:name="_MON_1485771829"/>
      <w:bookmarkStart w:id="758" w:name="_MON_1485770538"/>
      <w:bookmarkStart w:id="759" w:name="_MON_1485770262"/>
      <w:bookmarkStart w:id="760" w:name="_MON_1517043795"/>
      <w:bookmarkStart w:id="761" w:name="_MON_1454752568"/>
      <w:bookmarkStart w:id="762" w:name="_MON_1454752560"/>
      <w:bookmarkStart w:id="763" w:name="_MON_1454752556"/>
      <w:bookmarkStart w:id="764" w:name="_MON_1454752536"/>
      <w:bookmarkStart w:id="765" w:name="_MON_1454752515"/>
      <w:bookmarkStart w:id="766" w:name="_MON_1454752018"/>
      <w:bookmarkStart w:id="767" w:name="_MON_1456136992"/>
      <w:bookmarkStart w:id="768" w:name="_MON_1454750715"/>
      <w:bookmarkStart w:id="769" w:name="_MON_1454746537"/>
      <w:bookmarkStart w:id="770" w:name="_MON_1454746161"/>
      <w:bookmarkStart w:id="771" w:name="_MON_1454746148"/>
      <w:bookmarkStart w:id="772" w:name="_MON_1454744577"/>
      <w:bookmarkStart w:id="773" w:name="_MON_1487683290"/>
      <w:bookmarkEnd w:id="730"/>
      <w:bookmarkEnd w:id="731"/>
      <w:bookmarkEnd w:id="732"/>
      <w:bookmarkEnd w:id="733"/>
      <w:bookmarkEnd w:id="734"/>
      <w:bookmarkEnd w:id="735"/>
      <w:bookmarkEnd w:id="736"/>
      <w:bookmarkEnd w:id="737"/>
      <w:bookmarkEnd w:id="738"/>
      <w:bookmarkEnd w:id="739"/>
      <w:bookmarkEnd w:id="740"/>
      <w:bookmarkEnd w:id="741"/>
      <w:bookmarkEnd w:id="742"/>
      <w:bookmarkEnd w:id="743"/>
      <w:bookmarkEnd w:id="744"/>
      <w:bookmarkEnd w:id="745"/>
      <w:bookmarkEnd w:id="746"/>
      <w:bookmarkEnd w:id="747"/>
      <w:bookmarkEnd w:id="748"/>
      <w:bookmarkEnd w:id="749"/>
      <w:bookmarkEnd w:id="750"/>
      <w:bookmarkEnd w:id="751"/>
      <w:bookmarkEnd w:id="752"/>
      <w:bookmarkEnd w:id="753"/>
      <w:bookmarkEnd w:id="754"/>
      <w:bookmarkEnd w:id="755"/>
      <w:bookmarkEnd w:id="756"/>
      <w:bookmarkEnd w:id="757"/>
      <w:bookmarkEnd w:id="758"/>
      <w:bookmarkEnd w:id="759"/>
      <w:bookmarkEnd w:id="760"/>
      <w:bookmarkEnd w:id="761"/>
      <w:bookmarkEnd w:id="762"/>
      <w:bookmarkEnd w:id="763"/>
      <w:bookmarkEnd w:id="764"/>
      <w:bookmarkEnd w:id="765"/>
      <w:bookmarkEnd w:id="766"/>
      <w:bookmarkEnd w:id="767"/>
      <w:bookmarkEnd w:id="768"/>
      <w:bookmarkEnd w:id="769"/>
      <w:bookmarkEnd w:id="770"/>
      <w:bookmarkEnd w:id="771"/>
      <w:bookmarkEnd w:id="772"/>
      <w:bookmarkEnd w:id="773"/>
      <w:r>
        <w:object w:dxaOrig="9145" w:dyaOrig="7102">
          <v:shapetype id="_x0000_tole_rId62" coordsize="21600,21600" o:spt="6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62" type="_x0000_tole_rId62" style="position:absolute;margin-left:15.55pt;margin-top:-6.4pt;width:452.9pt;height:362.5pt;mso-position-horizontal-relative:text;mso-position-vertical-relative:text" filled="f" o:ole="">
            <v:imagedata r:id="rId63" o:title=""/>
            <w10:wrap type="square" side="largest"/>
          </v:shape>
          <o:OLEObject Type="Embed" ProgID="Excel.Sheet.12" ShapeID="ole_rId62" DrawAspect="Content" ObjectID="_1147258322" r:id="rId62"/>
        </w:object>
      </w:r>
      <w:r>
        <w:rPr>
          <w:rFonts w:cs="Times New Roman" w:ascii="Times New Roman" w:hAnsi="Times New Roman"/>
          <w:i w:val="false"/>
          <w:sz w:val="20"/>
        </w:rPr>
        <w:t>Položky ostatných nákladov z hospodárskej činnosti</w:t>
      </w:r>
    </w:p>
    <w:p>
      <w:pPr>
        <w:pStyle w:val="BodyText"/>
        <w:bidi w:val="0"/>
        <w:ind w:hanging="0" w:start="360" w:end="0"/>
        <w:jc w:val="start"/>
        <w:rPr/>
      </w:pPr>
      <w:r>
        <w:rPr>
          <w:rFonts w:ascii="Times New Roman" w:hAnsi="Times New Roman"/>
          <w:sz w:val="20"/>
        </w:rPr>
        <w:t>Prehľad o položkách ostatných nákladov z hospodárskej činnosti je uvedený v nasledujúcom prehľade:</w:t>
      </w:r>
      <w:r>
        <w:rPr>
          <w:sz w:val="20"/>
        </w:rPr>
        <w:t xml:space="preserve"> </w:t>
      </w:r>
    </w:p>
    <w:p>
      <w:pPr>
        <w:pStyle w:val="Normal"/>
        <w:widowControl/>
        <w:bidi w:val="0"/>
        <w:spacing w:lineRule="atLeast" w:line="240" w:before="120" w:after="0"/>
        <w:ind w:hanging="0" w:start="454" w:end="0"/>
        <w:jc w:val="start"/>
        <w:rPr>
          <w:sz w:val="20"/>
        </w:rPr>
      </w:pPr>
      <w:r>
        <w:rPr>
          <w:sz w:val="20"/>
        </w:rPr>
        <w:object w:dxaOrig="9320" w:dyaOrig="5513">
          <v:shapetype id="_x0000_tole_rId64" coordsize="21600,21600" o:spt="64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64" type="_x0000_tole_rId64" style="position:absolute;margin-left:10.3pt;margin-top:-0.3pt;width:463.25pt;height:264.8pt;mso-position-horizontal-relative:text;mso-position-vertical-relative:text" filled="f" o:ole="">
            <v:imagedata r:id="rId65" o:title=""/>
            <w10:wrap type="square" side="largest"/>
          </v:shape>
          <o:OLEObject Type="Embed" ProgID="Excel.Sheet.12" ShapeID="ole_rId64" DrawAspect="Content" ObjectID="_324963582" r:id="rId64"/>
        </w:object>
      </w:r>
    </w:p>
    <w:p>
      <w:pPr>
        <w:pStyle w:val="Heading2"/>
        <w:widowControl/>
        <w:numPr>
          <w:ilvl w:val="0"/>
          <w:numId w:val="25"/>
        </w:numPr>
        <w:tabs>
          <w:tab w:val="clear" w:pos="708"/>
          <w:tab w:val="left" w:pos="0" w:leader="none"/>
        </w:tabs>
        <w:bidi w:val="0"/>
        <w:spacing w:lineRule="atLeast" w:line="240" w:before="120" w:after="0"/>
        <w:ind w:hanging="360" w:start="720" w:end="0"/>
        <w:jc w:val="start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 xml:space="preserve">Položky finančných nákladov </w:t>
      </w:r>
    </w:p>
    <w:p>
      <w:pPr>
        <w:pStyle w:val="Normal"/>
        <w:bidi w:val="0"/>
        <w:ind w:hanging="0" w:start="0" w:end="0"/>
        <w:rPr>
          <w:i/>
        </w:rPr>
      </w:pPr>
      <w:r>
        <w:rPr>
          <w:i/>
        </w:rPr>
      </w:r>
    </w:p>
    <w:p>
      <w:pPr>
        <w:pStyle w:val="BodyText"/>
        <w:bidi w:val="0"/>
        <w:ind w:hanging="0" w:start="360" w:end="0"/>
        <w:jc w:val="start"/>
        <w:rPr>
          <w:sz w:val="20"/>
        </w:rPr>
      </w:pPr>
      <w:r>
        <w:rPr>
          <w:sz w:val="20"/>
        </w:rPr>
        <w:t xml:space="preserve">Prehľad o položkách finančných nákladov je uvedený v nasledujúcom prehľade: </w:t>
      </w:r>
      <w:bookmarkStart w:id="774" w:name="_MON_1518953927"/>
      <w:bookmarkStart w:id="775" w:name="_MON_1518174101"/>
    </w:p>
    <w:p>
      <w:pPr>
        <w:pStyle w:val="Normal"/>
        <w:widowControl/>
        <w:bidi w:val="0"/>
        <w:spacing w:lineRule="atLeast" w:line="240" w:before="120" w:after="0"/>
        <w:ind w:hanging="0" w:start="454" w:end="0"/>
        <w:jc w:val="start"/>
        <w:rPr>
          <w:sz w:val="20"/>
        </w:rPr>
      </w:pPr>
      <w:r>
        <w:rPr>
          <w:sz w:val="20"/>
        </w:rPr>
      </w:r>
    </w:p>
    <w:p>
      <w:pPr>
        <w:pStyle w:val="Normal"/>
        <w:widowControl/>
        <w:numPr>
          <w:ilvl w:val="0"/>
          <w:numId w:val="26"/>
        </w:numPr>
        <w:tabs>
          <w:tab w:val="clear" w:pos="708"/>
          <w:tab w:val="left" w:pos="0" w:leader="none"/>
        </w:tabs>
        <w:bidi w:val="0"/>
        <w:spacing w:lineRule="atLeast" w:line="240" w:before="120" w:after="0"/>
        <w:ind w:hanging="360" w:start="720" w:end="0"/>
        <w:jc w:val="start"/>
        <w:rPr>
          <w:rFonts w:ascii="Times New Roman" w:hAnsi="Times New Roman"/>
          <w:b/>
          <w:sz w:val="24"/>
          <w:szCs w:val="24"/>
        </w:rPr>
      </w:pPr>
      <w:r>
        <w:object w:dxaOrig="9147" w:dyaOrig="7630">
          <v:shapetype id="_x0000_tole_rId66" coordsize="21600,21600" o:spt="66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66" type="_x0000_tole_rId66" style="position:absolute;margin-left:20.2pt;margin-top:12.2pt;width:446.4pt;height:356.45pt;mso-position-horizontal-relative:text;mso-position-vertical-relative:text" filled="f" o:ole="">
            <v:imagedata r:id="rId67" o:title=""/>
            <w10:wrap type="square" side="largest"/>
          </v:shape>
          <o:OLEObject Type="Embed" ProgID="Excel.Sheet.12" ShapeID="ole_rId66" DrawAspect="Content" ObjectID="_1516075088" r:id="rId66"/>
        </w:object>
      </w:r>
      <w:r>
        <w:rPr>
          <w:rFonts w:ascii="Times New Roman" w:hAnsi="Times New Roman"/>
          <w:b/>
          <w:sz w:val="24"/>
          <w:szCs w:val="24"/>
        </w:rPr>
        <w:t>Výnimočný rozsah alebo výskyt položiek výnosov a nákladov</w:t>
      </w:r>
    </w:p>
    <w:p>
      <w:pPr>
        <w:pStyle w:val="BodyText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nemá žiadne položky nákladov a výnosov, ktoré majú výnimočný výskyt.</w:t>
      </w:r>
    </w:p>
    <w:p>
      <w:pPr>
        <w:pStyle w:val="Normal"/>
        <w:numPr>
          <w:ilvl w:val="0"/>
          <w:numId w:val="26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b/>
          <w:sz w:val="24"/>
          <w:szCs w:val="24"/>
        </w:rPr>
        <w:t>áklady na overenie individuálnej závierky audítorom</w:t>
      </w:r>
    </w:p>
    <w:p>
      <w:pPr>
        <w:pStyle w:val="BodyText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Spoločnosť nemá povinnosť auditu a neboli vynaložené žiadne výdavky na overenie individuálnej závierky audítorom v roku </w:t>
      </w:r>
      <w:r>
        <w:rPr>
          <w:rFonts w:ascii="Times New Roman" w:hAnsi="Times New Roman"/>
          <w:sz w:val="20"/>
        </w:rPr>
        <w:t>202</w:t>
      </w:r>
      <w:r>
        <w:rPr>
          <w:rFonts w:ascii="Times New Roman" w:hAnsi="Times New Roman"/>
          <w:sz w:val="20"/>
        </w:rPr>
        <w:t>5</w:t>
      </w:r>
      <w:r>
        <w:rPr>
          <w:rFonts w:ascii="Times New Roman" w:hAnsi="Times New Roman"/>
          <w:sz w:val="20"/>
        </w:rPr>
        <w:t>.</w:t>
      </w:r>
    </w:p>
    <w:p>
      <w:pPr>
        <w:pStyle w:val="Normal"/>
        <w:numPr>
          <w:ilvl w:val="0"/>
          <w:numId w:val="26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Čistý obrat</w:t>
      </w:r>
    </w:p>
    <w:p>
      <w:pPr>
        <w:pStyle w:val="BodyText"/>
        <w:bidi w:val="0"/>
        <w:ind w:hanging="0" w:start="36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Čistý obrat Spoločnosti je uvedený v nasledujúcom prehľade:</w:t>
      </w:r>
    </w:p>
    <w:p>
      <w:pPr>
        <w:pStyle w:val="Normal"/>
        <w:widowControl/>
        <w:bidi w:val="0"/>
        <w:spacing w:lineRule="atLeast" w:line="240" w:before="120" w:after="0"/>
        <w:ind w:hanging="0" w:start="454" w:end="0"/>
        <w:jc w:val="start"/>
        <w:rPr>
          <w:sz w:val="20"/>
        </w:rPr>
      </w:pPr>
      <w:r>
        <w:rPr>
          <w:sz w:val="20"/>
        </w:rPr>
      </w:r>
    </w:p>
    <w:p>
      <w:pPr>
        <w:pStyle w:val="Normal"/>
        <w:widowControl/>
        <w:bidi w:val="0"/>
        <w:spacing w:lineRule="atLeast" w:line="240" w:before="120" w:after="0"/>
        <w:ind w:hanging="0" w:start="454" w:end="0"/>
        <w:jc w:val="start"/>
        <w:rPr>
          <w:sz w:val="20"/>
        </w:rPr>
      </w:pPr>
      <w:r>
        <w:rPr>
          <w:sz w:val="20"/>
        </w:rPr>
        <w:object w:dxaOrig="9574" w:dyaOrig="2942">
          <v:shapetype id="_x0000_tole_rId68" coordsize="21600,21600" o:spt="68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68" type="_x0000_tole_rId68" style="position:absolute;margin-left:14.05pt;margin-top:0.35pt;width:474.65pt;height:142.25pt;mso-position-horizontal-relative:text;mso-position-vertical-relative:text" filled="f" o:ole="">
            <v:imagedata r:id="rId69" o:title=""/>
            <w10:wrap type="square" side="largest"/>
          </v:shape>
          <o:OLEObject Type="Embed" ProgID="Excel.Sheet.12" ShapeID="ole_rId68" DrawAspect="Content" ObjectID="_5575032" r:id="rId68"/>
        </w:object>
      </w:r>
    </w:p>
    <w:p>
      <w:pPr>
        <w:pStyle w:val="Normal"/>
        <w:bidi w:val="0"/>
        <w:ind w:hanging="0" w:start="360" w:end="0"/>
        <w:jc w:val="start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28"/>
        </w:numPr>
        <w:tabs>
          <w:tab w:val="clear" w:pos="708"/>
          <w:tab w:val="left" w:pos="0" w:leader="none"/>
        </w:tabs>
        <w:bidi w:val="0"/>
        <w:ind w:firstLine="680" w:start="624" w:end="0"/>
        <w:jc w:val="star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 iných aktívach a iných pasívach</w:t>
      </w:r>
      <w:bookmarkStart w:id="776" w:name="_MON_1123061376"/>
      <w:bookmarkStart w:id="777" w:name="_MON_1066744407"/>
      <w:bookmarkStart w:id="778" w:name="_MON_1066744472"/>
      <w:bookmarkStart w:id="779" w:name="_MON_1066753346"/>
      <w:bookmarkStart w:id="780" w:name="_MON_1094481452"/>
      <w:bookmarkStart w:id="781" w:name="_MON_1122711043"/>
      <w:bookmarkStart w:id="782" w:name="_MON_1122811320"/>
      <w:bookmarkStart w:id="783" w:name="_MON_1127127343"/>
      <w:bookmarkStart w:id="784" w:name="_MON_1127127942"/>
      <w:bookmarkStart w:id="785" w:name="_MON_1134980725"/>
      <w:bookmarkStart w:id="786" w:name="_MON_1134980849"/>
      <w:bookmarkStart w:id="787" w:name="_MON_1139393468"/>
      <w:bookmarkStart w:id="788" w:name="_MON_1139489636"/>
      <w:bookmarkStart w:id="789" w:name="_MON_1139661263"/>
      <w:bookmarkStart w:id="790" w:name="_MON_1139661415"/>
      <w:bookmarkStart w:id="791" w:name="_MON_1170954032"/>
      <w:bookmarkStart w:id="792" w:name="_MON_1201873736"/>
      <w:bookmarkStart w:id="793" w:name="_MON_1202140095"/>
      <w:bookmarkStart w:id="794" w:name="_MON_1202751292"/>
      <w:bookmarkStart w:id="795" w:name="_MON_1220016414"/>
      <w:bookmarkStart w:id="796" w:name="_MON_1232559586"/>
      <w:bookmarkStart w:id="797" w:name="_MON_1233638880"/>
      <w:bookmarkStart w:id="798" w:name="_MON_1256623843"/>
      <w:bookmarkStart w:id="799" w:name="_MON_1265641967"/>
      <w:bookmarkStart w:id="800" w:name="_MON_1296756359"/>
      <w:bookmarkStart w:id="801" w:name="_MON_1296758459"/>
      <w:bookmarkStart w:id="802" w:name="_MON_1296906242"/>
      <w:bookmarkStart w:id="803" w:name="_MON_1315726878"/>
      <w:bookmarkStart w:id="804" w:name="_MON_1328453085"/>
      <w:bookmarkStart w:id="805" w:name="_MON_1330331238"/>
      <w:bookmarkStart w:id="806" w:name="_MON_1359301111"/>
      <w:bookmarkStart w:id="807" w:name="_MON_1360605873"/>
      <w:bookmarkStart w:id="808" w:name="_MON_1360606003"/>
      <w:bookmarkStart w:id="809" w:name="_MON_1361030657"/>
      <w:bookmarkStart w:id="810" w:name="_MON_1370172090"/>
      <w:bookmarkStart w:id="811" w:name="_MON_1370172115"/>
      <w:bookmarkStart w:id="812" w:name="_MON_1066743605"/>
      <w:bookmarkStart w:id="813" w:name="_MON_1066743652"/>
      <w:bookmarkStart w:id="814" w:name="_MON_1066743675"/>
      <w:bookmarkStart w:id="815" w:name="_MON_1066743700"/>
      <w:bookmarkStart w:id="816" w:name="_MON_1123061420"/>
      <w:bookmarkStart w:id="817" w:name="_MON_1123061457"/>
      <w:bookmarkStart w:id="818" w:name="_MON_1123061543"/>
      <w:bookmarkStart w:id="819" w:name="_MON_1123063278"/>
      <w:bookmarkStart w:id="820" w:name="_MON_1123063443"/>
      <w:bookmarkStart w:id="821" w:name="_MON_1123063472"/>
      <w:bookmarkStart w:id="822" w:name="_MON_1123063499"/>
      <w:bookmarkStart w:id="823" w:name="_MON_1123063574"/>
      <w:bookmarkStart w:id="824" w:name="_MON_1123063583"/>
      <w:bookmarkStart w:id="825" w:name="_MON_1123063595"/>
      <w:bookmarkStart w:id="826" w:name="_MON_1123063613"/>
      <w:bookmarkStart w:id="827" w:name="_MON_1123063883"/>
      <w:bookmarkStart w:id="828" w:name="_MON_1123063949"/>
      <w:bookmarkStart w:id="829" w:name="_MON_1123307729"/>
      <w:bookmarkStart w:id="830" w:name="_MON_1123307742"/>
      <w:bookmarkStart w:id="831" w:name="_MON_1123307758"/>
      <w:bookmarkStart w:id="832" w:name="_MON_1123307793"/>
      <w:bookmarkStart w:id="833" w:name="_MON_1127127970"/>
      <w:bookmarkStart w:id="834" w:name="_MON_1127128029"/>
      <w:bookmarkStart w:id="835" w:name="_MON_1154848240"/>
      <w:bookmarkStart w:id="836" w:name="_MON_1154949515"/>
      <w:bookmarkStart w:id="837" w:name="_MON_1160257728"/>
      <w:bookmarkStart w:id="838" w:name="_MON_1160257743"/>
      <w:bookmarkStart w:id="839" w:name="_MON_1160257770"/>
      <w:bookmarkStart w:id="840" w:name="_MON_1160257780"/>
      <w:bookmarkStart w:id="841" w:name="_MON_1160257800"/>
      <w:bookmarkStart w:id="842" w:name="_MON_1160257829"/>
      <w:bookmarkStart w:id="843" w:name="_MON_1160916133"/>
      <w:bookmarkStart w:id="844" w:name="_MON_1189923644"/>
      <w:bookmarkStart w:id="845" w:name="_MON_1189947225"/>
      <w:bookmarkStart w:id="846" w:name="_MON_1190466874"/>
      <w:bookmarkStart w:id="847" w:name="_MON_1192428870"/>
      <w:bookmarkStart w:id="848" w:name="_MON_1192428925"/>
      <w:bookmarkStart w:id="849" w:name="_MON_1192429119"/>
      <w:bookmarkStart w:id="850" w:name="_MON_1221378583"/>
      <w:bookmarkStart w:id="851" w:name="_MON_1249139260"/>
      <w:bookmarkStart w:id="852" w:name="_MON_1293364667"/>
      <w:bookmarkStart w:id="853" w:name="_MON_1293364883"/>
      <w:bookmarkStart w:id="854" w:name="_MON_1293364946"/>
      <w:bookmarkStart w:id="855" w:name="_MON_1296758270"/>
      <w:bookmarkStart w:id="856" w:name="_MON_1315727035"/>
      <w:bookmarkStart w:id="857" w:name="_MON_1328453243"/>
      <w:bookmarkStart w:id="858" w:name="_MON_1330331253"/>
      <w:bookmarkStart w:id="859" w:name="_MON_1359301049"/>
      <w:bookmarkStart w:id="860" w:name="_MON_1360605501"/>
      <w:bookmarkStart w:id="861" w:name="_MON_1360605819"/>
      <w:bookmarkStart w:id="862" w:name="_MON_1360605852"/>
      <w:bookmarkStart w:id="863" w:name="_MON_1361030721"/>
      <w:bookmarkStart w:id="864" w:name="_MON_1370172137"/>
      <w:bookmarkStart w:id="865" w:name="_MON_1122711931"/>
      <w:bookmarkStart w:id="866" w:name="_MON_1123061259"/>
      <w:bookmarkStart w:id="867" w:name="_MON_1123061315"/>
    </w:p>
    <w:p>
      <w:pPr>
        <w:pStyle w:val="Normal"/>
        <w:bidi w:val="0"/>
        <w:ind w:hanging="0" w:start="0" w:end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27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Iné aktíva a iné pasíva</w:t>
      </w:r>
    </w:p>
    <w:p>
      <w:pPr>
        <w:pStyle w:val="Heading2"/>
        <w:numPr>
          <w:ilvl w:val="0"/>
          <w:numId w:val="29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 w:cs="Times New Roman"/>
          <w:i w:val="false"/>
          <w:sz w:val="20"/>
        </w:rPr>
      </w:pPr>
      <w:r>
        <w:rPr>
          <w:rFonts w:cs="Times New Roman" w:ascii="Times New Roman" w:hAnsi="Times New Roman"/>
          <w:i w:val="false"/>
          <w:sz w:val="20"/>
        </w:rPr>
        <w:t>Podmienený majetok</w:t>
      </w:r>
    </w:p>
    <w:p>
      <w:pPr>
        <w:pStyle w:val="Normal"/>
        <w:bidi w:val="0"/>
        <w:ind w:hanging="0" w:start="36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nemá podmienený majetok.</w:t>
      </w:r>
    </w:p>
    <w:p>
      <w:pPr>
        <w:pStyle w:val="Heading2"/>
        <w:numPr>
          <w:ilvl w:val="0"/>
          <w:numId w:val="29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 w:cs="Times New Roman"/>
          <w:i w:val="false"/>
          <w:sz w:val="20"/>
          <w:szCs w:val="20"/>
        </w:rPr>
      </w:pPr>
      <w:r>
        <w:rPr>
          <w:rFonts w:cs="Times New Roman" w:ascii="Times New Roman" w:hAnsi="Times New Roman"/>
          <w:i w:val="false"/>
          <w:sz w:val="20"/>
          <w:szCs w:val="20"/>
        </w:rPr>
        <w:t>Podmienené záväzky</w:t>
      </w:r>
    </w:p>
    <w:p>
      <w:pPr>
        <w:pStyle w:val="Normal"/>
        <w:bidi w:val="0"/>
        <w:ind w:hanging="0" w:start="36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nemá podmienený majetok.</w:t>
      </w:r>
      <w:bookmarkStart w:id="868" w:name="_MON_1485775556"/>
      <w:bookmarkStart w:id="869" w:name="_MON_1454762663"/>
    </w:p>
    <w:p>
      <w:pPr>
        <w:pStyle w:val="Normal"/>
        <w:bidi w:val="0"/>
        <w:ind w:hanging="0" w:start="360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má podmienené záväzky voči spriazneným osobám.</w:t>
      </w:r>
    </w:p>
    <w:p>
      <w:pPr>
        <w:pStyle w:val="Normal"/>
        <w:bidi w:val="0"/>
        <w:ind w:hanging="0" w:start="720" w:end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27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Ostatné finančné povinnosti</w:t>
      </w:r>
    </w:p>
    <w:p>
      <w:pPr>
        <w:pStyle w:val="Normal"/>
        <w:bidi w:val="0"/>
        <w:ind w:hanging="0" w:start="360" w:end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Ostatné finančné povinnosti spoločnosť neeviduje.</w:t>
      </w:r>
    </w:p>
    <w:p>
      <w:pPr>
        <w:pStyle w:val="Normal"/>
        <w:bidi w:val="0"/>
        <w:ind w:hanging="0" w:start="720" w:end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</w:r>
    </w:p>
    <w:p>
      <w:pPr>
        <w:pStyle w:val="Normal"/>
        <w:numPr>
          <w:ilvl w:val="0"/>
          <w:numId w:val="27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Podsúvahové účty</w:t>
      </w:r>
    </w:p>
    <w:p>
      <w:pPr>
        <w:pStyle w:val="Normal"/>
        <w:bidi w:val="0"/>
        <w:ind w:hanging="0" w:start="360" w:end="0"/>
        <w:jc w:val="start"/>
        <w:rPr>
          <w:sz w:val="20"/>
        </w:rPr>
      </w:pPr>
      <w:r>
        <w:rPr>
          <w:sz w:val="20"/>
        </w:rPr>
        <w:object w:dxaOrig="9218" w:dyaOrig="3662">
          <v:shapetype id="_x0000_tole_rId70" coordsize="21600,21600" o:spt="70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70" type="_x0000_tole_rId70" style="position:absolute;margin-left:19.3pt;margin-top:11.3pt;width:458.9pt;height:177.55pt;mso-position-horizontal-relative:text;mso-position-vertical-relative:text" filled="f" o:ole="">
            <v:imagedata r:id="rId71" o:title=""/>
            <w10:wrap type="square" side="largest"/>
          </v:shape>
          <o:OLEObject Type="Embed" ProgID="Excel.Sheet.12" ShapeID="ole_rId70" DrawAspect="Content" ObjectID="_883512479" r:id="rId70"/>
        </w:object>
      </w:r>
    </w:p>
    <w:p>
      <w:pPr>
        <w:pStyle w:val="BodyText"/>
        <w:bidi w:val="0"/>
        <w:ind w:hanging="0" w:start="426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má v nájme od spoločnosti CHEMOSVIT, a. s. dlhodobý nehnuteľný majetok a drobný majetok, od spoločnosti FINCHEM, a. s. má prenajaté osobné autá a dlhodobý nehnuteľný majetok. Nájomné zmluvy sú uzatvorené s možnosťou výpovede v určených prípadoch a obnovujú sa dodatkom každý rok.</w:t>
      </w:r>
    </w:p>
    <w:p>
      <w:pPr>
        <w:pStyle w:val="Normal"/>
        <w:bidi w:val="0"/>
        <w:ind w:hanging="0" w:start="36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numPr>
          <w:ilvl w:val="0"/>
          <w:numId w:val="31"/>
        </w:numPr>
        <w:tabs>
          <w:tab w:val="clear" w:pos="708"/>
          <w:tab w:val="left" w:pos="2296" w:leader="none"/>
        </w:tabs>
        <w:bidi w:val="0"/>
        <w:ind w:hanging="141" w:start="1701" w:end="0"/>
        <w:jc w:val="star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 udalostiach, ktoré nastali po dni, ku ktorému sa zostavuje účtovná závierka</w:t>
      </w:r>
    </w:p>
    <w:p>
      <w:pPr>
        <w:pStyle w:val="BodyText"/>
        <w:bidi w:val="0"/>
        <w:ind w:hanging="0" w:start="426" w:end="0"/>
        <w:rPr>
          <w:rFonts w:ascii="Times New Roman" w:hAnsi="Times New Roman"/>
          <w:color w:val="FF0000"/>
          <w:sz w:val="20"/>
          <w:szCs w:val="24"/>
          <w:shd w:fill="FFFF00" w:val="clear"/>
        </w:rPr>
      </w:pPr>
      <w:r>
        <w:rPr>
          <w:rFonts w:ascii="Times New Roman" w:hAnsi="Times New Roman"/>
          <w:color w:val="FF0000"/>
          <w:sz w:val="20"/>
          <w:szCs w:val="24"/>
          <w:shd w:fill="FFFF00" w:val="clear"/>
        </w:rPr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Nenastali žiadne skutočnosti, ktoré by mali vplyv na finančnú a majetkovú situáciu spoločnostipo dni, 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ku ktorému sa zostavuje účtovná závierka, do dňa zostavenia účtovnej závierky.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numPr>
          <w:ilvl w:val="0"/>
          <w:numId w:val="31"/>
        </w:numPr>
        <w:tabs>
          <w:tab w:val="clear" w:pos="708"/>
          <w:tab w:val="left" w:pos="2296" w:leader="none"/>
        </w:tabs>
        <w:bidi w:val="0"/>
        <w:ind w:hanging="227" w:start="1757" w:end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 spriaznených osobách</w:t>
      </w:r>
    </w:p>
    <w:p>
      <w:pPr>
        <w:pStyle w:val="Normal"/>
        <w:bidi w:val="0"/>
        <w:ind w:hanging="0" w:start="0" w:end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32"/>
        </w:numPr>
        <w:tabs>
          <w:tab w:val="clear" w:pos="708"/>
          <w:tab w:val="left" w:pos="0" w:leader="none"/>
        </w:tabs>
        <w:bidi w:val="0"/>
        <w:ind w:hanging="360" w:start="720" w:end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Informácie o transakciách so spriaznenými osobami</w:t>
      </w:r>
    </w:p>
    <w:p>
      <w:pPr>
        <w:pStyle w:val="Normal"/>
        <w:bidi w:val="0"/>
        <w:ind w:hanging="0" w:start="426" w:end="0"/>
        <w:jc w:val="both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  <w:t>Spoločnosť neuskutočnila také transakcie so spriaznenými osobami, ktoré by sa neuzavreli na základe obvyklých obchodných podmienok.</w:t>
      </w:r>
    </w:p>
    <w:p>
      <w:pPr>
        <w:pStyle w:val="Normal"/>
        <w:numPr>
          <w:ilvl w:val="0"/>
          <w:numId w:val="30"/>
        </w:numPr>
        <w:tabs>
          <w:tab w:val="clear" w:pos="708"/>
          <w:tab w:val="left" w:pos="0" w:leader="none"/>
        </w:tabs>
        <w:bidi w:val="0"/>
        <w:ind w:hanging="360" w:start="720" w:end="0"/>
        <w:jc w:val="both"/>
        <w:rPr>
          <w:rFonts w:ascii="Times New Roman" w:hAnsi="Times New Roman" w:eastAsia="Times New Roman"/>
          <w:sz w:val="20"/>
          <w:szCs w:val="20"/>
        </w:rPr>
      </w:pPr>
      <w:r>
        <w:rPr>
          <w:rFonts w:eastAsia="Times New Roman" w:ascii="Times New Roman" w:hAnsi="Times New Roman"/>
          <w:sz w:val="20"/>
          <w:szCs w:val="20"/>
        </w:rPr>
        <w:t xml:space="preserve">Spoločnosť uskutočnila v priebehu účtovného obdobia nasledujúce transakcie so spriaznenými osobami uzavretých na základe obvyklých obchodných podmienok: </w:t>
      </w:r>
    </w:p>
    <w:p>
      <w:pPr>
        <w:pStyle w:val="Normal"/>
        <w:bidi w:val="0"/>
        <w:ind w:hanging="0" w:start="360" w:end="0"/>
        <w:jc w:val="start"/>
        <w:rPr>
          <w:sz w:val="20"/>
        </w:rPr>
      </w:pPr>
      <w:r>
        <w:rPr>
          <w:sz w:val="20"/>
        </w:rPr>
        <w:object w:dxaOrig="9541" w:dyaOrig="13668">
          <v:shapetype id="_x0000_tole_rId72" coordsize="21600,21600" o:spt="7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72" type="_x0000_tole_rId72" style="position:absolute;margin-left:21.25pt;margin-top:9.15pt;width:456.35pt;height:699pt;mso-position-horizontal-relative:text;mso-position-vertical-relative:text" filled="f" o:ole="">
            <v:imagedata r:id="rId73" o:title=""/>
            <w10:wrap type="square" side="largest"/>
          </v:shape>
          <o:OLEObject Type="Embed" ProgID="Excel.Sheet.12" ShapeID="ole_rId72" DrawAspect="Content" ObjectID="_1011647046" r:id="rId72"/>
        </w:object>
      </w:r>
    </w:p>
    <w:p>
      <w:pPr>
        <w:pStyle w:val="Normal"/>
        <w:bidi w:val="0"/>
        <w:ind w:hanging="0" w:start="360" w:end="0"/>
        <w:jc w:val="start"/>
        <w:rPr>
          <w:sz w:val="20"/>
        </w:rPr>
      </w:pPr>
      <w:r>
        <w:rPr>
          <w:sz w:val="20"/>
        </w:rPr>
      </w:r>
    </w:p>
    <w:p>
      <w:pPr>
        <w:pStyle w:val="Normal"/>
        <w:bidi w:val="0"/>
        <w:ind w:hanging="0" w:start="360" w:end="0"/>
        <w:jc w:val="start"/>
        <w:rPr>
          <w:sz w:val="20"/>
        </w:rPr>
      </w:pPr>
      <w:r>
        <w:rPr>
          <w:sz w:val="20"/>
        </w:rPr>
        <w:object w:dxaOrig="8726" w:dyaOrig="7286">
          <v:shapetype id="_x0000_tole_rId74" coordsize="21600,21600" o:spt="74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74" type="_x0000_tole_rId74" style="position:absolute;margin-left:25.65pt;margin-top:12.6pt;width:434.25pt;height:371.3pt;mso-position-horizontal-relative:text;mso-position-vertical-relative:text" filled="f" o:ole="">
            <v:imagedata r:id="rId75" o:title=""/>
            <w10:wrap type="square" side="largest"/>
          </v:shape>
          <o:OLEObject Type="Embed" ProgID="Excel.Sheet.12" ShapeID="ole_rId74" DrawAspect="Content" ObjectID="_341604559" r:id="rId74"/>
        </w:object>
      </w:r>
    </w:p>
    <w:p>
      <w:pPr>
        <w:pStyle w:val="Normal"/>
        <w:bidi w:val="0"/>
        <w:ind w:hanging="0" w:start="360" w:end="0"/>
        <w:jc w:val="start"/>
        <w:rPr>
          <w:sz w:val="20"/>
        </w:rPr>
      </w:pPr>
      <w:r>
        <w:rPr>
          <w:sz w:val="20"/>
        </w:rPr>
      </w:r>
    </w:p>
    <w:p>
      <w:pPr>
        <w:pStyle w:val="Normal"/>
        <w:bidi w:val="0"/>
        <w:ind w:hanging="0" w:start="360" w:end="0"/>
        <w:jc w:val="start"/>
        <w:rPr>
          <w:sz w:val="20"/>
        </w:rPr>
      </w:pPr>
      <w:r>
        <w:rPr>
          <w:sz w:val="20"/>
        </w:rPr>
      </w:r>
    </w:p>
    <w:p>
      <w:pPr>
        <w:pStyle w:val="Normal"/>
        <w:bidi w:val="0"/>
        <w:ind w:hanging="0" w:start="360" w:end="0"/>
        <w:jc w:val="start"/>
        <w:rPr>
          <w:sz w:val="20"/>
        </w:rPr>
      </w:pPr>
      <w:r>
        <w:rPr>
          <w:sz w:val="20"/>
        </w:rPr>
      </w:r>
    </w:p>
    <w:p>
      <w:pPr>
        <w:pStyle w:val="Normal"/>
        <w:bidi w:val="0"/>
        <w:ind w:hanging="0" w:start="360" w:end="0"/>
        <w:jc w:val="start"/>
        <w:rPr>
          <w:sz w:val="20"/>
        </w:rPr>
      </w:pPr>
      <w:r>
        <w:rPr>
          <w:sz w:val="20"/>
        </w:rPr>
      </w:r>
    </w:p>
    <w:p>
      <w:pPr>
        <w:pStyle w:val="Normal"/>
        <w:bidi w:val="0"/>
        <w:ind w:hanging="0" w:start="360" w:end="0"/>
        <w:jc w:val="start"/>
        <w:rPr>
          <w:sz w:val="20"/>
        </w:rPr>
      </w:pPr>
      <w:r>
        <w:rPr>
          <w:sz w:val="20"/>
        </w:rPr>
      </w:r>
      <w:bookmarkStart w:id="870" w:name="_MON_1518244625"/>
      <w:bookmarkStart w:id="871" w:name="_MON_1518160294"/>
      <w:bookmarkStart w:id="872" w:name="_MON_1518333323"/>
      <w:bookmarkStart w:id="873" w:name="_MON_1518244625"/>
      <w:bookmarkStart w:id="874" w:name="_MON_1518160294"/>
      <w:bookmarkStart w:id="875" w:name="_MON_1518333323"/>
      <w:bookmarkEnd w:id="873"/>
      <w:bookmarkEnd w:id="874"/>
      <w:bookmarkEnd w:id="875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  <w:bookmarkStart w:id="876" w:name="_MON_1066742591"/>
      <w:bookmarkStart w:id="877" w:name="_MON_1066742519"/>
      <w:bookmarkStart w:id="878" w:name="_MON_1066742435"/>
      <w:bookmarkStart w:id="879" w:name="_MON_1370171124"/>
      <w:bookmarkStart w:id="880" w:name="_MON_1361359375"/>
      <w:bookmarkStart w:id="881" w:name="_MON_1360600765"/>
      <w:bookmarkStart w:id="882" w:name="_MON_1360600746"/>
      <w:bookmarkStart w:id="883" w:name="_MON_1360600470"/>
      <w:bookmarkStart w:id="884" w:name="_MON_1360600356"/>
      <w:bookmarkStart w:id="885" w:name="_MON_1360600013"/>
      <w:bookmarkStart w:id="886" w:name="_MON_1360599690"/>
      <w:bookmarkStart w:id="887" w:name="_MON_1359304015"/>
      <w:bookmarkStart w:id="888" w:name="_MON_1359303818"/>
      <w:bookmarkStart w:id="889" w:name="_MON_1328451243"/>
      <w:bookmarkStart w:id="890" w:name="_MON_1315650273"/>
      <w:bookmarkStart w:id="891" w:name="_MON_1315649559"/>
      <w:bookmarkStart w:id="892" w:name="_MON_1296574873"/>
      <w:bookmarkStart w:id="893" w:name="_MON_1296574412"/>
      <w:bookmarkStart w:id="894" w:name="_MON_1252331403"/>
      <w:bookmarkStart w:id="895" w:name="_MON_1251724056"/>
      <w:bookmarkStart w:id="896" w:name="_MON_1251722262"/>
      <w:bookmarkStart w:id="897" w:name="_MON_1251554449"/>
      <w:bookmarkStart w:id="898" w:name="_MON_1251553672"/>
      <w:bookmarkStart w:id="899" w:name="_MON_1251550961"/>
      <w:bookmarkStart w:id="900" w:name="_MON_1251550369"/>
      <w:bookmarkStart w:id="901" w:name="_MON_1251550084"/>
      <w:bookmarkStart w:id="902" w:name="_MON_1251549926"/>
      <w:bookmarkStart w:id="903" w:name="_MON_1251549839"/>
      <w:bookmarkStart w:id="904" w:name="_MON_1251549328"/>
      <w:bookmarkStart w:id="905" w:name="_MON_1249286862"/>
      <w:bookmarkStart w:id="906" w:name="_MON_1249283230"/>
      <w:bookmarkStart w:id="907" w:name="_MON_1249282302"/>
      <w:bookmarkStart w:id="908" w:name="_MON_1249139021"/>
      <w:bookmarkStart w:id="909" w:name="_MON_1221378332"/>
      <w:bookmarkStart w:id="910" w:name="_MON_1190465854"/>
      <w:bookmarkStart w:id="911" w:name="_MON_1189923107"/>
      <w:bookmarkStart w:id="912" w:name="_MON_1160915981"/>
      <w:bookmarkStart w:id="913" w:name="_MON_1160256884"/>
      <w:bookmarkStart w:id="914" w:name="_MON_1154951473"/>
      <w:bookmarkStart w:id="915" w:name="_MON_1154949542"/>
      <w:bookmarkStart w:id="916" w:name="_MON_1154846192"/>
      <w:bookmarkStart w:id="917" w:name="_MON_1127127270"/>
      <w:bookmarkStart w:id="918" w:name="_MON_1122707549"/>
      <w:bookmarkStart w:id="919" w:name="_MON_1094480757"/>
      <w:bookmarkStart w:id="920" w:name="_MON_1066753020"/>
      <w:bookmarkStart w:id="921" w:name="_MON_1066742799"/>
      <w:bookmarkStart w:id="922" w:name="_MON_1066742640"/>
      <w:bookmarkStart w:id="923" w:name="_MON_1066742600"/>
      <w:bookmarkStart w:id="924" w:name="_MON_1066742591"/>
      <w:bookmarkStart w:id="925" w:name="_MON_1066742519"/>
      <w:bookmarkStart w:id="926" w:name="_MON_1066742435"/>
      <w:bookmarkStart w:id="927" w:name="_MON_1370171124"/>
      <w:bookmarkStart w:id="928" w:name="_MON_1361359375"/>
      <w:bookmarkStart w:id="929" w:name="_MON_1360600765"/>
      <w:bookmarkStart w:id="930" w:name="_MON_1360600746"/>
      <w:bookmarkStart w:id="931" w:name="_MON_1360600470"/>
      <w:bookmarkStart w:id="932" w:name="_MON_1360600356"/>
      <w:bookmarkStart w:id="933" w:name="_MON_1360600013"/>
      <w:bookmarkStart w:id="934" w:name="_MON_1360599690"/>
      <w:bookmarkStart w:id="935" w:name="_MON_1359304015"/>
      <w:bookmarkStart w:id="936" w:name="_MON_1359303818"/>
      <w:bookmarkStart w:id="937" w:name="_MON_1328451243"/>
      <w:bookmarkStart w:id="938" w:name="_MON_1315650273"/>
      <w:bookmarkStart w:id="939" w:name="_MON_1315649559"/>
      <w:bookmarkStart w:id="940" w:name="_MON_1296574873"/>
      <w:bookmarkStart w:id="941" w:name="_MON_1296574412"/>
      <w:bookmarkStart w:id="942" w:name="_MON_1252331403"/>
      <w:bookmarkStart w:id="943" w:name="_MON_1251724056"/>
      <w:bookmarkStart w:id="944" w:name="_MON_1251722262"/>
      <w:bookmarkStart w:id="945" w:name="_MON_1251554449"/>
      <w:bookmarkStart w:id="946" w:name="_MON_1251553672"/>
      <w:bookmarkStart w:id="947" w:name="_MON_1251550961"/>
      <w:bookmarkStart w:id="948" w:name="_MON_1251550369"/>
      <w:bookmarkStart w:id="949" w:name="_MON_1251550084"/>
      <w:bookmarkStart w:id="950" w:name="_MON_1251549926"/>
      <w:bookmarkStart w:id="951" w:name="_MON_1251549839"/>
      <w:bookmarkStart w:id="952" w:name="_MON_1251549328"/>
      <w:bookmarkStart w:id="953" w:name="_MON_1249286862"/>
      <w:bookmarkStart w:id="954" w:name="_MON_1249283230"/>
      <w:bookmarkStart w:id="955" w:name="_MON_1249282302"/>
      <w:bookmarkStart w:id="956" w:name="_MON_1249139021"/>
      <w:bookmarkStart w:id="957" w:name="_MON_1221378332"/>
      <w:bookmarkStart w:id="958" w:name="_MON_1190465854"/>
      <w:bookmarkStart w:id="959" w:name="_MON_1189923107"/>
      <w:bookmarkStart w:id="960" w:name="_MON_1160915981"/>
      <w:bookmarkStart w:id="961" w:name="_MON_1160256884"/>
      <w:bookmarkStart w:id="962" w:name="_MON_1154951473"/>
      <w:bookmarkStart w:id="963" w:name="_MON_1154949542"/>
      <w:bookmarkStart w:id="964" w:name="_MON_1154846192"/>
      <w:bookmarkStart w:id="965" w:name="_MON_1127127270"/>
      <w:bookmarkStart w:id="966" w:name="_MON_1122707549"/>
      <w:bookmarkStart w:id="967" w:name="_MON_1094480757"/>
      <w:bookmarkStart w:id="968" w:name="_MON_1066753020"/>
      <w:bookmarkStart w:id="969" w:name="_MON_1066742799"/>
      <w:bookmarkStart w:id="970" w:name="_MON_1066742640"/>
      <w:bookmarkStart w:id="971" w:name="_MON_1066742600"/>
      <w:bookmarkEnd w:id="924"/>
      <w:bookmarkEnd w:id="925"/>
      <w:bookmarkEnd w:id="926"/>
      <w:bookmarkEnd w:id="927"/>
      <w:bookmarkEnd w:id="928"/>
      <w:bookmarkEnd w:id="929"/>
      <w:bookmarkEnd w:id="930"/>
      <w:bookmarkEnd w:id="931"/>
      <w:bookmarkEnd w:id="932"/>
      <w:bookmarkEnd w:id="933"/>
      <w:bookmarkEnd w:id="934"/>
      <w:bookmarkEnd w:id="935"/>
      <w:bookmarkEnd w:id="936"/>
      <w:bookmarkEnd w:id="937"/>
      <w:bookmarkEnd w:id="938"/>
      <w:bookmarkEnd w:id="939"/>
      <w:bookmarkEnd w:id="940"/>
      <w:bookmarkEnd w:id="941"/>
      <w:bookmarkEnd w:id="942"/>
      <w:bookmarkEnd w:id="943"/>
      <w:bookmarkEnd w:id="944"/>
      <w:bookmarkEnd w:id="945"/>
      <w:bookmarkEnd w:id="946"/>
      <w:bookmarkEnd w:id="947"/>
      <w:bookmarkEnd w:id="948"/>
      <w:bookmarkEnd w:id="949"/>
      <w:bookmarkEnd w:id="950"/>
      <w:bookmarkEnd w:id="951"/>
      <w:bookmarkEnd w:id="952"/>
      <w:bookmarkEnd w:id="953"/>
      <w:bookmarkEnd w:id="954"/>
      <w:bookmarkEnd w:id="955"/>
      <w:bookmarkEnd w:id="956"/>
      <w:bookmarkEnd w:id="957"/>
      <w:bookmarkEnd w:id="958"/>
      <w:bookmarkEnd w:id="959"/>
      <w:bookmarkEnd w:id="960"/>
      <w:bookmarkEnd w:id="961"/>
      <w:bookmarkEnd w:id="962"/>
      <w:bookmarkEnd w:id="963"/>
      <w:bookmarkEnd w:id="964"/>
      <w:bookmarkEnd w:id="965"/>
      <w:bookmarkEnd w:id="966"/>
      <w:bookmarkEnd w:id="967"/>
      <w:bookmarkEnd w:id="968"/>
      <w:bookmarkEnd w:id="969"/>
      <w:bookmarkEnd w:id="970"/>
      <w:bookmarkEnd w:id="971"/>
      <w:bookmarkEnd w:id="714"/>
      <w:bookmarkEnd w:id="715"/>
      <w:bookmarkEnd w:id="716"/>
      <w:bookmarkEnd w:id="717"/>
      <w:bookmarkEnd w:id="718"/>
      <w:bookmarkEnd w:id="719"/>
      <w:bookmarkEnd w:id="720"/>
      <w:bookmarkEnd w:id="721"/>
      <w:bookmarkEnd w:id="722"/>
      <w:bookmarkEnd w:id="723"/>
      <w:bookmarkEnd w:id="724"/>
      <w:bookmarkEnd w:id="725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  <w:bookmarkStart w:id="972" w:name="_MON_1487682531"/>
      <w:bookmarkStart w:id="973" w:name="_MON_1487682406"/>
      <w:bookmarkStart w:id="974" w:name="_MON_1487680935"/>
      <w:bookmarkStart w:id="975" w:name="_MON_1487680810"/>
      <w:bookmarkStart w:id="976" w:name="_MON_1487680740"/>
      <w:bookmarkStart w:id="977" w:name="_MON_1487680653"/>
      <w:bookmarkStart w:id="978" w:name="_MON_1487680559"/>
      <w:bookmarkStart w:id="979" w:name="_MON_1454852062"/>
      <w:bookmarkStart w:id="980" w:name="_MON_1454852036"/>
      <w:bookmarkStart w:id="981" w:name="_MON_1454851438"/>
      <w:bookmarkStart w:id="982" w:name="_MON_1454851410"/>
      <w:bookmarkStart w:id="983" w:name="_MON_1454851357"/>
      <w:bookmarkStart w:id="984" w:name="_MON_1486998135"/>
      <w:bookmarkStart w:id="985" w:name="_MON_1486997775"/>
      <w:bookmarkStart w:id="986" w:name="_MON_1454851141"/>
      <w:bookmarkStart w:id="987" w:name="_MON_1454744500"/>
      <w:bookmarkStart w:id="988" w:name="_MON_1454753453"/>
      <w:bookmarkStart w:id="989" w:name="_MON_1454753417"/>
      <w:bookmarkStart w:id="990" w:name="_MON_1454753393"/>
      <w:bookmarkStart w:id="991" w:name="_MON_1454752725"/>
      <w:bookmarkStart w:id="992" w:name="_MON_1486458688"/>
      <w:bookmarkStart w:id="993" w:name="_MON_1486458340"/>
      <w:bookmarkStart w:id="994" w:name="_MON_1454752720"/>
      <w:bookmarkStart w:id="995" w:name="_MON_1454752706"/>
      <w:bookmarkStart w:id="996" w:name="_MON_1454752698"/>
      <w:bookmarkStart w:id="997" w:name="_MON_1454752690"/>
      <w:bookmarkStart w:id="998" w:name="_MON_1454752606"/>
      <w:bookmarkStart w:id="999" w:name="_MON_1485771829"/>
      <w:bookmarkStart w:id="1000" w:name="_MON_1485770538"/>
      <w:bookmarkStart w:id="1001" w:name="_MON_1485770262"/>
      <w:bookmarkStart w:id="1002" w:name="_MON_1517043795"/>
      <w:bookmarkStart w:id="1003" w:name="_MON_1454752568"/>
      <w:bookmarkStart w:id="1004" w:name="_MON_1454752560"/>
      <w:bookmarkStart w:id="1005" w:name="_MON_1454752556"/>
      <w:bookmarkStart w:id="1006" w:name="_MON_1454752536"/>
      <w:bookmarkStart w:id="1007" w:name="_MON_1454752515"/>
      <w:bookmarkStart w:id="1008" w:name="_MON_1454752018"/>
      <w:bookmarkStart w:id="1009" w:name="_MON_1456136992"/>
      <w:bookmarkStart w:id="1010" w:name="_MON_1454750715"/>
      <w:bookmarkStart w:id="1011" w:name="_MON_1454746537"/>
      <w:bookmarkStart w:id="1012" w:name="_MON_1454746161"/>
      <w:bookmarkStart w:id="1013" w:name="_MON_1454746148"/>
      <w:bookmarkStart w:id="1014" w:name="_MON_1454744577"/>
      <w:bookmarkStart w:id="1015" w:name="_MON_1487683290"/>
      <w:bookmarkStart w:id="1016" w:name="_MON_1518244625"/>
      <w:bookmarkStart w:id="1017" w:name="_MON_1518160294"/>
      <w:bookmarkStart w:id="1018" w:name="_MON_1518333323"/>
      <w:bookmarkStart w:id="1019" w:name="_MON_1487682531"/>
      <w:bookmarkStart w:id="1020" w:name="_MON_1487682406"/>
      <w:bookmarkStart w:id="1021" w:name="_MON_1487680935"/>
      <w:bookmarkStart w:id="1022" w:name="_MON_1487680810"/>
      <w:bookmarkStart w:id="1023" w:name="_MON_1487680740"/>
      <w:bookmarkStart w:id="1024" w:name="_MON_1487680653"/>
      <w:bookmarkStart w:id="1025" w:name="_MON_1487680559"/>
      <w:bookmarkStart w:id="1026" w:name="_MON_1454852062"/>
      <w:bookmarkStart w:id="1027" w:name="_MON_1454852036"/>
      <w:bookmarkStart w:id="1028" w:name="_MON_1454851438"/>
      <w:bookmarkStart w:id="1029" w:name="_MON_1454851410"/>
      <w:bookmarkStart w:id="1030" w:name="_MON_1454851357"/>
      <w:bookmarkStart w:id="1031" w:name="_MON_1486998135"/>
      <w:bookmarkStart w:id="1032" w:name="_MON_1486997775"/>
      <w:bookmarkStart w:id="1033" w:name="_MON_1454851141"/>
      <w:bookmarkStart w:id="1034" w:name="_MON_1454744500"/>
      <w:bookmarkStart w:id="1035" w:name="_MON_1454753453"/>
      <w:bookmarkStart w:id="1036" w:name="_MON_1454753417"/>
      <w:bookmarkStart w:id="1037" w:name="_MON_1454753393"/>
      <w:bookmarkStart w:id="1038" w:name="_MON_1454752725"/>
      <w:bookmarkStart w:id="1039" w:name="_MON_1486458688"/>
      <w:bookmarkStart w:id="1040" w:name="_MON_1486458340"/>
      <w:bookmarkStart w:id="1041" w:name="_MON_1454752720"/>
      <w:bookmarkStart w:id="1042" w:name="_MON_1454752706"/>
      <w:bookmarkStart w:id="1043" w:name="_MON_1454752698"/>
      <w:bookmarkStart w:id="1044" w:name="_MON_1454752690"/>
      <w:bookmarkStart w:id="1045" w:name="_MON_1454752606"/>
      <w:bookmarkStart w:id="1046" w:name="_MON_1485771829"/>
      <w:bookmarkStart w:id="1047" w:name="_MON_1485770538"/>
      <w:bookmarkStart w:id="1048" w:name="_MON_1485770262"/>
      <w:bookmarkStart w:id="1049" w:name="_MON_1517043795"/>
      <w:bookmarkStart w:id="1050" w:name="_MON_1454752568"/>
      <w:bookmarkStart w:id="1051" w:name="_MON_1454752560"/>
      <w:bookmarkStart w:id="1052" w:name="_MON_1454752556"/>
      <w:bookmarkStart w:id="1053" w:name="_MON_1454752536"/>
      <w:bookmarkStart w:id="1054" w:name="_MON_1454752515"/>
      <w:bookmarkStart w:id="1055" w:name="_MON_1454752018"/>
      <w:bookmarkStart w:id="1056" w:name="_MON_1456136992"/>
      <w:bookmarkStart w:id="1057" w:name="_MON_1454750715"/>
      <w:bookmarkStart w:id="1058" w:name="_MON_1454746537"/>
      <w:bookmarkStart w:id="1059" w:name="_MON_1454746161"/>
      <w:bookmarkStart w:id="1060" w:name="_MON_1454746148"/>
      <w:bookmarkStart w:id="1061" w:name="_MON_1454744577"/>
      <w:bookmarkStart w:id="1062" w:name="_MON_1487683290"/>
      <w:bookmarkStart w:id="1063" w:name="_MON_1518244625"/>
      <w:bookmarkStart w:id="1064" w:name="_MON_1518160294"/>
      <w:bookmarkStart w:id="1065" w:name="_MON_1518333323"/>
      <w:bookmarkEnd w:id="726"/>
      <w:bookmarkEnd w:id="727"/>
      <w:bookmarkEnd w:id="728"/>
      <w:bookmarkEnd w:id="729"/>
      <w:bookmarkEnd w:id="1019"/>
      <w:bookmarkEnd w:id="1020"/>
      <w:bookmarkEnd w:id="1021"/>
      <w:bookmarkEnd w:id="1022"/>
      <w:bookmarkEnd w:id="1023"/>
      <w:bookmarkEnd w:id="1024"/>
      <w:bookmarkEnd w:id="1025"/>
      <w:bookmarkEnd w:id="1026"/>
      <w:bookmarkEnd w:id="1027"/>
      <w:bookmarkEnd w:id="1028"/>
      <w:bookmarkEnd w:id="1029"/>
      <w:bookmarkEnd w:id="1030"/>
      <w:bookmarkEnd w:id="1031"/>
      <w:bookmarkEnd w:id="1032"/>
      <w:bookmarkEnd w:id="1033"/>
      <w:bookmarkEnd w:id="1034"/>
      <w:bookmarkEnd w:id="1035"/>
      <w:bookmarkEnd w:id="1036"/>
      <w:bookmarkEnd w:id="1037"/>
      <w:bookmarkEnd w:id="1038"/>
      <w:bookmarkEnd w:id="1039"/>
      <w:bookmarkEnd w:id="1040"/>
      <w:bookmarkEnd w:id="1041"/>
      <w:bookmarkEnd w:id="1042"/>
      <w:bookmarkEnd w:id="1043"/>
      <w:bookmarkEnd w:id="1044"/>
      <w:bookmarkEnd w:id="1045"/>
      <w:bookmarkEnd w:id="1046"/>
      <w:bookmarkEnd w:id="1047"/>
      <w:bookmarkEnd w:id="1048"/>
      <w:bookmarkEnd w:id="1049"/>
      <w:bookmarkEnd w:id="1050"/>
      <w:bookmarkEnd w:id="1051"/>
      <w:bookmarkEnd w:id="1052"/>
      <w:bookmarkEnd w:id="1053"/>
      <w:bookmarkEnd w:id="1054"/>
      <w:bookmarkEnd w:id="1055"/>
      <w:bookmarkEnd w:id="1056"/>
      <w:bookmarkEnd w:id="1057"/>
      <w:bookmarkEnd w:id="1058"/>
      <w:bookmarkEnd w:id="1059"/>
      <w:bookmarkEnd w:id="1060"/>
      <w:bookmarkEnd w:id="1061"/>
      <w:bookmarkEnd w:id="1062"/>
      <w:bookmarkEnd w:id="774"/>
      <w:bookmarkEnd w:id="775"/>
      <w:bookmarkEnd w:id="776"/>
      <w:bookmarkEnd w:id="777"/>
      <w:bookmarkEnd w:id="778"/>
      <w:bookmarkEnd w:id="779"/>
      <w:bookmarkEnd w:id="780"/>
      <w:bookmarkEnd w:id="781"/>
      <w:bookmarkEnd w:id="782"/>
      <w:bookmarkEnd w:id="783"/>
      <w:bookmarkEnd w:id="784"/>
      <w:bookmarkEnd w:id="785"/>
      <w:bookmarkEnd w:id="786"/>
      <w:bookmarkEnd w:id="787"/>
      <w:bookmarkEnd w:id="788"/>
      <w:bookmarkEnd w:id="789"/>
      <w:bookmarkEnd w:id="790"/>
      <w:bookmarkEnd w:id="791"/>
      <w:bookmarkEnd w:id="792"/>
      <w:bookmarkEnd w:id="793"/>
      <w:bookmarkEnd w:id="794"/>
      <w:bookmarkEnd w:id="795"/>
      <w:bookmarkEnd w:id="796"/>
      <w:bookmarkEnd w:id="797"/>
      <w:bookmarkEnd w:id="798"/>
      <w:bookmarkEnd w:id="799"/>
      <w:bookmarkEnd w:id="800"/>
      <w:bookmarkEnd w:id="801"/>
      <w:bookmarkEnd w:id="802"/>
      <w:bookmarkEnd w:id="803"/>
      <w:bookmarkEnd w:id="804"/>
      <w:bookmarkEnd w:id="805"/>
      <w:bookmarkEnd w:id="806"/>
      <w:bookmarkEnd w:id="807"/>
      <w:bookmarkEnd w:id="808"/>
      <w:bookmarkEnd w:id="809"/>
      <w:bookmarkEnd w:id="810"/>
      <w:bookmarkEnd w:id="811"/>
      <w:bookmarkEnd w:id="812"/>
      <w:bookmarkEnd w:id="813"/>
      <w:bookmarkEnd w:id="814"/>
      <w:bookmarkEnd w:id="815"/>
      <w:bookmarkEnd w:id="816"/>
      <w:bookmarkEnd w:id="817"/>
      <w:bookmarkEnd w:id="818"/>
      <w:bookmarkEnd w:id="819"/>
      <w:bookmarkEnd w:id="820"/>
      <w:bookmarkEnd w:id="821"/>
      <w:bookmarkEnd w:id="822"/>
      <w:bookmarkEnd w:id="823"/>
      <w:bookmarkEnd w:id="824"/>
      <w:bookmarkEnd w:id="825"/>
      <w:bookmarkEnd w:id="826"/>
      <w:bookmarkEnd w:id="827"/>
      <w:bookmarkEnd w:id="828"/>
      <w:bookmarkEnd w:id="829"/>
      <w:bookmarkEnd w:id="830"/>
      <w:bookmarkEnd w:id="831"/>
      <w:bookmarkEnd w:id="832"/>
      <w:bookmarkEnd w:id="833"/>
      <w:bookmarkEnd w:id="834"/>
      <w:bookmarkEnd w:id="835"/>
      <w:bookmarkEnd w:id="836"/>
      <w:bookmarkEnd w:id="837"/>
      <w:bookmarkEnd w:id="838"/>
      <w:bookmarkEnd w:id="839"/>
      <w:bookmarkEnd w:id="840"/>
      <w:bookmarkEnd w:id="841"/>
      <w:bookmarkEnd w:id="842"/>
      <w:bookmarkEnd w:id="843"/>
      <w:bookmarkEnd w:id="844"/>
      <w:bookmarkEnd w:id="845"/>
      <w:bookmarkEnd w:id="846"/>
      <w:bookmarkEnd w:id="847"/>
      <w:bookmarkEnd w:id="848"/>
      <w:bookmarkEnd w:id="849"/>
      <w:bookmarkEnd w:id="850"/>
      <w:bookmarkEnd w:id="851"/>
      <w:bookmarkEnd w:id="852"/>
      <w:bookmarkEnd w:id="853"/>
      <w:bookmarkEnd w:id="854"/>
      <w:bookmarkEnd w:id="855"/>
      <w:bookmarkEnd w:id="856"/>
      <w:bookmarkEnd w:id="857"/>
      <w:bookmarkEnd w:id="858"/>
      <w:bookmarkEnd w:id="859"/>
      <w:bookmarkEnd w:id="860"/>
      <w:bookmarkEnd w:id="861"/>
      <w:bookmarkEnd w:id="862"/>
      <w:bookmarkEnd w:id="863"/>
      <w:bookmarkEnd w:id="864"/>
      <w:bookmarkEnd w:id="865"/>
      <w:bookmarkEnd w:id="866"/>
      <w:bookmarkEnd w:id="867"/>
      <w:bookmarkEnd w:id="868"/>
      <w:bookmarkEnd w:id="869"/>
      <w:bookmarkEnd w:id="1063"/>
      <w:bookmarkEnd w:id="1064"/>
      <w:bookmarkEnd w:id="1065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8868" w:dyaOrig="4823">
          <v:shapetype id="_x0000_tole_rId76" coordsize="21600,21600" o:spt="76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76" type="_x0000_tole_rId76" style="position:absolute;margin-left:41.95pt;margin-top:14.85pt;width:419pt;height:212.6pt;mso-position-horizontal-relative:text;mso-position-vertical-relative:text" filled="f" o:ole="">
            <v:imagedata r:id="rId77" o:title=""/>
            <w10:wrap type="square" side="largest"/>
          </v:shape>
          <o:OLEObject Type="Embed" ProgID="Excel.Sheet.12" ShapeID="ole_rId76" DrawAspect="Content" ObjectID="_2059669019" r:id="rId76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8931" w:dyaOrig="4130">
          <v:shapetype id="_x0000_tole_rId78" coordsize="21600,21600" o:spt="78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78" type="_x0000_tole_rId78" style="position:absolute;margin-left:18.55pt;margin-top:11.1pt;width:443.85pt;height:199.45pt;mso-position-horizontal-relative:text;mso-position-vertical-relative:text" filled="f" o:ole="">
            <v:imagedata r:id="rId79" o:title=""/>
            <w10:wrap type="square" side="largest"/>
          </v:shape>
          <o:OLEObject Type="Embed" ProgID="Excel.Sheet.12" ShapeID="ole_rId78" DrawAspect="Content" ObjectID="_2132698660" r:id="rId78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widowControl/>
        <w:numPr>
          <w:ilvl w:val="0"/>
          <w:numId w:val="40"/>
        </w:numPr>
        <w:bidi w:val="0"/>
        <w:spacing w:lineRule="auto" w:line="276" w:before="0" w:after="140"/>
        <w:ind w:hanging="170" w:start="737" w:end="0"/>
        <w:jc w:val="start"/>
        <w:rPr/>
      </w:pPr>
      <w:r>
        <w:rPr>
          <w:rFonts w:ascii="Times New Roman" w:hAnsi="Times New Roman"/>
          <w:b/>
          <w:sz w:val="20"/>
        </w:rPr>
        <w:t xml:space="preserve"> </w:t>
      </w:r>
      <w:r>
        <w:rPr>
          <w:rFonts w:ascii="Times New Roman" w:hAnsi="Times New Roman"/>
          <w:b/>
          <w:sz w:val="20"/>
        </w:rPr>
        <w:t>I</w:t>
      </w:r>
      <w:r>
        <w:rPr>
          <w:rFonts w:ascii="Times New Roman" w:hAnsi="Times New Roman"/>
          <w:b/>
          <w:sz w:val="24"/>
        </w:rPr>
        <w:t>nformácie o príjmoch a výhodách členov štatutárnych orgánov, dozorných orgánov a iných orgánov účtovnej jednotky</w:t>
      </w:r>
    </w:p>
    <w:p>
      <w:pPr>
        <w:pStyle w:val="BodyText"/>
        <w:widowControl/>
        <w:bidi w:val="0"/>
        <w:spacing w:lineRule="auto" w:line="276" w:before="0" w:after="140"/>
        <w:ind w:firstLine="283" w:start="397" w:end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 </w:t>
      </w:r>
      <w:r>
        <w:rPr>
          <w:rFonts w:ascii="Times New Roman" w:hAnsi="Times New Roman"/>
          <w:sz w:val="20"/>
          <w:szCs w:val="20"/>
        </w:rPr>
        <w:t xml:space="preserve">Odmeny  členov štatutárnych orgánov Spoločnosti z dôvodu výkonu ich funkcie pre  </w:t>
        <w:br/>
        <w:t xml:space="preserve">    Spoločnosť v sledovanom účtovnom období </w:t>
      </w:r>
      <w:r>
        <w:rPr>
          <w:rFonts w:ascii="Times New Roman" w:hAnsi="Times New Roman"/>
          <w:sz w:val="20"/>
          <w:szCs w:val="20"/>
        </w:rPr>
        <w:t>ne</w:t>
      </w:r>
      <w:r>
        <w:rPr>
          <w:rFonts w:ascii="Times New Roman" w:hAnsi="Times New Roman"/>
          <w:sz w:val="20"/>
          <w:szCs w:val="20"/>
        </w:rPr>
        <w:t xml:space="preserve">boli. </w:t>
      </w:r>
    </w:p>
    <w:p>
      <w:pPr>
        <w:pStyle w:val="BodyText"/>
        <w:widowControl/>
        <w:bidi w:val="0"/>
        <w:spacing w:lineRule="auto" w:line="276" w:before="0" w:after="140"/>
        <w:ind w:firstLine="57" w:start="624" w:end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štatutárnemu orgánu neboli v roku 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vyúčtovávajú.</w:t>
      </w:r>
    </w:p>
    <w:p>
      <w:pPr>
        <w:pStyle w:val="BodyText"/>
        <w:numPr>
          <w:ilvl w:val="0"/>
          <w:numId w:val="41"/>
        </w:num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Ostatné informácie</w:t>
      </w:r>
    </w:p>
    <w:p>
      <w:pPr>
        <w:pStyle w:val="BodyTex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nie je subjektom verejného záujmu (§2/14 ZoU).</w:t>
      </w:r>
    </w:p>
    <w:p>
      <w:pPr>
        <w:pStyle w:val="BodyText"/>
        <w:numPr>
          <w:ilvl w:val="0"/>
          <w:numId w:val="41"/>
        </w:num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Informácie o vlastnom imaní</w:t>
      </w:r>
    </w:p>
    <w:p>
      <w:pPr>
        <w:pStyle w:val="BodyText"/>
        <w:ind w:hanging="0" w:start="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</w:t>
      </w:r>
      <w:r>
        <w:rPr>
          <w:rFonts w:ascii="Times New Roman" w:hAnsi="Times New Roman"/>
          <w:sz w:val="20"/>
        </w:rPr>
        <w:t>Prehľad o pohybe vlastného imania v priebehu účtovného obdobia je uvedený v nasledujúcej tabuľke:</w:t>
      </w:r>
      <w:bookmarkStart w:id="1066" w:name="_MON_1486998668"/>
      <w:bookmarkStart w:id="1067" w:name="_MON_1486998600"/>
      <w:bookmarkStart w:id="1068" w:name="_MON_1517053716"/>
      <w:bookmarkStart w:id="1069" w:name="_MON_1485842633"/>
      <w:bookmarkStart w:id="1070" w:name="_MON_1487574584"/>
      <w:bookmarkStart w:id="1071" w:name="_MON_1486462140"/>
      <w:bookmarkStart w:id="1072" w:name="_MON_1487168789"/>
      <w:bookmarkStart w:id="1073" w:name="_MON_1487168754"/>
      <w:bookmarkStart w:id="1074" w:name="_MON_1486461541"/>
      <w:bookmarkStart w:id="1075" w:name="_MON_1405950579"/>
      <w:bookmarkStart w:id="1076" w:name="_MON_1485843401"/>
      <w:bookmarkStart w:id="1077" w:name="_MON_1486998916"/>
      <w:bookmarkStart w:id="1078" w:name="_MON_1518954549"/>
      <w:bookmarkStart w:id="1079" w:name="_MON_1486998843"/>
      <w:bookmarkStart w:id="1080" w:name="_MON_1518325795"/>
      <w:bookmarkEnd w:id="1066"/>
      <w:bookmarkEnd w:id="1067"/>
      <w:bookmarkEnd w:id="1068"/>
      <w:bookmarkEnd w:id="1069"/>
      <w:bookmarkEnd w:id="1070"/>
      <w:bookmarkEnd w:id="1071"/>
      <w:bookmarkEnd w:id="1072"/>
      <w:bookmarkEnd w:id="1073"/>
      <w:bookmarkEnd w:id="1074"/>
      <w:bookmarkEnd w:id="1075"/>
      <w:bookmarkEnd w:id="1076"/>
      <w:bookmarkEnd w:id="1077"/>
      <w:bookmarkEnd w:id="1078"/>
      <w:bookmarkEnd w:id="1079"/>
      <w:bookmarkEnd w:id="1080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10093" w:dyaOrig="9337">
          <v:shapetype id="_x0000_tole_rId80" coordsize="21600,21600" o:spt="80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80" type="_x0000_tole_rId80" style="position:absolute;margin-left:-3.85pt;margin-top:2.5pt;width:501.95pt;height:465.15pt;mso-position-horizontal-relative:text;mso-position-vertical-relative:text" filled="f" o:ole="">
            <v:imagedata r:id="rId81" o:title=""/>
            <w10:wrap type="square" side="largest"/>
          </v:shape>
          <o:OLEObject Type="Embed" ProgID="Excel.Sheet.12" ShapeID="ole_rId80" DrawAspect="Content" ObjectID="_796886684" r:id="rId80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10093" w:dyaOrig="9337">
          <v:shapetype id="_x0000_tole_rId82" coordsize="21600,21600" o:spt="82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82" type="_x0000_tole_rId82" style="position:absolute;margin-left:-3.85pt;margin-top:2.5pt;width:501.95pt;height:465.2pt;mso-position-horizontal-relative:text;mso-position-vertical-relative:text" filled="f" o:ole="">
            <v:imagedata r:id="rId83" o:title=""/>
            <w10:wrap type="square" side="largest"/>
          </v:shape>
          <o:OLEObject Type="Embed" ProgID="Excel.Sheet.12" ShapeID="ole_rId82" DrawAspect="Content" ObjectID="_1083216844" r:id="rId82"/>
        </w:object>
      </w:r>
    </w:p>
    <w:p>
      <w:pPr>
        <w:pStyle w:val="BodyText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Spoločnosť netvorila kapitálový fond z príspevkov podľa §123 ods.2 a § 217a Obchodného zákonníka v znení neskorších predpisov.</w:t>
      </w:r>
    </w:p>
    <w:p>
      <w:pPr>
        <w:pStyle w:val="BodyText"/>
        <w:ind w:hanging="0" w:start="0" w:end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O rozdelení výsledku hospodárenia za účtovné obdobie 202</w:t>
      </w:r>
      <w:r>
        <w:rPr>
          <w:rFonts w:ascii="Times New Roman" w:hAnsi="Times New Roman"/>
          <w:sz w:val="20"/>
        </w:rPr>
        <w:t>5</w:t>
      </w:r>
      <w:r>
        <w:rPr>
          <w:rFonts w:ascii="Times New Roman" w:hAnsi="Times New Roman"/>
          <w:sz w:val="20"/>
        </w:rPr>
        <w:t xml:space="preserve"> vo výške </w:t>
      </w:r>
      <w:r>
        <w:rPr>
          <w:rFonts w:ascii="Times New Roman" w:hAnsi="Times New Roman"/>
          <w:sz w:val="20"/>
        </w:rPr>
        <w:t>(</w:t>
      </w:r>
      <w:r>
        <w:rPr>
          <w:rFonts w:ascii="Times New Roman" w:hAnsi="Times New Roman"/>
          <w:sz w:val="20"/>
        </w:rPr>
        <w:t>–</w:t>
      </w:r>
      <w:r>
        <w:rPr>
          <w:rFonts w:ascii="Times New Roman" w:hAnsi="Times New Roman"/>
          <w:sz w:val="20"/>
        </w:rPr>
        <w:t>)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z w:val="20"/>
        </w:rPr>
        <w:t xml:space="preserve">207 519 </w:t>
      </w:r>
      <w:r>
        <w:rPr>
          <w:rFonts w:ascii="Times New Roman" w:hAnsi="Times New Roman"/>
          <w:sz w:val="20"/>
        </w:rPr>
        <w:t xml:space="preserve">€ rozhodne jediný spoločník CHEMOSVIT, a. s.. 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numPr>
          <w:ilvl w:val="0"/>
          <w:numId w:val="33"/>
        </w:numPr>
        <w:tabs>
          <w:tab w:val="clear" w:pos="708"/>
          <w:tab w:val="left" w:pos="0" w:leader="none"/>
        </w:tabs>
        <w:bidi w:val="0"/>
        <w:ind w:firstLine="624" w:start="737" w:end="0"/>
        <w:jc w:val="star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Prehľad peňažných tokov k 31. decembru 202</w:t>
      </w:r>
      <w:r>
        <w:rPr>
          <w:rFonts w:ascii="Times New Roman" w:hAnsi="Times New Roman"/>
          <w:b/>
          <w:sz w:val="24"/>
          <w:szCs w:val="24"/>
        </w:rPr>
        <w:t>5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  <w:szCs w:val="24"/>
        </w:rPr>
      </w:pPr>
      <w:r>
        <w:rPr>
          <w:rFonts w:ascii="Times New Roman" w:hAnsi="Times New Roman"/>
          <w:sz w:val="20"/>
          <w:szCs w:val="24"/>
        </w:rPr>
      </w:r>
    </w:p>
    <w:p>
      <w:pPr>
        <w:pStyle w:val="BodyText"/>
        <w:bidi w:val="0"/>
        <w:ind w:hanging="0" w:start="426" w:end="0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>Peňažné prostriedky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Peňažnými prostriedkami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>
      <w:pPr>
        <w:pStyle w:val="BodyText"/>
        <w:bidi w:val="0"/>
        <w:ind w:hanging="0" w:start="426" w:end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Za peňažné prostriedky spoločnosť považovala stavy na účtoch 211 – Pokladnica, 213 – Ceniny, 261 – Peniaze na ceste a kladné zostatky jednotlivých bankových  účtov 221 – Bankové účty. </w:t>
      </w:r>
    </w:p>
    <w:p>
      <w:pPr>
        <w:pStyle w:val="BodyText"/>
        <w:bidi w:val="0"/>
        <w:ind w:hanging="0" w:start="426" w:end="0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ekvivalenty a peňažné ekvivalenty</w:t>
      </w:r>
      <w:bookmarkStart w:id="1081" w:name="_MON_1517054842"/>
      <w:bookmarkStart w:id="1082" w:name="_MON_1486460051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185" w:dyaOrig="1904">
          <v:shapetype id="_x0000_tole_rId84" coordsize="21600,21600" o:spt="84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84" type="_x0000_tole_rId84" style="position:absolute;margin-left:22.3pt;margin-top:2.5pt;width:456.75pt;height:91.35pt;mso-position-horizontal-relative:text;mso-position-vertical-relative:text" filled="f" o:ole="">
            <v:imagedata r:id="rId85" o:title=""/>
            <w10:wrap type="square" side="largest"/>
          </v:shape>
          <o:OLEObject Type="Embed" ProgID="Excel.Sheet.12" ShapeID="ole_rId84" DrawAspect="Content" ObjectID="_1534178531" r:id="rId84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BodyText"/>
        <w:bidi w:val="0"/>
        <w:ind w:hanging="0" w:start="0" w:end="0"/>
        <w:jc w:val="start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 xml:space="preserve">         </w:t>
      </w:r>
      <w:r>
        <w:rPr>
          <w:rFonts w:ascii="Times New Roman" w:hAnsi="Times New Roman"/>
          <w:b/>
          <w:sz w:val="20"/>
        </w:rPr>
        <w:t>Peňažné ekvivalenty</w:t>
      </w:r>
    </w:p>
    <w:p>
      <w:pPr>
        <w:pStyle w:val="BodyText"/>
        <w:rPr>
          <w:sz w:val="20"/>
        </w:rPr>
      </w:pPr>
      <w:r>
        <w:rPr>
          <w:sz w:val="20"/>
        </w:rPr>
        <w:t>Peňažné ekvivalenty spoločnosť k 1.1.</w:t>
      </w:r>
      <w:r>
        <w:rPr>
          <w:sz w:val="20"/>
        </w:rPr>
        <w:t>202</w:t>
      </w:r>
      <w:r>
        <w:rPr>
          <w:sz w:val="20"/>
        </w:rPr>
        <w:t>5</w:t>
      </w:r>
      <w:r>
        <w:rPr>
          <w:sz w:val="20"/>
        </w:rPr>
        <w:t xml:space="preserve"> ani k 31.12.20</w:t>
      </w:r>
      <w:r>
        <w:rPr>
          <w:sz w:val="20"/>
        </w:rPr>
        <w:t>2</w:t>
      </w:r>
      <w:r>
        <w:rPr>
          <w:sz w:val="20"/>
        </w:rPr>
        <w:t>5</w:t>
      </w:r>
      <w:r>
        <w:rPr>
          <w:sz w:val="20"/>
        </w:rPr>
        <w:t xml:space="preserve"> nevlastnila.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;serif" w:hAnsi="Times New Roman;serif"/>
          <w:b/>
          <w:sz w:val="20"/>
        </w:rPr>
      </w:pPr>
      <w:r>
        <w:rPr>
          <w:rFonts w:ascii="Times New Roman;serif" w:hAnsi="Times New Roman;serif"/>
          <w:b/>
          <w:sz w:val="20"/>
        </w:rPr>
        <w:t xml:space="preserve">         </w:t>
      </w:r>
      <w:r>
        <w:rPr>
          <w:rFonts w:ascii="Times New Roman;serif" w:hAnsi="Times New Roman;serif"/>
          <w:b/>
          <w:sz w:val="20"/>
        </w:rPr>
        <w:t xml:space="preserve">Skladba peňažných prostriedkov: 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10030" w:dyaOrig="4764">
          <v:shapetype id="_x0000_tole_rId86" coordsize="21600,21600" o:spt="86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86" type="_x0000_tole_rId86" style="position:absolute;margin-left:29.05pt;margin-top:0.25pt;width:498.2pt;height:232.3pt;mso-position-horizontal-relative:text;mso-position-vertical-relative:text" filled="f" o:ole="">
            <v:imagedata r:id="rId87" o:title=""/>
            <w10:wrap type="square" side="largest"/>
          </v:shape>
          <o:OLEObject Type="Embed" ProgID="Excel.Sheet.12" ShapeID="ole_rId86" DrawAspect="Content" ObjectID="_889280812" r:id="rId86"/>
        </w:objec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  <w:bookmarkEnd w:id="1081"/>
      <w:bookmarkEnd w:id="1082"/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</w:r>
    </w:p>
    <w:p>
      <w:pPr>
        <w:pStyle w:val="Heading1"/>
        <w:bidi w:val="0"/>
        <w:ind w:hanging="0" w:start="0" w:end="0"/>
        <w:jc w:val="star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</w:t>
      </w:r>
      <w:r>
        <w:rPr>
          <w:rFonts w:ascii="Times New Roman" w:hAnsi="Times New Roman"/>
          <w:sz w:val="24"/>
        </w:rPr>
        <w:t>Prehľad peňažných tokov k 31.12.202</w:t>
      </w:r>
      <w:r>
        <w:rPr>
          <w:rFonts w:ascii="Times New Roman" w:hAnsi="Times New Roman"/>
          <w:sz w:val="24"/>
        </w:rPr>
        <w:t>5</w:t>
      </w:r>
      <w:r>
        <w:rPr>
          <w:rFonts w:ascii="Times New Roman" w:hAnsi="Times New Roman"/>
          <w:sz w:val="24"/>
        </w:rPr>
        <w:t xml:space="preserve"> pri použití nepriamej metódy </w:t>
      </w:r>
    </w:p>
    <w:p>
      <w:pPr>
        <w:pStyle w:val="BodyText"/>
        <w:ind w:firstLine="426" w:start="0" w:end="0"/>
        <w:rPr>
          <w:rFonts w:ascii="Times New Roman" w:hAnsi="Times New Roman"/>
        </w:rPr>
      </w:pPr>
      <w:r>
        <w:rPr>
          <w:rFonts w:ascii="Times New Roman" w:hAnsi="Times New Roman"/>
          <w:sz w:val="20"/>
          <w:szCs w:val="20"/>
        </w:rPr>
        <w:t>Prehľad peňažných tokov od 1. januára 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do 31. decembra 202</w:t>
      </w:r>
      <w:r>
        <w:rPr>
          <w:rFonts w:ascii="Times New Roman" w:hAnsi="Times New Roman"/>
          <w:sz w:val="20"/>
          <w:szCs w:val="20"/>
        </w:rPr>
        <w:t>5</w:t>
      </w:r>
      <w:r>
        <w:rPr>
          <w:rFonts w:ascii="Times New Roman" w:hAnsi="Times New Roman"/>
          <w:sz w:val="20"/>
          <w:szCs w:val="20"/>
        </w:rPr>
        <w:t xml:space="preserve"> je uvedený v tabuľke</w:t>
      </w:r>
      <w:r>
        <w:rPr>
          <w:rFonts w:ascii="Times New Roman" w:hAnsi="Times New Roman"/>
        </w:rPr>
        <w:t>:</w:t>
      </w:r>
    </w:p>
    <w:p>
      <w:pPr>
        <w:pStyle w:val="Normal"/>
        <w:bidi w:val="0"/>
        <w:ind w:hanging="0" w:start="0" w:end="0"/>
        <w:jc w:val="star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object w:dxaOrig="9376" w:dyaOrig="13721">
          <v:shapetype id="_x0000_tole_rId88" coordsize="21600,21600" o:spt="88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le_rId88" type="_x0000_tole_rId88" style="position:absolute;margin-left:-0.45pt;margin-top:1.3pt;width:457.75pt;height:686.75pt;mso-position-horizontal-relative:text;mso-position-vertical-relative:text" filled="f" o:ole="">
            <v:imagedata r:id="rId89" o:title=""/>
            <w10:wrap type="square" side="largest"/>
          </v:shape>
          <o:OLEObject Type="Embed" ProgID="Excel.Sheet.12" ShapeID="ole_rId88" DrawAspect="Content" ObjectID="_371794427" r:id="rId88"/>
        </w:object>
      </w:r>
    </w:p>
    <w:sectPr>
      <w:headerReference w:type="default" r:id="rId90"/>
      <w:footerReference w:type="default" r:id="rId91"/>
      <w:type w:val="nextPage"/>
      <w:pgSz w:w="11906" w:h="16838"/>
      <w:pgMar w:left="1134" w:right="1134" w:gutter="0" w:header="400" w:top="1193" w:footer="281" w:bottom="791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mbria"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Times New Roman">
    <w:altName w:val="serif"/>
    <w:charset w:val="ee" w:characterSet="windows-1250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0"/>
      <w:ind w:hanging="0" w:start="0" w:end="0"/>
      <w:jc w:val="end"/>
      <w:rPr>
        <w:sz w:val="20"/>
        <w:szCs w:val="20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11</w:t>
    </w:r>
    <w:r>
      <w:rPr>
        <w:sz w:val="20"/>
        <w:szCs w:val="20"/>
      </w:rPr>
      <w:fldChar w:fldCharType="end"/>
    </w:r>
    <w:r>
      <w:rPr>
        <w:sz w:val="20"/>
        <w:szCs w:val="20"/>
      </w:rPr>
      <w:t>/</w:t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NUMPAGES 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29</w:t>
    </w:r>
    <w:r>
      <w:rPr>
        <w:sz w:val="20"/>
        <w:szCs w:val="20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5000" w:type="pct"/>
      <w:jc w:val="start"/>
      <w:tblInd w:w="0" w:type="dxa"/>
      <w:tblLayout w:type="fixed"/>
      <w:tblCellMar>
        <w:top w:w="55" w:type="dxa"/>
        <w:start w:w="55" w:type="dxa"/>
        <w:bottom w:w="55" w:type="dxa"/>
        <w:end w:w="55" w:type="dxa"/>
      </w:tblCellMar>
    </w:tblPr>
    <w:tblGrid>
      <w:gridCol w:w="3462"/>
      <w:gridCol w:w="2775"/>
      <w:gridCol w:w="337"/>
      <w:gridCol w:w="338"/>
      <w:gridCol w:w="340"/>
      <w:gridCol w:w="350"/>
      <w:gridCol w:w="335"/>
      <w:gridCol w:w="337"/>
      <w:gridCol w:w="338"/>
      <w:gridCol w:w="350"/>
      <w:gridCol w:w="337"/>
      <w:gridCol w:w="339"/>
    </w:tblGrid>
    <w:tr>
      <w:trPr>
        <w:trHeight w:val="325" w:hRule="atLeast"/>
      </w:trPr>
      <w:tc>
        <w:tcPr>
          <w:tcW w:w="3462" w:type="dxa"/>
          <w:tcBorders/>
        </w:tcPr>
        <w:p>
          <w:pPr>
            <w:pStyle w:val="Obsahtabuky"/>
            <w:keepNext w:val="true"/>
            <w:spacing w:before="0" w:after="0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 xml:space="preserve">Poznámky Úč POD 3 – 01 </w:t>
          </w:r>
        </w:p>
      </w:tc>
      <w:tc>
        <w:tcPr>
          <w:tcW w:w="3450" w:type="dxa"/>
          <w:gridSpan w:val="3"/>
          <w:tcBorders/>
        </w:tcPr>
        <w:p>
          <w:pPr>
            <w:pStyle w:val="Obsahtabuky"/>
            <w:spacing w:before="0" w:after="0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IČO</w:t>
          </w:r>
        </w:p>
      </w:tc>
      <w:tc>
        <w:tcPr>
          <w:tcW w:w="340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227"/>
            <w:jc w:val="both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5</w:t>
          </w:r>
        </w:p>
      </w:tc>
      <w:tc>
        <w:tcPr>
          <w:tcW w:w="350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340"/>
            <w:jc w:val="both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1</w:t>
          </w:r>
        </w:p>
      </w:tc>
      <w:tc>
        <w:tcPr>
          <w:tcW w:w="335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397"/>
            <w:jc w:val="both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6</w:t>
          </w:r>
        </w:p>
      </w:tc>
      <w:tc>
        <w:tcPr>
          <w:tcW w:w="337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57" w:end="340"/>
            <w:jc w:val="both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8</w:t>
          </w:r>
        </w:p>
      </w:tc>
      <w:tc>
        <w:tcPr>
          <w:tcW w:w="338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227"/>
            <w:jc w:val="both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3</w:t>
          </w:r>
        </w:p>
      </w:tc>
      <w:tc>
        <w:tcPr>
          <w:tcW w:w="350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624"/>
            <w:jc w:val="both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8</w:t>
          </w:r>
        </w:p>
      </w:tc>
      <w:tc>
        <w:tcPr>
          <w:tcW w:w="337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397"/>
            <w:jc w:val="both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1</w:t>
          </w:r>
        </w:p>
      </w:tc>
      <w:tc>
        <w:tcPr>
          <w:tcW w:w="339" w:type="dxa"/>
          <w:tcBorders>
            <w:top w:val="single" w:sz="2" w:space="0" w:color="000000"/>
            <w:start w:val="single" w:sz="2" w:space="0" w:color="000000"/>
            <w:bottom w:val="single" w:sz="2" w:space="0" w:color="000000"/>
            <w:end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510"/>
            <w:jc w:val="both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4</w:t>
          </w:r>
        </w:p>
      </w:tc>
    </w:tr>
    <w:tr>
      <w:trPr>
        <w:trHeight w:val="57" w:hRule="exact"/>
      </w:trPr>
      <w:tc>
        <w:tcPr>
          <w:tcW w:w="9638" w:type="dxa"/>
          <w:gridSpan w:val="12"/>
          <w:tcBorders/>
        </w:tcPr>
        <w:p>
          <w:pPr>
            <w:pStyle w:val="Obsahtabuky"/>
            <w:keepNext w:val="true"/>
            <w:spacing w:before="0" w:after="0"/>
            <w:ind w:hanging="0" w:start="0" w:end="0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</w:r>
        </w:p>
      </w:tc>
    </w:tr>
    <w:tr>
      <w:trPr>
        <w:trHeight w:val="267" w:hRule="atLeast"/>
      </w:trPr>
      <w:tc>
        <w:tcPr>
          <w:tcW w:w="3462" w:type="dxa"/>
          <w:tcBorders/>
        </w:tcPr>
        <w:p>
          <w:pPr>
            <w:pStyle w:val="Obsahtabuky"/>
            <w:spacing w:before="0" w:after="0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</w:r>
        </w:p>
      </w:tc>
      <w:tc>
        <w:tcPr>
          <w:tcW w:w="2775" w:type="dxa"/>
          <w:tcBorders/>
        </w:tcPr>
        <w:p>
          <w:pPr>
            <w:pStyle w:val="Obsahtabuky"/>
            <w:spacing w:before="0" w:after="0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DIČ</w:t>
          </w:r>
        </w:p>
      </w:tc>
      <w:tc>
        <w:tcPr>
          <w:tcW w:w="337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57" w:end="170"/>
            <w:jc w:val="start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2</w:t>
          </w:r>
        </w:p>
      </w:tc>
      <w:tc>
        <w:tcPr>
          <w:tcW w:w="338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57" w:end="283"/>
            <w:jc w:val="start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1</w:t>
          </w:r>
        </w:p>
      </w:tc>
      <w:tc>
        <w:tcPr>
          <w:tcW w:w="340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0"/>
            <w:jc w:val="start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2</w:t>
          </w:r>
        </w:p>
      </w:tc>
      <w:tc>
        <w:tcPr>
          <w:tcW w:w="350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0"/>
            <w:jc w:val="start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0</w:t>
          </w:r>
        </w:p>
      </w:tc>
      <w:tc>
        <w:tcPr>
          <w:tcW w:w="335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0"/>
            <w:jc w:val="start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7</w:t>
          </w:r>
        </w:p>
      </w:tc>
      <w:tc>
        <w:tcPr>
          <w:tcW w:w="337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0"/>
            <w:jc w:val="start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5</w:t>
          </w:r>
        </w:p>
      </w:tc>
      <w:tc>
        <w:tcPr>
          <w:tcW w:w="338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0"/>
            <w:jc w:val="start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1</w:t>
          </w:r>
        </w:p>
      </w:tc>
      <w:tc>
        <w:tcPr>
          <w:tcW w:w="350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0"/>
            <w:jc w:val="start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5</w:t>
          </w:r>
        </w:p>
      </w:tc>
      <w:tc>
        <w:tcPr>
          <w:tcW w:w="337" w:type="dxa"/>
          <w:tcBorders>
            <w:top w:val="single" w:sz="2" w:space="0" w:color="000000"/>
            <w:start w:val="single" w:sz="2" w:space="0" w:color="000000"/>
            <w:bottom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0"/>
            <w:jc w:val="start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4</w:t>
          </w:r>
        </w:p>
      </w:tc>
      <w:tc>
        <w:tcPr>
          <w:tcW w:w="339" w:type="dxa"/>
          <w:tcBorders>
            <w:top w:val="single" w:sz="2" w:space="0" w:color="000000"/>
            <w:start w:val="single" w:sz="2" w:space="0" w:color="000000"/>
            <w:bottom w:val="single" w:sz="2" w:space="0" w:color="000000"/>
            <w:end w:val="single" w:sz="2" w:space="0" w:color="000000"/>
          </w:tcBorders>
          <w:vAlign w:val="center"/>
        </w:tcPr>
        <w:p>
          <w:pPr>
            <w:pStyle w:val="Obsahtabuky"/>
            <w:widowControl w:val="false"/>
            <w:suppressLineNumbers/>
            <w:bidi w:val="0"/>
            <w:spacing w:lineRule="atLeast" w:line="240" w:before="0" w:after="0"/>
            <w:ind w:hanging="0" w:start="113" w:end="0"/>
            <w:jc w:val="start"/>
            <w:rPr>
              <w:rFonts w:ascii="Times New Roman" w:hAnsi="Times New Roman"/>
              <w:sz w:val="16"/>
              <w:szCs w:val="16"/>
            </w:rPr>
          </w:pPr>
          <w:r>
            <w:rPr>
              <w:rFonts w:ascii="Times New Roman" w:hAnsi="Times New Roman"/>
              <w:sz w:val="16"/>
              <w:szCs w:val="16"/>
            </w:rPr>
            <w:t>5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pStyle w:val="Heading1"/>
      <w:suff w:val="nothing"/>
      <w:lvlText w:val="%1"/>
      <w:lvlJc w:val="end"/>
      <w:pPr>
        <w:tabs>
          <w:tab w:val="num" w:pos="360"/>
        </w:tabs>
        <w:ind w:start="360" w:hanging="0"/>
      </w:pPr>
      <w:rPr>
        <w:rFonts w:cs="Times New Roman"/>
      </w:rPr>
    </w:lvl>
    <w:lvl w:ilvl="1">
      <w:start w:val="1"/>
      <w:numFmt w:val="none"/>
      <w:suff w:val="nothing"/>
      <w:lvlText w:val="%2"/>
      <w:lvlJc w:val="start"/>
      <w:pPr>
        <w:tabs>
          <w:tab w:val="num" w:pos="360"/>
        </w:tabs>
        <w:ind w:start="360" w:hanging="0"/>
      </w:pPr>
    </w:lvl>
    <w:lvl w:ilvl="2">
      <w:start w:val="1"/>
      <w:numFmt w:val="none"/>
      <w:suff w:val="nothing"/>
      <w:lvlText w:val="%3"/>
      <w:lvlJc w:val="start"/>
      <w:pPr>
        <w:tabs>
          <w:tab w:val="num" w:pos="360"/>
        </w:tabs>
        <w:ind w:start="360" w:hanging="0"/>
      </w:pPr>
    </w:lvl>
    <w:lvl w:ilvl="3">
      <w:start w:val="1"/>
      <w:numFmt w:val="none"/>
      <w:suff w:val="nothing"/>
      <w:lvlText w:val="%4"/>
      <w:lvlJc w:val="start"/>
      <w:pPr>
        <w:tabs>
          <w:tab w:val="num" w:pos="360"/>
        </w:tabs>
        <w:ind w:start="360" w:hanging="0"/>
      </w:pPr>
    </w:lvl>
    <w:lvl w:ilvl="4">
      <w:start w:val="1"/>
      <w:numFmt w:val="none"/>
      <w:suff w:val="nothing"/>
      <w:lvlText w:val="%5"/>
      <w:lvlJc w:val="start"/>
      <w:pPr>
        <w:tabs>
          <w:tab w:val="num" w:pos="360"/>
        </w:tabs>
        <w:ind w:start="360" w:hanging="0"/>
      </w:pPr>
    </w:lvl>
    <w:lvl w:ilvl="5">
      <w:start w:val="1"/>
      <w:numFmt w:val="none"/>
      <w:suff w:val="nothing"/>
      <w:lvlText w:val="%6"/>
      <w:lvlJc w:val="start"/>
      <w:pPr>
        <w:tabs>
          <w:tab w:val="num" w:pos="360"/>
        </w:tabs>
        <w:ind w:start="360" w:hanging="0"/>
      </w:pPr>
    </w:lvl>
    <w:lvl w:ilvl="6">
      <w:start w:val="1"/>
      <w:numFmt w:val="none"/>
      <w:suff w:val="nothing"/>
      <w:lvlText w:val="%7"/>
      <w:lvlJc w:val="start"/>
      <w:pPr>
        <w:tabs>
          <w:tab w:val="num" w:pos="360"/>
        </w:tabs>
        <w:ind w:start="360" w:hanging="0"/>
      </w:pPr>
    </w:lvl>
    <w:lvl w:ilvl="7">
      <w:start w:val="1"/>
      <w:numFmt w:val="none"/>
      <w:suff w:val="nothing"/>
      <w:lvlText w:val="%8"/>
      <w:lvlJc w:val="start"/>
      <w:pPr>
        <w:tabs>
          <w:tab w:val="num" w:pos="360"/>
        </w:tabs>
        <w:ind w:start="360" w:hanging="0"/>
      </w:pPr>
    </w:lvl>
    <w:lvl w:ilvl="8">
      <w:start w:val="1"/>
      <w:numFmt w:val="none"/>
      <w:suff w:val="nothing"/>
      <w:lvlText w:val="%9"/>
      <w:lvlJc w:val="start"/>
      <w:pPr>
        <w:tabs>
          <w:tab w:val="num" w:pos="360"/>
        </w:tabs>
        <w:ind w:start="360" w:hanging="0"/>
      </w:pPr>
    </w:lvl>
  </w:abstractNum>
  <w:abstractNum w:abstractNumId="2">
    <w:lvl w:ilvl="0">
      <w:start w:val="5"/>
      <w:numFmt w:val="decimal"/>
      <w:lvlText w:val="%1)"/>
      <w:lvlJc w:val="start"/>
      <w:pPr>
        <w:tabs>
          <w:tab w:val="num" w:pos="397"/>
        </w:tabs>
        <w:ind w:start="754" w:hanging="397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2."/>
      <w:lvlJc w:val="start"/>
      <w:pPr>
        <w:tabs>
          <w:tab w:val="num" w:pos="794"/>
        </w:tabs>
        <w:ind w:start="1151" w:hanging="397"/>
      </w:pPr>
      <w:rPr>
        <w:rFonts w:ascii="Times New Roman" w:hAnsi="Times New Roman"/>
        <w:b/>
        <w:bCs/>
        <w:sz w:val="20"/>
        <w:szCs w:val="20"/>
      </w:rPr>
    </w:lvl>
    <w:lvl w:ilvl="2">
      <w:start w:val="1"/>
      <w:numFmt w:val="decimal"/>
      <w:lvlText w:val="%3."/>
      <w:lvlJc w:val="start"/>
      <w:pPr>
        <w:tabs>
          <w:tab w:val="num" w:pos="1191"/>
        </w:tabs>
        <w:ind w:start="1548" w:hanging="397"/>
      </w:pPr>
      <w:rPr>
        <w:rFonts w:ascii="Times New Roman" w:hAnsi="Times New Roman"/>
        <w:b/>
        <w:bCs/>
        <w:sz w:val="20"/>
        <w:szCs w:val="20"/>
      </w:rPr>
    </w:lvl>
    <w:lvl w:ilvl="3">
      <w:start w:val="1"/>
      <w:numFmt w:val="decimal"/>
      <w:lvlText w:val="%4."/>
      <w:lvlJc w:val="start"/>
      <w:pPr>
        <w:tabs>
          <w:tab w:val="num" w:pos="1588"/>
        </w:tabs>
        <w:ind w:start="1945" w:hanging="397"/>
      </w:pPr>
      <w:rPr>
        <w:rFonts w:ascii="Times New Roman" w:hAnsi="Times New Roman"/>
        <w:b/>
        <w:bCs/>
        <w:sz w:val="20"/>
        <w:szCs w:val="20"/>
      </w:rPr>
    </w:lvl>
    <w:lvl w:ilvl="4">
      <w:start w:val="1"/>
      <w:numFmt w:val="decimal"/>
      <w:lvlText w:val="%5."/>
      <w:lvlJc w:val="start"/>
      <w:pPr>
        <w:tabs>
          <w:tab w:val="num" w:pos="1985"/>
        </w:tabs>
        <w:ind w:start="2342" w:hanging="397"/>
      </w:pPr>
      <w:rPr>
        <w:rFonts w:ascii="Times New Roman" w:hAnsi="Times New Roman"/>
        <w:b/>
        <w:bCs/>
        <w:sz w:val="20"/>
        <w:szCs w:val="20"/>
      </w:rPr>
    </w:lvl>
    <w:lvl w:ilvl="5">
      <w:start w:val="1"/>
      <w:numFmt w:val="decimal"/>
      <w:lvlText w:val="%6."/>
      <w:lvlJc w:val="start"/>
      <w:pPr>
        <w:tabs>
          <w:tab w:val="num" w:pos="2381"/>
        </w:tabs>
        <w:ind w:start="2738" w:hanging="397"/>
      </w:pPr>
      <w:rPr>
        <w:rFonts w:ascii="Times New Roman" w:hAnsi="Times New Roman"/>
        <w:b/>
        <w:bCs/>
        <w:sz w:val="20"/>
        <w:szCs w:val="20"/>
      </w:rPr>
    </w:lvl>
    <w:lvl w:ilvl="6">
      <w:start w:val="1"/>
      <w:numFmt w:val="decimal"/>
      <w:lvlText w:val="%7."/>
      <w:lvlJc w:val="start"/>
      <w:pPr>
        <w:tabs>
          <w:tab w:val="num" w:pos="2778"/>
        </w:tabs>
        <w:ind w:start="3135" w:hanging="397"/>
      </w:pPr>
      <w:rPr>
        <w:rFonts w:ascii="Times New Roman" w:hAnsi="Times New Roman"/>
        <w:b/>
        <w:bCs/>
        <w:sz w:val="20"/>
        <w:szCs w:val="20"/>
      </w:rPr>
    </w:lvl>
    <w:lvl w:ilvl="7">
      <w:start w:val="1"/>
      <w:numFmt w:val="decimal"/>
      <w:lvlText w:val="%8."/>
      <w:lvlJc w:val="start"/>
      <w:pPr>
        <w:tabs>
          <w:tab w:val="num" w:pos="3175"/>
        </w:tabs>
        <w:ind w:start="3532" w:hanging="397"/>
      </w:pPr>
      <w:rPr>
        <w:rFonts w:ascii="Times New Roman" w:hAnsi="Times New Roman"/>
        <w:b/>
        <w:bCs/>
        <w:sz w:val="20"/>
        <w:szCs w:val="20"/>
      </w:rPr>
    </w:lvl>
    <w:lvl w:ilvl="8">
      <w:start w:val="1"/>
      <w:numFmt w:val="decimal"/>
      <w:lvlText w:val="%9."/>
      <w:lvlJc w:val="start"/>
      <w:pPr>
        <w:tabs>
          <w:tab w:val="num" w:pos="3572"/>
        </w:tabs>
        <w:ind w:start="3929" w:hanging="397"/>
      </w:pPr>
      <w:rPr>
        <w:rFonts w:ascii="Times New Roman" w:hAnsi="Times New Roman"/>
        <w:b/>
        <w:bCs/>
        <w:sz w:val="20"/>
        <w:szCs w:val="20"/>
      </w:rPr>
    </w:lvl>
  </w:abstractNum>
  <w:abstractNum w:abstractNumId="3">
    <w:lvl w:ilvl="0">
      <w:start w:val="1"/>
      <w:numFmt w:val="decimal"/>
      <w:lvlText w:val="%1)"/>
      <w:lvlJc w:val="end"/>
      <w:pPr>
        <w:tabs>
          <w:tab w:val="num" w:pos="0"/>
        </w:tabs>
        <w:ind w:start="0" w:hanging="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)"/>
      <w:lvlJc w:val="start"/>
      <w:pPr>
        <w:tabs>
          <w:tab w:val="num" w:pos="0"/>
        </w:tabs>
        <w:ind w:start="0" w:hanging="0"/>
      </w:pPr>
      <w:rPr>
        <w:rFonts w:ascii="Times New Roman" w:hAnsi="Times New Roman"/>
        <w:b/>
        <w:bCs/>
        <w:sz w:val="20"/>
        <w:szCs w:val="20"/>
      </w:rPr>
    </w:lvl>
    <w:lvl w:ilvl="2">
      <w:start w:val="1"/>
      <w:numFmt w:val="none"/>
      <w:suff w:val="nothing"/>
      <w:lvlText w:val="%3"/>
      <w:lvlJc w:val="start"/>
      <w:pPr>
        <w:tabs>
          <w:tab w:val="num" w:pos="0"/>
        </w:tabs>
        <w:ind w:start="0" w:hanging="0"/>
      </w:pPr>
      <w:rPr>
        <w:rFonts w:cs="Times New Roman"/>
      </w:rPr>
    </w:lvl>
    <w:lvl w:ilvl="3">
      <w:start w:val="1"/>
      <w:numFmt w:val="none"/>
      <w:suff w:val="nothing"/>
      <w:lvlText w:val="%4"/>
      <w:lvlJc w:val="start"/>
      <w:pPr>
        <w:tabs>
          <w:tab w:val="num" w:pos="0"/>
        </w:tabs>
        <w:ind w:start="0" w:hanging="0"/>
      </w:pPr>
      <w:rPr>
        <w:rFonts w:cs="Times New Roman"/>
      </w:rPr>
    </w:lvl>
    <w:lvl w:ilvl="4">
      <w:start w:val="1"/>
      <w:numFmt w:val="none"/>
      <w:suff w:val="nothing"/>
      <w:lvlText w:val="%5"/>
      <w:lvlJc w:val="start"/>
      <w:pPr>
        <w:tabs>
          <w:tab w:val="num" w:pos="0"/>
        </w:tabs>
        <w:ind w:start="0" w:hanging="0"/>
      </w:pPr>
      <w:rPr>
        <w:rFonts w:cs="Times New Roman"/>
      </w:rPr>
    </w:lvl>
    <w:lvl w:ilvl="5">
      <w:start w:val="1"/>
      <w:numFmt w:val="none"/>
      <w:suff w:val="nothing"/>
      <w:lvlText w:val="%6"/>
      <w:lvlJc w:val="start"/>
      <w:pPr>
        <w:tabs>
          <w:tab w:val="num" w:pos="0"/>
        </w:tabs>
        <w:ind w:start="0" w:hanging="0"/>
      </w:pPr>
      <w:rPr>
        <w:rFonts w:cs="Times New Roman"/>
      </w:rPr>
    </w:lvl>
    <w:lvl w:ilvl="6">
      <w:start w:val="1"/>
      <w:numFmt w:val="none"/>
      <w:suff w:val="nothing"/>
      <w:lvlText w:val="%7"/>
      <w:lvlJc w:val="start"/>
      <w:pPr>
        <w:tabs>
          <w:tab w:val="num" w:pos="0"/>
        </w:tabs>
        <w:ind w:start="0" w:hanging="0"/>
      </w:pPr>
      <w:rPr>
        <w:rFonts w:cs="Times New Roman"/>
      </w:rPr>
    </w:lvl>
    <w:lvl w:ilvl="7">
      <w:start w:val="1"/>
      <w:numFmt w:val="none"/>
      <w:suff w:val="nothing"/>
      <w:lvlText w:val="%8"/>
      <w:lvlJc w:val="start"/>
      <w:pPr>
        <w:tabs>
          <w:tab w:val="num" w:pos="0"/>
        </w:tabs>
        <w:ind w:start="0" w:hanging="0"/>
      </w:pPr>
      <w:rPr>
        <w:rFonts w:cs="Times New Roman"/>
      </w:rPr>
    </w:lvl>
    <w:lvl w:ilvl="8">
      <w:start w:val="1"/>
      <w:numFmt w:val="none"/>
      <w:suff w:val="nothing"/>
      <w:lvlText w:val="%9"/>
      <w:lvlJc w:val="start"/>
      <w:pPr>
        <w:tabs>
          <w:tab w:val="num" w:pos="0"/>
        </w:tabs>
        <w:ind w:start="0" w:hanging="0"/>
      </w:pPr>
      <w:rPr>
        <w:rFonts w:cs="Times New Roman"/>
      </w:rPr>
    </w:lvl>
  </w:abstractNum>
  <w:abstractNum w:abstractNumId="4">
    <w:lvl w:ilvl="0">
      <w:start w:val="1"/>
      <w:numFmt w:val="upperRoman"/>
      <w:lvlText w:val="Článok %1."/>
      <w:lvlJc w:val="end"/>
      <w:pPr>
        <w:tabs>
          <w:tab w:val="num" w:pos="0"/>
        </w:tabs>
        <w:ind w:start="720" w:hanging="180"/>
      </w:pPr>
      <w:rPr>
        <w:rFonts w:ascii="Times New Roman" w:hAnsi="Times New Roman" w:cs="Times New Roman"/>
        <w:sz w:val="24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5">
    <w:lvl w:ilvl="0">
      <w:start w:val="1"/>
      <w:numFmt w:val="lowerLetter"/>
      <w:lvlText w:val="%1)"/>
      <w:lvlJc w:val="start"/>
      <w:pPr>
        <w:tabs>
          <w:tab w:val="num" w:pos="1192"/>
        </w:tabs>
        <w:ind w:start="1192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6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7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8">
    <w:lvl w:ilvl="0">
      <w:start w:val="2"/>
      <w:numFmt w:val="upperRoman"/>
      <w:lvlText w:val="Článok %1."/>
      <w:lvlJc w:val="end"/>
      <w:pPr>
        <w:tabs>
          <w:tab w:val="num" w:pos="0"/>
        </w:tabs>
        <w:ind w:start="720" w:hanging="180"/>
      </w:pPr>
      <w:rPr>
        <w:rFonts w:ascii="Times New Roman" w:hAnsi="Times New Roman" w:cs="Times New Roman"/>
        <w:sz w:val="24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9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10">
    <w:lvl w:ilvl="0">
      <w:start w:val="3"/>
      <w:numFmt w:val="upperRoman"/>
      <w:lvlText w:val="Článok %1."/>
      <w:lvlJc w:val="end"/>
      <w:pPr>
        <w:tabs>
          <w:tab w:val="num" w:pos="0"/>
        </w:tabs>
        <w:ind w:start="720" w:hanging="180"/>
      </w:pPr>
      <w:rPr>
        <w:rFonts w:ascii="Times New Roman" w:hAnsi="Times New Roman" w:cs="Times New Roman"/>
        <w:sz w:val="24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11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12">
    <w:lvl w:ilvl="0">
      <w:start w:val="2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13">
    <w:lvl w:ilvl="0">
      <w:start w:val="12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14">
    <w:lvl w:ilvl="0">
      <w:start w:val="17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15">
    <w:lvl w:ilvl="0">
      <w:start w:val="2"/>
      <w:numFmt w:val="decimal"/>
      <w:lvlText w:val="%1.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16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17">
    <w:lvl w:ilvl="0">
      <w:start w:val="2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18">
    <w:lvl w:ilvl="0">
      <w:start w:val="3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19">
    <w:lvl w:ilvl="0">
      <w:start w:val="7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20">
    <w:lvl w:ilvl="0">
      <w:start w:val="3"/>
      <w:numFmt w:val="decimal"/>
      <w:lvlText w:val="%1.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21">
    <w:lvl w:ilvl="0">
      <w:start w:val="9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22">
    <w:lvl w:ilvl="0">
      <w:start w:val="6"/>
      <w:numFmt w:val="decimal"/>
      <w:lvlText w:val="%1.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23">
    <w:lvl w:ilvl="0">
      <w:start w:val="4"/>
      <w:numFmt w:val="upperRoman"/>
      <w:lvlText w:val="Článok %1."/>
      <w:lvlJc w:val="end"/>
      <w:pPr>
        <w:tabs>
          <w:tab w:val="num" w:pos="0"/>
        </w:tabs>
        <w:ind w:start="720" w:hanging="180"/>
      </w:pPr>
      <w:rPr>
        <w:rFonts w:cs="Times New Roman"/>
        <w:b/>
        <w:sz w:val="24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24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25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26">
    <w:lvl w:ilvl="0">
      <w:start w:val="2"/>
      <w:numFmt w:val="decimal"/>
      <w:lvlText w:val="%1.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27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28">
    <w:lvl w:ilvl="0">
      <w:start w:val="5"/>
      <w:numFmt w:val="upperRoman"/>
      <w:lvlText w:val="Článok %1."/>
      <w:lvlJc w:val="end"/>
      <w:pPr>
        <w:tabs>
          <w:tab w:val="num" w:pos="0"/>
        </w:tabs>
        <w:ind w:start="720" w:hanging="180"/>
      </w:pPr>
      <w:rPr>
        <w:rFonts w:cs="Times New Roman"/>
        <w:b/>
        <w:sz w:val="24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29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1.%2"/>
      <w:lvlJc w:val="start"/>
      <w:pPr>
        <w:tabs>
          <w:tab w:val="num" w:pos="0"/>
        </w:tabs>
        <w:ind w:start="1440" w:hanging="360"/>
      </w:pPr>
      <w:rPr>
        <w:rFonts w:cs="Times New Roman"/>
      </w:rPr>
    </w:lvl>
    <w:lvl w:ilvl="2">
      <w:start w:val="1"/>
      <w:numFmt w:val="lowerRoman"/>
      <w:lvlText w:val="%2.%3"/>
      <w:lvlJc w:val="end"/>
      <w:pPr>
        <w:tabs>
          <w:tab w:val="num" w:pos="0"/>
        </w:tabs>
        <w:ind w:start="2160" w:hanging="18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0"/>
        </w:tabs>
        <w:ind w:start="2880" w:hanging="360"/>
      </w:pPr>
      <w:rPr>
        <w:rFonts w:cs="Times New Roman"/>
      </w:rPr>
    </w:lvl>
    <w:lvl w:ilvl="4">
      <w:start w:val="1"/>
      <w:numFmt w:val="lowerLetter"/>
      <w:lvlText w:val="%4.%5"/>
      <w:lvlJc w:val="start"/>
      <w:pPr>
        <w:tabs>
          <w:tab w:val="num" w:pos="0"/>
        </w:tabs>
        <w:ind w:start="3600" w:hanging="360"/>
      </w:pPr>
      <w:rPr>
        <w:rFonts w:cs="Times New Roman"/>
      </w:rPr>
    </w:lvl>
    <w:lvl w:ilvl="5">
      <w:start w:val="1"/>
      <w:numFmt w:val="lowerRoman"/>
      <w:lvlText w:val="%5.%6"/>
      <w:lvlJc w:val="end"/>
      <w:pPr>
        <w:tabs>
          <w:tab w:val="num" w:pos="0"/>
        </w:tabs>
        <w:ind w:start="4320" w:hanging="18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0"/>
        </w:tabs>
        <w:ind w:start="5040" w:hanging="360"/>
      </w:pPr>
      <w:rPr>
        <w:rFonts w:cs="Times New Roman"/>
      </w:rPr>
    </w:lvl>
    <w:lvl w:ilvl="7">
      <w:start w:val="1"/>
      <w:numFmt w:val="lowerLetter"/>
      <w:lvlText w:val="%7.%8"/>
      <w:lvlJc w:val="start"/>
      <w:pPr>
        <w:tabs>
          <w:tab w:val="num" w:pos="0"/>
        </w:tabs>
        <w:ind w:start="5760" w:hanging="360"/>
      </w:pPr>
      <w:rPr>
        <w:rFonts w:cs="Times New Roman"/>
      </w:rPr>
    </w:lvl>
    <w:lvl w:ilvl="8">
      <w:start w:val="1"/>
      <w:numFmt w:val="lowerRoman"/>
      <w:lvlText w:val="%8.%9"/>
      <w:lvlJc w:val="end"/>
      <w:pPr>
        <w:tabs>
          <w:tab w:val="num" w:pos="0"/>
        </w:tabs>
        <w:ind w:start="6480" w:hanging="180"/>
      </w:pPr>
      <w:rPr>
        <w:rFonts w:cs="Times New Roman"/>
      </w:rPr>
    </w:lvl>
  </w:abstractNum>
  <w:abstractNum w:abstractNumId="30">
    <w:lvl w:ilvl="0">
      <w:start w:val="1"/>
      <w:numFmt w:val="lowerLetter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31">
    <w:lvl w:ilvl="0">
      <w:start w:val="6"/>
      <w:numFmt w:val="upperRoman"/>
      <w:lvlText w:val="Článok %1."/>
      <w:lvlJc w:val="end"/>
      <w:pPr>
        <w:tabs>
          <w:tab w:val="num" w:pos="2296"/>
        </w:tabs>
        <w:ind w:start="3016" w:hanging="180"/>
      </w:pPr>
      <w:rPr>
        <w:rFonts w:cs="Times New Roman"/>
        <w:b/>
        <w:sz w:val="24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32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33">
    <w:lvl w:ilvl="0">
      <w:start w:val="10"/>
      <w:numFmt w:val="upperRoman"/>
      <w:lvlText w:val="Článok %1."/>
      <w:lvlJc w:val="end"/>
      <w:pPr>
        <w:tabs>
          <w:tab w:val="num" w:pos="0"/>
        </w:tabs>
        <w:ind w:start="720" w:hanging="180"/>
      </w:pPr>
      <w:rPr>
        <w:rFonts w:cs="Times New Roman"/>
        <w:b/>
        <w:sz w:val="24"/>
      </w:rPr>
    </w:lvl>
    <w:lvl w:ilvl="1">
      <w:start w:val="1"/>
      <w:numFmt w:val="decimal"/>
      <w:lvlText w:val="%1.%2"/>
      <w:lvlJc w:val="start"/>
      <w:pPr>
        <w:tabs>
          <w:tab w:val="num" w:pos="1080"/>
        </w:tabs>
        <w:ind w:start="1080" w:hanging="360"/>
      </w:pPr>
      <w:rPr>
        <w:rFonts w:cs="Times New Roman"/>
      </w:rPr>
    </w:lvl>
    <w:lvl w:ilvl="2">
      <w:start w:val="1"/>
      <w:numFmt w:val="decimal"/>
      <w:lvlText w:val="%2.%3"/>
      <w:lvlJc w:val="start"/>
      <w:pPr>
        <w:tabs>
          <w:tab w:val="num" w:pos="1440"/>
        </w:tabs>
        <w:ind w:start="1440" w:hanging="360"/>
      </w:pPr>
      <w:rPr>
        <w:rFonts w:cs="Times New Roman"/>
      </w:rPr>
    </w:lvl>
    <w:lvl w:ilvl="3">
      <w:start w:val="1"/>
      <w:numFmt w:val="decimal"/>
      <w:lvlText w:val="%3.%4"/>
      <w:lvlJc w:val="start"/>
      <w:pPr>
        <w:tabs>
          <w:tab w:val="num" w:pos="1800"/>
        </w:tabs>
        <w:ind w:start="1800" w:hanging="360"/>
      </w:pPr>
      <w:rPr>
        <w:rFonts w:cs="Times New Roman"/>
      </w:rPr>
    </w:lvl>
    <w:lvl w:ilvl="4">
      <w:start w:val="1"/>
      <w:numFmt w:val="decimal"/>
      <w:lvlText w:val="%4.%5"/>
      <w:lvlJc w:val="start"/>
      <w:pPr>
        <w:tabs>
          <w:tab w:val="num" w:pos="2160"/>
        </w:tabs>
        <w:ind w:start="2160" w:hanging="360"/>
      </w:pPr>
      <w:rPr>
        <w:rFonts w:cs="Times New Roman"/>
      </w:rPr>
    </w:lvl>
    <w:lvl w:ilvl="5">
      <w:start w:val="1"/>
      <w:numFmt w:val="decimal"/>
      <w:lvlText w:val="%5.%6"/>
      <w:lvlJc w:val="start"/>
      <w:pPr>
        <w:tabs>
          <w:tab w:val="num" w:pos="2520"/>
        </w:tabs>
        <w:ind w:start="2520" w:hanging="360"/>
      </w:pPr>
      <w:rPr>
        <w:rFonts w:cs="Times New Roman"/>
      </w:rPr>
    </w:lvl>
    <w:lvl w:ilvl="6">
      <w:start w:val="1"/>
      <w:numFmt w:val="decimal"/>
      <w:lvlText w:val="%6.%7"/>
      <w:lvlJc w:val="start"/>
      <w:pPr>
        <w:tabs>
          <w:tab w:val="num" w:pos="2880"/>
        </w:tabs>
        <w:ind w:start="2880" w:hanging="360"/>
      </w:pPr>
      <w:rPr>
        <w:rFonts w:cs="Times New Roman"/>
      </w:rPr>
    </w:lvl>
    <w:lvl w:ilvl="7">
      <w:start w:val="1"/>
      <w:numFmt w:val="decimal"/>
      <w:lvlText w:val="%7.%8"/>
      <w:lvlJc w:val="start"/>
      <w:pPr>
        <w:tabs>
          <w:tab w:val="num" w:pos="3240"/>
        </w:tabs>
        <w:ind w:start="3240" w:hanging="360"/>
      </w:pPr>
      <w:rPr>
        <w:rFonts w:cs="Times New Roman"/>
      </w:rPr>
    </w:lvl>
    <w:lvl w:ilvl="8">
      <w:start w:val="1"/>
      <w:numFmt w:val="decimal"/>
      <w:lvlText w:val="%8.%9"/>
      <w:lvlJc w:val="start"/>
      <w:pPr>
        <w:tabs>
          <w:tab w:val="num" w:pos="3600"/>
        </w:tabs>
        <w:ind w:start="3600" w:hanging="360"/>
      </w:pPr>
      <w:rPr>
        <w:rFonts w:cs="Times New Roman"/>
      </w:rPr>
    </w:lvl>
  </w:abstractNum>
  <w:abstractNum w:abstractNumId="34">
    <w:lvl w:ilvl="0">
      <w:start w:val="16"/>
      <w:numFmt w:val="lowerLetter"/>
      <w:lvlText w:val="%1)"/>
      <w:lvlJc w:val="start"/>
      <w:pPr>
        <w:tabs>
          <w:tab w:val="num" w:pos="72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2)"/>
      <w:lvlJc w:val="start"/>
      <w:pPr>
        <w:tabs>
          <w:tab w:val="num" w:pos="1080"/>
        </w:tabs>
        <w:ind w:start="1080" w:hanging="360"/>
      </w:pPr>
      <w:rPr>
        <w:rFonts w:ascii="Times New Roman" w:hAnsi="Times New Roman"/>
        <w:b/>
        <w:bCs/>
        <w:sz w:val="20"/>
        <w:szCs w:val="20"/>
      </w:rPr>
    </w:lvl>
    <w:lvl w:ilvl="2">
      <w:start w:val="1"/>
      <w:numFmt w:val="lowerLetter"/>
      <w:lvlText w:val="%3)"/>
      <w:lvlJc w:val="start"/>
      <w:pPr>
        <w:tabs>
          <w:tab w:val="num" w:pos="1440"/>
        </w:tabs>
        <w:ind w:start="1440" w:hanging="360"/>
      </w:pPr>
      <w:rPr>
        <w:rFonts w:ascii="Times New Roman" w:hAnsi="Times New Roman"/>
        <w:b/>
        <w:bCs/>
        <w:sz w:val="20"/>
        <w:szCs w:val="20"/>
      </w:rPr>
    </w:lvl>
    <w:lvl w:ilvl="3">
      <w:start w:val="1"/>
      <w:numFmt w:val="lowerLetter"/>
      <w:lvlText w:val="%4)"/>
      <w:lvlJc w:val="start"/>
      <w:pPr>
        <w:tabs>
          <w:tab w:val="num" w:pos="1800"/>
        </w:tabs>
        <w:ind w:start="1800" w:hanging="360"/>
      </w:pPr>
      <w:rPr>
        <w:rFonts w:ascii="Times New Roman" w:hAnsi="Times New Roman"/>
        <w:b/>
        <w:bCs/>
        <w:sz w:val="20"/>
        <w:szCs w:val="20"/>
      </w:rPr>
    </w:lvl>
    <w:lvl w:ilvl="4">
      <w:start w:val="1"/>
      <w:numFmt w:val="lowerLetter"/>
      <w:lvlText w:val="%5)"/>
      <w:lvlJc w:val="start"/>
      <w:pPr>
        <w:tabs>
          <w:tab w:val="num" w:pos="2160"/>
        </w:tabs>
        <w:ind w:start="2160" w:hanging="360"/>
      </w:pPr>
      <w:rPr>
        <w:rFonts w:ascii="Times New Roman" w:hAnsi="Times New Roman"/>
        <w:b/>
        <w:bCs/>
        <w:sz w:val="20"/>
        <w:szCs w:val="20"/>
      </w:rPr>
    </w:lvl>
    <w:lvl w:ilvl="5">
      <w:start w:val="1"/>
      <w:numFmt w:val="lowerLetter"/>
      <w:lvlText w:val="%6)"/>
      <w:lvlJc w:val="start"/>
      <w:pPr>
        <w:tabs>
          <w:tab w:val="num" w:pos="2520"/>
        </w:tabs>
        <w:ind w:start="2520" w:hanging="360"/>
      </w:pPr>
      <w:rPr>
        <w:rFonts w:ascii="Times New Roman" w:hAnsi="Times New Roman"/>
        <w:b/>
        <w:bCs/>
        <w:sz w:val="20"/>
        <w:szCs w:val="20"/>
      </w:rPr>
    </w:lvl>
    <w:lvl w:ilvl="6">
      <w:start w:val="1"/>
      <w:numFmt w:val="lowerLetter"/>
      <w:lvlText w:val="%7)"/>
      <w:lvlJc w:val="start"/>
      <w:pPr>
        <w:tabs>
          <w:tab w:val="num" w:pos="2880"/>
        </w:tabs>
        <w:ind w:start="2880" w:hanging="360"/>
      </w:pPr>
      <w:rPr>
        <w:rFonts w:ascii="Times New Roman" w:hAnsi="Times New Roman"/>
        <w:b/>
        <w:bCs/>
        <w:sz w:val="20"/>
        <w:szCs w:val="20"/>
      </w:rPr>
    </w:lvl>
    <w:lvl w:ilvl="7">
      <w:start w:val="1"/>
      <w:numFmt w:val="lowerLetter"/>
      <w:lvlText w:val="%8)"/>
      <w:lvlJc w:val="start"/>
      <w:pPr>
        <w:tabs>
          <w:tab w:val="num" w:pos="3240"/>
        </w:tabs>
        <w:ind w:start="3240" w:hanging="360"/>
      </w:pPr>
      <w:rPr>
        <w:rFonts w:ascii="Times New Roman" w:hAnsi="Times New Roman"/>
        <w:b/>
        <w:bCs/>
        <w:sz w:val="20"/>
        <w:szCs w:val="20"/>
      </w:rPr>
    </w:lvl>
    <w:lvl w:ilvl="8">
      <w:start w:val="1"/>
      <w:numFmt w:val="lowerLetter"/>
      <w:lvlText w:val="%9)"/>
      <w:lvlJc w:val="start"/>
      <w:pPr>
        <w:tabs>
          <w:tab w:val="num" w:pos="3600"/>
        </w:tabs>
        <w:ind w:start="3600" w:hanging="360"/>
      </w:pPr>
      <w:rPr>
        <w:rFonts w:ascii="Times New Roman" w:hAnsi="Times New Roman"/>
        <w:b/>
        <w:bCs/>
        <w:sz w:val="20"/>
        <w:szCs w:val="20"/>
      </w:rPr>
    </w:lvl>
  </w:abstractNum>
  <w:abstractNum w:abstractNumId="35">
    <w:lvl w:ilvl="0">
      <w:start w:val="21"/>
      <w:numFmt w:val="lowerLetter"/>
      <w:lvlText w:val="%1)"/>
      <w:lvlJc w:val="start"/>
      <w:pPr>
        <w:tabs>
          <w:tab w:val="num" w:pos="72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>
        <w:rFonts w:ascii="Times New Roman" w:hAnsi="Times New Roman"/>
        <w:b/>
        <w:bCs/>
        <w:sz w:val="20"/>
        <w:szCs w:val="20"/>
      </w:rPr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>
        <w:rFonts w:ascii="Times New Roman" w:hAnsi="Times New Roman"/>
        <w:b/>
        <w:bCs/>
        <w:sz w:val="20"/>
        <w:szCs w:val="20"/>
      </w:rPr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>
        <w:rFonts w:ascii="Times New Roman" w:hAnsi="Times New Roman"/>
        <w:b/>
        <w:bCs/>
        <w:sz w:val="20"/>
        <w:szCs w:val="20"/>
      </w:rPr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>
        <w:rFonts w:ascii="Times New Roman" w:hAnsi="Times New Roman"/>
        <w:b/>
        <w:bCs/>
        <w:sz w:val="20"/>
        <w:szCs w:val="20"/>
      </w:rPr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>
        <w:rFonts w:ascii="Times New Roman" w:hAnsi="Times New Roman"/>
        <w:b/>
        <w:bCs/>
        <w:sz w:val="20"/>
        <w:szCs w:val="20"/>
      </w:rPr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>
        <w:rFonts w:ascii="Times New Roman" w:hAnsi="Times New Roman"/>
        <w:b/>
        <w:bCs/>
        <w:sz w:val="20"/>
        <w:szCs w:val="20"/>
      </w:rPr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>
        <w:rFonts w:ascii="Times New Roman" w:hAnsi="Times New Roman"/>
        <w:b/>
        <w:bCs/>
        <w:sz w:val="20"/>
        <w:szCs w:val="20"/>
      </w:rPr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>
        <w:rFonts w:ascii="Times New Roman" w:hAnsi="Times New Roman"/>
        <w:b/>
        <w:bCs/>
        <w:sz w:val="20"/>
        <w:szCs w:val="20"/>
      </w:rPr>
    </w:lvl>
  </w:abstractNum>
  <w:abstractNum w:abstractNumId="36">
    <w:lvl w:ilvl="0">
      <w:start w:val="4"/>
      <w:numFmt w:val="lowerLetter"/>
      <w:lvlText w:val="%1)"/>
      <w:lvlJc w:val="start"/>
      <w:pPr>
        <w:tabs>
          <w:tab w:val="num" w:pos="72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>
        <w:rFonts w:ascii="Times New Roman" w:hAnsi="Times New Roman"/>
        <w:b/>
        <w:bCs/>
        <w:sz w:val="20"/>
        <w:szCs w:val="20"/>
      </w:rPr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>
        <w:rFonts w:ascii="Times New Roman" w:hAnsi="Times New Roman"/>
        <w:b/>
        <w:bCs/>
        <w:sz w:val="20"/>
        <w:szCs w:val="20"/>
      </w:rPr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>
        <w:rFonts w:ascii="Times New Roman" w:hAnsi="Times New Roman"/>
        <w:b/>
        <w:bCs/>
        <w:sz w:val="20"/>
        <w:szCs w:val="20"/>
      </w:rPr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>
        <w:rFonts w:ascii="Times New Roman" w:hAnsi="Times New Roman"/>
        <w:b/>
        <w:bCs/>
        <w:sz w:val="20"/>
        <w:szCs w:val="20"/>
      </w:rPr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>
        <w:rFonts w:ascii="Times New Roman" w:hAnsi="Times New Roman"/>
        <w:b/>
        <w:bCs/>
        <w:sz w:val="20"/>
        <w:szCs w:val="20"/>
      </w:rPr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>
        <w:rFonts w:ascii="Times New Roman" w:hAnsi="Times New Roman"/>
        <w:b/>
        <w:bCs/>
        <w:sz w:val="20"/>
        <w:szCs w:val="20"/>
      </w:rPr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>
        <w:rFonts w:ascii="Times New Roman" w:hAnsi="Times New Roman"/>
        <w:b/>
        <w:bCs/>
        <w:sz w:val="20"/>
        <w:szCs w:val="20"/>
      </w:rPr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>
        <w:rFonts w:ascii="Times New Roman" w:hAnsi="Times New Roman"/>
        <w:b/>
        <w:bCs/>
        <w:sz w:val="20"/>
        <w:szCs w:val="20"/>
      </w:rPr>
    </w:lvl>
  </w:abstractNum>
  <w:abstractNum w:abstractNumId="37">
    <w:lvl w:ilvl="0">
      <w:start w:val="5"/>
      <w:numFmt w:val="lowerLetter"/>
      <w:lvlText w:val="%1)"/>
      <w:lvlJc w:val="start"/>
      <w:pPr>
        <w:tabs>
          <w:tab w:val="num" w:pos="72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2)"/>
      <w:lvlJc w:val="start"/>
      <w:pPr>
        <w:tabs>
          <w:tab w:val="num" w:pos="1080"/>
        </w:tabs>
        <w:ind w:start="1080" w:hanging="360"/>
      </w:pPr>
      <w:rPr>
        <w:rFonts w:ascii="Times New Roman" w:hAnsi="Times New Roman"/>
        <w:b/>
        <w:bCs/>
        <w:sz w:val="20"/>
        <w:szCs w:val="20"/>
      </w:rPr>
    </w:lvl>
    <w:lvl w:ilvl="2">
      <w:start w:val="1"/>
      <w:numFmt w:val="lowerLetter"/>
      <w:lvlText w:val="%3)"/>
      <w:lvlJc w:val="start"/>
      <w:pPr>
        <w:tabs>
          <w:tab w:val="num" w:pos="1440"/>
        </w:tabs>
        <w:ind w:start="1440" w:hanging="360"/>
      </w:pPr>
      <w:rPr>
        <w:rFonts w:ascii="Times New Roman" w:hAnsi="Times New Roman"/>
        <w:b/>
        <w:bCs/>
        <w:sz w:val="20"/>
        <w:szCs w:val="20"/>
      </w:rPr>
    </w:lvl>
    <w:lvl w:ilvl="3">
      <w:start w:val="1"/>
      <w:numFmt w:val="lowerLetter"/>
      <w:lvlText w:val="%4)"/>
      <w:lvlJc w:val="start"/>
      <w:pPr>
        <w:tabs>
          <w:tab w:val="num" w:pos="1800"/>
        </w:tabs>
        <w:ind w:start="1800" w:hanging="360"/>
      </w:pPr>
      <w:rPr>
        <w:rFonts w:ascii="Times New Roman" w:hAnsi="Times New Roman"/>
        <w:b/>
        <w:bCs/>
        <w:sz w:val="20"/>
        <w:szCs w:val="20"/>
      </w:rPr>
    </w:lvl>
    <w:lvl w:ilvl="4">
      <w:start w:val="1"/>
      <w:numFmt w:val="lowerLetter"/>
      <w:lvlText w:val="%5)"/>
      <w:lvlJc w:val="start"/>
      <w:pPr>
        <w:tabs>
          <w:tab w:val="num" w:pos="2160"/>
        </w:tabs>
        <w:ind w:start="2160" w:hanging="360"/>
      </w:pPr>
      <w:rPr>
        <w:rFonts w:ascii="Times New Roman" w:hAnsi="Times New Roman"/>
        <w:b/>
        <w:bCs/>
        <w:sz w:val="20"/>
        <w:szCs w:val="20"/>
      </w:rPr>
    </w:lvl>
    <w:lvl w:ilvl="5">
      <w:start w:val="1"/>
      <w:numFmt w:val="lowerLetter"/>
      <w:lvlText w:val="%6)"/>
      <w:lvlJc w:val="start"/>
      <w:pPr>
        <w:tabs>
          <w:tab w:val="num" w:pos="2520"/>
        </w:tabs>
        <w:ind w:start="2520" w:hanging="360"/>
      </w:pPr>
      <w:rPr>
        <w:rFonts w:ascii="Times New Roman" w:hAnsi="Times New Roman"/>
        <w:b/>
        <w:bCs/>
        <w:sz w:val="20"/>
        <w:szCs w:val="20"/>
      </w:rPr>
    </w:lvl>
    <w:lvl w:ilvl="6">
      <w:start w:val="1"/>
      <w:numFmt w:val="lowerLetter"/>
      <w:lvlText w:val="%7)"/>
      <w:lvlJc w:val="start"/>
      <w:pPr>
        <w:tabs>
          <w:tab w:val="num" w:pos="2880"/>
        </w:tabs>
        <w:ind w:start="2880" w:hanging="360"/>
      </w:pPr>
      <w:rPr>
        <w:rFonts w:ascii="Times New Roman" w:hAnsi="Times New Roman"/>
        <w:b/>
        <w:bCs/>
        <w:sz w:val="20"/>
        <w:szCs w:val="20"/>
      </w:rPr>
    </w:lvl>
    <w:lvl w:ilvl="7">
      <w:start w:val="1"/>
      <w:numFmt w:val="lowerLetter"/>
      <w:lvlText w:val="%8)"/>
      <w:lvlJc w:val="start"/>
      <w:pPr>
        <w:tabs>
          <w:tab w:val="num" w:pos="3240"/>
        </w:tabs>
        <w:ind w:start="3240" w:hanging="360"/>
      </w:pPr>
      <w:rPr>
        <w:rFonts w:ascii="Times New Roman" w:hAnsi="Times New Roman"/>
        <w:b/>
        <w:bCs/>
        <w:sz w:val="20"/>
        <w:szCs w:val="20"/>
      </w:rPr>
    </w:lvl>
    <w:lvl w:ilvl="8">
      <w:start w:val="1"/>
      <w:numFmt w:val="lowerLetter"/>
      <w:lvlText w:val="%9)"/>
      <w:lvlJc w:val="start"/>
      <w:pPr>
        <w:tabs>
          <w:tab w:val="num" w:pos="3600"/>
        </w:tabs>
        <w:ind w:start="3600" w:hanging="360"/>
      </w:pPr>
      <w:rPr>
        <w:rFonts w:ascii="Times New Roman" w:hAnsi="Times New Roman"/>
        <w:b/>
        <w:bCs/>
        <w:sz w:val="20"/>
        <w:szCs w:val="20"/>
      </w:rPr>
    </w:lvl>
  </w:abstractNum>
  <w:abstractNum w:abstractNumId="38">
    <w:lvl w:ilvl="0">
      <w:start w:val="6"/>
      <w:numFmt w:val="lowerLetter"/>
      <w:lvlText w:val="%1)"/>
      <w:lvlJc w:val="start"/>
      <w:pPr>
        <w:tabs>
          <w:tab w:val="num" w:pos="1571"/>
        </w:tabs>
        <w:ind w:start="1571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2."/>
      <w:lvlJc w:val="start"/>
      <w:pPr>
        <w:tabs>
          <w:tab w:val="num" w:pos="1931"/>
        </w:tabs>
        <w:ind w:start="1931" w:hanging="360"/>
      </w:pPr>
      <w:rPr>
        <w:rFonts w:ascii="Times New Roman" w:hAnsi="Times New Roman"/>
        <w:b/>
        <w:bCs/>
        <w:sz w:val="20"/>
        <w:szCs w:val="20"/>
      </w:rPr>
    </w:lvl>
    <w:lvl w:ilvl="2">
      <w:start w:val="1"/>
      <w:numFmt w:val="decimal"/>
      <w:lvlText w:val="%3."/>
      <w:lvlJc w:val="start"/>
      <w:pPr>
        <w:tabs>
          <w:tab w:val="num" w:pos="2291"/>
        </w:tabs>
        <w:ind w:start="2291" w:hanging="360"/>
      </w:pPr>
      <w:rPr>
        <w:rFonts w:ascii="Times New Roman" w:hAnsi="Times New Roman"/>
        <w:b/>
        <w:bCs/>
        <w:sz w:val="20"/>
        <w:szCs w:val="20"/>
      </w:rPr>
    </w:lvl>
    <w:lvl w:ilvl="3">
      <w:start w:val="1"/>
      <w:numFmt w:val="decimal"/>
      <w:lvlText w:val="%4."/>
      <w:lvlJc w:val="start"/>
      <w:pPr>
        <w:tabs>
          <w:tab w:val="num" w:pos="2651"/>
        </w:tabs>
        <w:ind w:start="2651" w:hanging="360"/>
      </w:pPr>
      <w:rPr>
        <w:rFonts w:ascii="Times New Roman" w:hAnsi="Times New Roman"/>
        <w:b/>
        <w:bCs/>
        <w:sz w:val="20"/>
        <w:szCs w:val="20"/>
      </w:rPr>
    </w:lvl>
    <w:lvl w:ilvl="4">
      <w:start w:val="1"/>
      <w:numFmt w:val="decimal"/>
      <w:lvlText w:val="%5."/>
      <w:lvlJc w:val="start"/>
      <w:pPr>
        <w:tabs>
          <w:tab w:val="num" w:pos="3011"/>
        </w:tabs>
        <w:ind w:start="3011" w:hanging="360"/>
      </w:pPr>
      <w:rPr>
        <w:rFonts w:ascii="Times New Roman" w:hAnsi="Times New Roman"/>
        <w:b/>
        <w:bCs/>
        <w:sz w:val="20"/>
        <w:szCs w:val="20"/>
      </w:rPr>
    </w:lvl>
    <w:lvl w:ilvl="5">
      <w:start w:val="1"/>
      <w:numFmt w:val="decimal"/>
      <w:lvlText w:val="%6."/>
      <w:lvlJc w:val="start"/>
      <w:pPr>
        <w:tabs>
          <w:tab w:val="num" w:pos="3371"/>
        </w:tabs>
        <w:ind w:start="3371" w:hanging="360"/>
      </w:pPr>
      <w:rPr>
        <w:rFonts w:ascii="Times New Roman" w:hAnsi="Times New Roman"/>
        <w:b/>
        <w:bCs/>
        <w:sz w:val="20"/>
        <w:szCs w:val="20"/>
      </w:rPr>
    </w:lvl>
    <w:lvl w:ilvl="6">
      <w:start w:val="1"/>
      <w:numFmt w:val="decimal"/>
      <w:lvlText w:val="%7."/>
      <w:lvlJc w:val="start"/>
      <w:pPr>
        <w:tabs>
          <w:tab w:val="num" w:pos="3731"/>
        </w:tabs>
        <w:ind w:start="3731" w:hanging="360"/>
      </w:pPr>
      <w:rPr>
        <w:rFonts w:ascii="Times New Roman" w:hAnsi="Times New Roman"/>
        <w:b/>
        <w:bCs/>
        <w:sz w:val="20"/>
        <w:szCs w:val="20"/>
      </w:rPr>
    </w:lvl>
    <w:lvl w:ilvl="7">
      <w:start w:val="1"/>
      <w:numFmt w:val="decimal"/>
      <w:lvlText w:val="%8."/>
      <w:lvlJc w:val="start"/>
      <w:pPr>
        <w:tabs>
          <w:tab w:val="num" w:pos="4091"/>
        </w:tabs>
        <w:ind w:start="4091" w:hanging="360"/>
      </w:pPr>
      <w:rPr>
        <w:rFonts w:ascii="Times New Roman" w:hAnsi="Times New Roman"/>
        <w:b/>
        <w:bCs/>
        <w:sz w:val="20"/>
        <w:szCs w:val="20"/>
      </w:rPr>
    </w:lvl>
    <w:lvl w:ilvl="8">
      <w:start w:val="1"/>
      <w:numFmt w:val="decimal"/>
      <w:lvlText w:val="%9."/>
      <w:lvlJc w:val="start"/>
      <w:pPr>
        <w:tabs>
          <w:tab w:val="num" w:pos="4451"/>
        </w:tabs>
        <w:ind w:start="4451" w:hanging="360"/>
      </w:pPr>
      <w:rPr>
        <w:rFonts w:ascii="Times New Roman" w:hAnsi="Times New Roman"/>
        <w:b/>
        <w:bCs/>
        <w:sz w:val="20"/>
        <w:szCs w:val="20"/>
      </w:rPr>
    </w:lvl>
  </w:abstractNum>
  <w:abstractNum w:abstractNumId="39">
    <w:lvl w:ilvl="0">
      <w:start w:val="1"/>
      <w:numFmt w:val="lowerLetter"/>
      <w:lvlText w:val="%1)"/>
      <w:lvlJc w:val="start"/>
      <w:pPr>
        <w:tabs>
          <w:tab w:val="num" w:pos="72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lowerLetter"/>
      <w:lvlText w:val="%2)"/>
      <w:lvlJc w:val="start"/>
      <w:pPr>
        <w:tabs>
          <w:tab w:val="num" w:pos="1080"/>
        </w:tabs>
        <w:ind w:start="1080" w:hanging="360"/>
      </w:pPr>
      <w:rPr>
        <w:rFonts w:ascii="Times New Roman" w:hAnsi="Times New Roman"/>
        <w:b/>
        <w:bCs/>
        <w:sz w:val="20"/>
        <w:szCs w:val="20"/>
      </w:rPr>
    </w:lvl>
    <w:lvl w:ilvl="2">
      <w:start w:val="1"/>
      <w:numFmt w:val="lowerLetter"/>
      <w:lvlText w:val="%3)"/>
      <w:lvlJc w:val="start"/>
      <w:pPr>
        <w:tabs>
          <w:tab w:val="num" w:pos="1440"/>
        </w:tabs>
        <w:ind w:start="1440" w:hanging="360"/>
      </w:pPr>
      <w:rPr>
        <w:rFonts w:ascii="Times New Roman" w:hAnsi="Times New Roman"/>
        <w:b/>
        <w:bCs/>
        <w:sz w:val="20"/>
        <w:szCs w:val="20"/>
      </w:rPr>
    </w:lvl>
    <w:lvl w:ilvl="3">
      <w:start w:val="1"/>
      <w:numFmt w:val="lowerLetter"/>
      <w:lvlText w:val="%4)"/>
      <w:lvlJc w:val="start"/>
      <w:pPr>
        <w:tabs>
          <w:tab w:val="num" w:pos="1800"/>
        </w:tabs>
        <w:ind w:start="1800" w:hanging="360"/>
      </w:pPr>
      <w:rPr>
        <w:rFonts w:ascii="Times New Roman" w:hAnsi="Times New Roman"/>
        <w:b/>
        <w:bCs/>
        <w:sz w:val="20"/>
        <w:szCs w:val="20"/>
      </w:rPr>
    </w:lvl>
    <w:lvl w:ilvl="4">
      <w:start w:val="1"/>
      <w:numFmt w:val="lowerLetter"/>
      <w:lvlText w:val="%5)"/>
      <w:lvlJc w:val="start"/>
      <w:pPr>
        <w:tabs>
          <w:tab w:val="num" w:pos="2160"/>
        </w:tabs>
        <w:ind w:start="2160" w:hanging="360"/>
      </w:pPr>
      <w:rPr>
        <w:rFonts w:ascii="Times New Roman" w:hAnsi="Times New Roman"/>
        <w:b/>
        <w:bCs/>
        <w:sz w:val="20"/>
        <w:szCs w:val="20"/>
      </w:rPr>
    </w:lvl>
    <w:lvl w:ilvl="5">
      <w:start w:val="1"/>
      <w:numFmt w:val="lowerLetter"/>
      <w:lvlText w:val="%6)"/>
      <w:lvlJc w:val="start"/>
      <w:pPr>
        <w:tabs>
          <w:tab w:val="num" w:pos="2520"/>
        </w:tabs>
        <w:ind w:start="2520" w:hanging="360"/>
      </w:pPr>
      <w:rPr>
        <w:rFonts w:ascii="Times New Roman" w:hAnsi="Times New Roman"/>
        <w:b/>
        <w:bCs/>
        <w:sz w:val="20"/>
        <w:szCs w:val="20"/>
      </w:rPr>
    </w:lvl>
    <w:lvl w:ilvl="6">
      <w:start w:val="1"/>
      <w:numFmt w:val="lowerLetter"/>
      <w:lvlText w:val="%7)"/>
      <w:lvlJc w:val="start"/>
      <w:pPr>
        <w:tabs>
          <w:tab w:val="num" w:pos="2880"/>
        </w:tabs>
        <w:ind w:start="2880" w:hanging="360"/>
      </w:pPr>
      <w:rPr>
        <w:rFonts w:ascii="Times New Roman" w:hAnsi="Times New Roman"/>
        <w:b/>
        <w:bCs/>
        <w:sz w:val="20"/>
        <w:szCs w:val="20"/>
      </w:rPr>
    </w:lvl>
    <w:lvl w:ilvl="7">
      <w:start w:val="1"/>
      <w:numFmt w:val="lowerLetter"/>
      <w:lvlText w:val="%8)"/>
      <w:lvlJc w:val="start"/>
      <w:pPr>
        <w:tabs>
          <w:tab w:val="num" w:pos="3240"/>
        </w:tabs>
        <w:ind w:start="3240" w:hanging="360"/>
      </w:pPr>
      <w:rPr>
        <w:rFonts w:ascii="Times New Roman" w:hAnsi="Times New Roman"/>
        <w:b/>
        <w:bCs/>
        <w:sz w:val="20"/>
        <w:szCs w:val="20"/>
      </w:rPr>
    </w:lvl>
    <w:lvl w:ilvl="8">
      <w:start w:val="1"/>
      <w:numFmt w:val="lowerLetter"/>
      <w:lvlText w:val="%9)"/>
      <w:lvlJc w:val="start"/>
      <w:pPr>
        <w:tabs>
          <w:tab w:val="num" w:pos="3600"/>
        </w:tabs>
        <w:ind w:start="3600" w:hanging="360"/>
      </w:pPr>
      <w:rPr>
        <w:rFonts w:ascii="Times New Roman" w:hAnsi="Times New Roman"/>
        <w:b/>
        <w:bCs/>
        <w:sz w:val="20"/>
        <w:szCs w:val="20"/>
      </w:rPr>
    </w:lvl>
  </w:abstractNum>
  <w:abstractNum w:abstractNumId="40">
    <w:lvl w:ilvl="0">
      <w:start w:val="2"/>
      <w:numFmt w:val="decimal"/>
      <w:lvlText w:val="%1)"/>
      <w:lvlJc w:val="start"/>
      <w:pPr>
        <w:tabs>
          <w:tab w:val="num" w:pos="720"/>
        </w:tabs>
        <w:ind w:start="720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2)"/>
      <w:lvlJc w:val="start"/>
      <w:pPr>
        <w:tabs>
          <w:tab w:val="num" w:pos="1080"/>
        </w:tabs>
        <w:ind w:start="1080" w:hanging="360"/>
      </w:pPr>
      <w:rPr>
        <w:rFonts w:ascii="Times New Roman" w:hAnsi="Times New Roman"/>
        <w:b/>
        <w:bCs/>
        <w:sz w:val="20"/>
        <w:szCs w:val="20"/>
      </w:rPr>
    </w:lvl>
    <w:lvl w:ilvl="2">
      <w:start w:val="1"/>
      <w:numFmt w:val="decimal"/>
      <w:lvlText w:val="%3)"/>
      <w:lvlJc w:val="start"/>
      <w:pPr>
        <w:tabs>
          <w:tab w:val="num" w:pos="1440"/>
        </w:tabs>
        <w:ind w:start="1440" w:hanging="360"/>
      </w:pPr>
      <w:rPr>
        <w:rFonts w:ascii="Times New Roman" w:hAnsi="Times New Roman"/>
        <w:b/>
        <w:bCs/>
        <w:sz w:val="20"/>
        <w:szCs w:val="20"/>
      </w:rPr>
    </w:lvl>
    <w:lvl w:ilvl="3">
      <w:start w:val="1"/>
      <w:numFmt w:val="decimal"/>
      <w:lvlText w:val="%4)"/>
      <w:lvlJc w:val="start"/>
      <w:pPr>
        <w:tabs>
          <w:tab w:val="num" w:pos="1800"/>
        </w:tabs>
        <w:ind w:start="1800" w:hanging="360"/>
      </w:pPr>
      <w:rPr>
        <w:rFonts w:ascii="Times New Roman" w:hAnsi="Times New Roman"/>
        <w:b/>
        <w:bCs/>
        <w:sz w:val="20"/>
        <w:szCs w:val="20"/>
      </w:rPr>
    </w:lvl>
    <w:lvl w:ilvl="4">
      <w:start w:val="1"/>
      <w:numFmt w:val="decimal"/>
      <w:lvlText w:val="%5)"/>
      <w:lvlJc w:val="start"/>
      <w:pPr>
        <w:tabs>
          <w:tab w:val="num" w:pos="2160"/>
        </w:tabs>
        <w:ind w:start="2160" w:hanging="360"/>
      </w:pPr>
      <w:rPr>
        <w:rFonts w:ascii="Times New Roman" w:hAnsi="Times New Roman"/>
        <w:b/>
        <w:bCs/>
        <w:sz w:val="20"/>
        <w:szCs w:val="20"/>
      </w:rPr>
    </w:lvl>
    <w:lvl w:ilvl="5">
      <w:start w:val="1"/>
      <w:numFmt w:val="decimal"/>
      <w:lvlText w:val="%6)"/>
      <w:lvlJc w:val="start"/>
      <w:pPr>
        <w:tabs>
          <w:tab w:val="num" w:pos="2520"/>
        </w:tabs>
        <w:ind w:start="2520" w:hanging="360"/>
      </w:pPr>
      <w:rPr>
        <w:rFonts w:ascii="Times New Roman" w:hAnsi="Times New Roman"/>
        <w:b/>
        <w:bCs/>
        <w:sz w:val="20"/>
        <w:szCs w:val="20"/>
      </w:rPr>
    </w:lvl>
    <w:lvl w:ilvl="6">
      <w:start w:val="1"/>
      <w:numFmt w:val="decimal"/>
      <w:lvlText w:val="%7)"/>
      <w:lvlJc w:val="start"/>
      <w:pPr>
        <w:tabs>
          <w:tab w:val="num" w:pos="2880"/>
        </w:tabs>
        <w:ind w:start="2880" w:hanging="360"/>
      </w:pPr>
      <w:rPr>
        <w:rFonts w:ascii="Times New Roman" w:hAnsi="Times New Roman"/>
        <w:b/>
        <w:bCs/>
        <w:sz w:val="20"/>
        <w:szCs w:val="20"/>
      </w:rPr>
    </w:lvl>
    <w:lvl w:ilvl="7">
      <w:start w:val="1"/>
      <w:numFmt w:val="decimal"/>
      <w:lvlText w:val="%8)"/>
      <w:lvlJc w:val="start"/>
      <w:pPr>
        <w:tabs>
          <w:tab w:val="num" w:pos="3240"/>
        </w:tabs>
        <w:ind w:start="3240" w:hanging="360"/>
      </w:pPr>
      <w:rPr>
        <w:rFonts w:ascii="Times New Roman" w:hAnsi="Times New Roman"/>
        <w:b/>
        <w:bCs/>
        <w:sz w:val="20"/>
        <w:szCs w:val="20"/>
      </w:rPr>
    </w:lvl>
    <w:lvl w:ilvl="8">
      <w:start w:val="1"/>
      <w:numFmt w:val="decimal"/>
      <w:lvlText w:val="%9)"/>
      <w:lvlJc w:val="start"/>
      <w:pPr>
        <w:tabs>
          <w:tab w:val="num" w:pos="3600"/>
        </w:tabs>
        <w:ind w:start="3600" w:hanging="360"/>
      </w:pPr>
      <w:rPr>
        <w:rFonts w:ascii="Times New Roman" w:hAnsi="Times New Roman"/>
        <w:b/>
        <w:bCs/>
        <w:sz w:val="20"/>
        <w:szCs w:val="20"/>
      </w:rPr>
    </w:lvl>
  </w:abstractNum>
  <w:abstractNum w:abstractNumId="41">
    <w:lvl w:ilvl="0">
      <w:start w:val="8"/>
      <w:numFmt w:val="upperRoman"/>
      <w:lvlText w:val="Článok %1."/>
      <w:lvlJc w:val="start"/>
      <w:pPr>
        <w:tabs>
          <w:tab w:val="num" w:pos="1146"/>
        </w:tabs>
        <w:ind w:start="1146" w:hanging="360"/>
      </w:pPr>
      <w:rPr>
        <w:rFonts w:ascii="Times New Roman" w:hAnsi="Times New Roman"/>
        <w:b/>
        <w:bCs/>
        <w:sz w:val="20"/>
        <w:szCs w:val="20"/>
      </w:rPr>
    </w:lvl>
    <w:lvl w:ilvl="1">
      <w:start w:val="1"/>
      <w:numFmt w:val="decimal"/>
      <w:lvlText w:val="%2."/>
      <w:lvlJc w:val="start"/>
      <w:pPr>
        <w:tabs>
          <w:tab w:val="num" w:pos="1506"/>
        </w:tabs>
        <w:ind w:start="1506" w:hanging="360"/>
      </w:pPr>
      <w:rPr>
        <w:rFonts w:ascii="Times New Roman" w:hAnsi="Times New Roman"/>
        <w:b/>
        <w:bCs/>
        <w:sz w:val="20"/>
        <w:szCs w:val="20"/>
      </w:rPr>
    </w:lvl>
    <w:lvl w:ilvl="2">
      <w:start w:val="1"/>
      <w:numFmt w:val="decimal"/>
      <w:lvlText w:val="%3."/>
      <w:lvlJc w:val="start"/>
      <w:pPr>
        <w:tabs>
          <w:tab w:val="num" w:pos="1866"/>
        </w:tabs>
        <w:ind w:start="1866" w:hanging="360"/>
      </w:pPr>
      <w:rPr>
        <w:rFonts w:ascii="Times New Roman" w:hAnsi="Times New Roman"/>
        <w:b/>
        <w:bCs/>
        <w:sz w:val="20"/>
        <w:szCs w:val="20"/>
      </w:rPr>
    </w:lvl>
    <w:lvl w:ilvl="3">
      <w:start w:val="1"/>
      <w:numFmt w:val="decimal"/>
      <w:lvlText w:val="%4."/>
      <w:lvlJc w:val="start"/>
      <w:pPr>
        <w:tabs>
          <w:tab w:val="num" w:pos="2226"/>
        </w:tabs>
        <w:ind w:start="2226" w:hanging="360"/>
      </w:pPr>
      <w:rPr>
        <w:rFonts w:ascii="Times New Roman" w:hAnsi="Times New Roman"/>
        <w:b/>
        <w:bCs/>
        <w:sz w:val="20"/>
        <w:szCs w:val="20"/>
      </w:rPr>
    </w:lvl>
    <w:lvl w:ilvl="4">
      <w:start w:val="1"/>
      <w:numFmt w:val="decimal"/>
      <w:lvlText w:val="%5."/>
      <w:lvlJc w:val="start"/>
      <w:pPr>
        <w:tabs>
          <w:tab w:val="num" w:pos="2586"/>
        </w:tabs>
        <w:ind w:start="2586" w:hanging="360"/>
      </w:pPr>
      <w:rPr>
        <w:rFonts w:ascii="Times New Roman" w:hAnsi="Times New Roman"/>
        <w:b/>
        <w:bCs/>
        <w:sz w:val="20"/>
        <w:szCs w:val="20"/>
      </w:rPr>
    </w:lvl>
    <w:lvl w:ilvl="5">
      <w:start w:val="1"/>
      <w:numFmt w:val="decimal"/>
      <w:lvlText w:val="%6."/>
      <w:lvlJc w:val="start"/>
      <w:pPr>
        <w:tabs>
          <w:tab w:val="num" w:pos="2946"/>
        </w:tabs>
        <w:ind w:start="2946" w:hanging="360"/>
      </w:pPr>
      <w:rPr>
        <w:rFonts w:ascii="Times New Roman" w:hAnsi="Times New Roman"/>
        <w:b/>
        <w:bCs/>
        <w:sz w:val="20"/>
        <w:szCs w:val="20"/>
      </w:rPr>
    </w:lvl>
    <w:lvl w:ilvl="6">
      <w:start w:val="1"/>
      <w:numFmt w:val="decimal"/>
      <w:lvlText w:val="%7."/>
      <w:lvlJc w:val="start"/>
      <w:pPr>
        <w:tabs>
          <w:tab w:val="num" w:pos="3306"/>
        </w:tabs>
        <w:ind w:start="3306" w:hanging="360"/>
      </w:pPr>
      <w:rPr>
        <w:rFonts w:ascii="Times New Roman" w:hAnsi="Times New Roman"/>
        <w:b/>
        <w:bCs/>
        <w:sz w:val="20"/>
        <w:szCs w:val="20"/>
      </w:rPr>
    </w:lvl>
    <w:lvl w:ilvl="7">
      <w:start w:val="1"/>
      <w:numFmt w:val="decimal"/>
      <w:lvlText w:val="%8."/>
      <w:lvlJc w:val="start"/>
      <w:pPr>
        <w:tabs>
          <w:tab w:val="num" w:pos="3666"/>
        </w:tabs>
        <w:ind w:start="3666" w:hanging="360"/>
      </w:pPr>
      <w:rPr>
        <w:rFonts w:ascii="Times New Roman" w:hAnsi="Times New Roman"/>
        <w:b/>
        <w:bCs/>
        <w:sz w:val="20"/>
        <w:szCs w:val="20"/>
      </w:rPr>
    </w:lvl>
    <w:lvl w:ilvl="8">
      <w:start w:val="1"/>
      <w:numFmt w:val="decimal"/>
      <w:lvlText w:val="%9."/>
      <w:lvlJc w:val="start"/>
      <w:pPr>
        <w:tabs>
          <w:tab w:val="num" w:pos="4026"/>
        </w:tabs>
        <w:ind w:start="4026" w:hanging="360"/>
      </w:pPr>
      <w:rPr>
        <w:rFonts w:ascii="Times New Roman" w:hAnsi="Times New Roman"/>
        <w:b/>
        <w:bCs/>
        <w:sz w:val="20"/>
        <w:szCs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 Unicode M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tLeast" w:line="240" w:before="120" w:after="0"/>
      <w:ind w:hanging="0" w:start="426" w:end="0"/>
      <w:jc w:val="both"/>
    </w:pPr>
    <w:rPr>
      <w:rFonts w:ascii="Liberation Serif" w:hAnsi="Liberation Serif" w:eastAsia="NSimSun" w:cs="Arial Unicode MS"/>
      <w:color w:val="auto"/>
      <w:kern w:val="2"/>
      <w:sz w:val="24"/>
      <w:szCs w:val="24"/>
      <w:lang w:val="sk-SK" w:eastAsia="zh-CN" w:bidi="hi-IN"/>
    </w:rPr>
  </w:style>
  <w:style w:type="paragraph" w:styleId="Heading1">
    <w:name w:val="heading 1"/>
    <w:basedOn w:val="Nadpis"/>
    <w:qFormat/>
    <w:pPr>
      <w:numPr>
        <w:ilvl w:val="0"/>
        <w:numId w:val="1"/>
      </w:numPr>
      <w:outlineLvl w:val="0"/>
    </w:pPr>
    <w:rPr>
      <w:b/>
    </w:rPr>
  </w:style>
  <w:style w:type="paragraph" w:styleId="Heading2">
    <w:name w:val="heading 2"/>
    <w:basedOn w:val="Nadpis"/>
    <w:qFormat/>
    <w:pPr/>
    <w:rPr>
      <w:b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 w:cs="Cambria"/>
      <w:b/>
      <w:kern w:val="2"/>
      <w:sz w:val="32"/>
    </w:rPr>
  </w:style>
  <w:style w:type="character" w:styleId="Nadpis2Char">
    <w:name w:val="Nadpis 2 Char"/>
    <w:basedOn w:val="DefaultParagraphFont"/>
    <w:qFormat/>
    <w:rPr>
      <w:rFonts w:ascii="Cambria" w:hAnsi="Cambria" w:cs="Cambria"/>
      <w:b/>
      <w:i/>
      <w:sz w:val="28"/>
    </w:rPr>
  </w:style>
  <w:style w:type="character" w:styleId="ZkladntextChar">
    <w:name w:val="Základný text Char"/>
    <w:basedOn w:val="DefaultParagraphFont"/>
    <w:qFormat/>
    <w:rPr>
      <w:sz w:val="18"/>
    </w:rPr>
  </w:style>
  <w:style w:type="character" w:styleId="Symbolypreslovanie">
    <w:name w:val="Symboly pre číslovanie"/>
    <w:qFormat/>
    <w:rPr>
      <w:rFonts w:ascii="Times New Roman" w:hAnsi="Times New Roman"/>
      <w:b/>
      <w:bCs/>
      <w:sz w:val="20"/>
      <w:szCs w:val="20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 Unicode MS"/>
    </w:rPr>
  </w:style>
  <w:style w:type="paragraph" w:styleId="NormalTable">
    <w:name w:val="Normal Table"/>
    <w:qFormat/>
    <w:pPr>
      <w:widowControl/>
      <w:suppressAutoHyphens w:val="true"/>
      <w:kinsoku w:val="true"/>
      <w:overflowPunct w:val="true"/>
      <w:autoSpaceDE w:val="true"/>
      <w:bidi w:val="0"/>
      <w:jc w:val="start"/>
      <w:textAlignment w:val="auto"/>
    </w:pPr>
    <w:rPr>
      <w:rFonts w:ascii="Times New Roman" w:hAnsi="Times New Roman" w:eastAsia="Cambria" w:cs="Times New Roman"/>
      <w:color w:val="auto"/>
      <w:kern w:val="2"/>
      <w:sz w:val="20"/>
      <w:szCs w:val="20"/>
      <w:lang w:val="sk-SK" w:eastAsia="sk-SK" w:bidi="ar-SA"/>
    </w:rPr>
  </w:style>
  <w:style w:type="paragraph" w:styleId="Tabulka">
    <w:name w:val="Tabulka"/>
    <w:basedOn w:val="Normal"/>
    <w:qFormat/>
    <w:pPr/>
    <w:rPr>
      <w:color w:val="000000"/>
      <w:sz w:val="18"/>
    </w:rPr>
  </w:style>
  <w:style w:type="paragraph" w:styleId="Pismenka">
    <w:name w:val="Pismenka"/>
    <w:basedOn w:val="BodyText"/>
    <w:qFormat/>
    <w:pPr>
      <w:tabs>
        <w:tab w:val="clear" w:pos="708"/>
        <w:tab w:val="left" w:pos="426" w:leader="none"/>
      </w:tabs>
      <w:ind w:hanging="426" w:start="426" w:end="0"/>
      <w:jc w:val="both"/>
    </w:pPr>
    <w:rPr>
      <w:b/>
      <w:sz w:val="18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Hlavikaapta">
    <w:name w:val="Hlavička a pät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Hlavikaapta"/>
    <w:pPr>
      <w:suppressLineNumbers/>
    </w:pPr>
    <w:rPr/>
  </w:style>
  <w:style w:type="paragraph" w:styleId="Footer">
    <w:name w:val="footer"/>
    <w:basedOn w:val="Hlavikaapta"/>
    <w:pPr>
      <w:suppressLineNumbers/>
    </w:pPr>
    <w:rPr/>
  </w:style>
  <w:style w:type="numbering" w:styleId="slovanie123">
    <w:name w:val="Číslovanie 123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package" Target="embeddings/oleObject2.xlsx"/><Relationship Id="rId5" Type="http://schemas.openxmlformats.org/officeDocument/2006/relationships/image" Target="media/image2.emf"/><Relationship Id="rId6" Type="http://schemas.openxmlformats.org/officeDocument/2006/relationships/package" Target="embeddings/oleObject3.xlsx"/><Relationship Id="rId7" Type="http://schemas.openxmlformats.org/officeDocument/2006/relationships/image" Target="media/image3.emf"/><Relationship Id="rId8" Type="http://schemas.openxmlformats.org/officeDocument/2006/relationships/package" Target="embeddings/oleObject4.xlsx"/><Relationship Id="rId9" Type="http://schemas.openxmlformats.org/officeDocument/2006/relationships/image" Target="media/image4.emf"/><Relationship Id="rId10" Type="http://schemas.openxmlformats.org/officeDocument/2006/relationships/package" Target="embeddings/oleObject5.xlsx"/><Relationship Id="rId11" Type="http://schemas.openxmlformats.org/officeDocument/2006/relationships/image" Target="media/image5.emf"/><Relationship Id="rId12" Type="http://schemas.openxmlformats.org/officeDocument/2006/relationships/package" Target="embeddings/oleObject6.xlsx"/><Relationship Id="rId13" Type="http://schemas.openxmlformats.org/officeDocument/2006/relationships/image" Target="media/image6.emf"/><Relationship Id="rId14" Type="http://schemas.openxmlformats.org/officeDocument/2006/relationships/package" Target="embeddings/oleObject7.xlsx"/><Relationship Id="rId15" Type="http://schemas.openxmlformats.org/officeDocument/2006/relationships/image" Target="media/image7.emf"/><Relationship Id="rId16" Type="http://schemas.openxmlformats.org/officeDocument/2006/relationships/package" Target="embeddings/oleObject8.xlsx"/><Relationship Id="rId17" Type="http://schemas.openxmlformats.org/officeDocument/2006/relationships/image" Target="media/image8.emf"/><Relationship Id="rId18" Type="http://schemas.openxmlformats.org/officeDocument/2006/relationships/package" Target="embeddings/oleObject9.xlsx"/><Relationship Id="rId19" Type="http://schemas.openxmlformats.org/officeDocument/2006/relationships/image" Target="media/image9.emf"/><Relationship Id="rId20" Type="http://schemas.openxmlformats.org/officeDocument/2006/relationships/package" Target="embeddings/oleObject10.xlsx"/><Relationship Id="rId21" Type="http://schemas.openxmlformats.org/officeDocument/2006/relationships/image" Target="media/image10.emf"/><Relationship Id="rId22" Type="http://schemas.openxmlformats.org/officeDocument/2006/relationships/package" Target="embeddings/oleObject11.xlsx"/><Relationship Id="rId23" Type="http://schemas.openxmlformats.org/officeDocument/2006/relationships/image" Target="media/image11.emf"/><Relationship Id="rId24" Type="http://schemas.openxmlformats.org/officeDocument/2006/relationships/package" Target="embeddings/oleObject12.xlsx"/><Relationship Id="rId25" Type="http://schemas.openxmlformats.org/officeDocument/2006/relationships/image" Target="media/image12.emf"/><Relationship Id="rId26" Type="http://schemas.openxmlformats.org/officeDocument/2006/relationships/package" Target="embeddings/oleObject13.xlsx"/><Relationship Id="rId27" Type="http://schemas.openxmlformats.org/officeDocument/2006/relationships/image" Target="media/image13.emf"/><Relationship Id="rId28" Type="http://schemas.openxmlformats.org/officeDocument/2006/relationships/package" Target="embeddings/oleObject14.xlsx"/><Relationship Id="rId29" Type="http://schemas.openxmlformats.org/officeDocument/2006/relationships/image" Target="media/image14.emf"/><Relationship Id="rId30" Type="http://schemas.openxmlformats.org/officeDocument/2006/relationships/package" Target="embeddings/oleObject15.xlsx"/><Relationship Id="rId31" Type="http://schemas.openxmlformats.org/officeDocument/2006/relationships/image" Target="media/image15.emf"/><Relationship Id="rId32" Type="http://schemas.openxmlformats.org/officeDocument/2006/relationships/package" Target="embeddings/oleObject16.xlsx"/><Relationship Id="rId33" Type="http://schemas.openxmlformats.org/officeDocument/2006/relationships/image" Target="media/image16.emf"/><Relationship Id="rId34" Type="http://schemas.openxmlformats.org/officeDocument/2006/relationships/package" Target="embeddings/oleObject17.xlsx"/><Relationship Id="rId35" Type="http://schemas.openxmlformats.org/officeDocument/2006/relationships/image" Target="media/image17.emf"/><Relationship Id="rId36" Type="http://schemas.openxmlformats.org/officeDocument/2006/relationships/package" Target="embeddings/oleObject18.xlsx"/><Relationship Id="rId37" Type="http://schemas.openxmlformats.org/officeDocument/2006/relationships/image" Target="media/image18.emf"/><Relationship Id="rId38" Type="http://schemas.openxmlformats.org/officeDocument/2006/relationships/package" Target="embeddings/oleObject19.xlsx"/><Relationship Id="rId39" Type="http://schemas.openxmlformats.org/officeDocument/2006/relationships/image" Target="media/image19.emf"/><Relationship Id="rId40" Type="http://schemas.openxmlformats.org/officeDocument/2006/relationships/package" Target="embeddings/oleObject20.xlsx"/><Relationship Id="rId41" Type="http://schemas.openxmlformats.org/officeDocument/2006/relationships/image" Target="media/image20.emf"/><Relationship Id="rId42" Type="http://schemas.openxmlformats.org/officeDocument/2006/relationships/package" Target="embeddings/oleObject21.xlsx"/><Relationship Id="rId43" Type="http://schemas.openxmlformats.org/officeDocument/2006/relationships/image" Target="media/image21.emf"/><Relationship Id="rId44" Type="http://schemas.openxmlformats.org/officeDocument/2006/relationships/package" Target="embeddings/oleObject22.xlsx"/><Relationship Id="rId45" Type="http://schemas.openxmlformats.org/officeDocument/2006/relationships/image" Target="media/image22.emf"/><Relationship Id="rId46" Type="http://schemas.openxmlformats.org/officeDocument/2006/relationships/package" Target="embeddings/oleObject23.xlsx"/><Relationship Id="rId47" Type="http://schemas.openxmlformats.org/officeDocument/2006/relationships/image" Target="media/image23.emf"/><Relationship Id="rId48" Type="http://schemas.openxmlformats.org/officeDocument/2006/relationships/package" Target="embeddings/oleObject24.xlsx"/><Relationship Id="rId49" Type="http://schemas.openxmlformats.org/officeDocument/2006/relationships/image" Target="media/image24.emf"/><Relationship Id="rId50" Type="http://schemas.openxmlformats.org/officeDocument/2006/relationships/package" Target="embeddings/oleObject25.xlsx"/><Relationship Id="rId51" Type="http://schemas.openxmlformats.org/officeDocument/2006/relationships/image" Target="media/image25.emf"/><Relationship Id="rId52" Type="http://schemas.openxmlformats.org/officeDocument/2006/relationships/package" Target="embeddings/oleObject26.xlsx"/><Relationship Id="rId53" Type="http://schemas.openxmlformats.org/officeDocument/2006/relationships/image" Target="media/image26.emf"/><Relationship Id="rId54" Type="http://schemas.openxmlformats.org/officeDocument/2006/relationships/package" Target="embeddings/oleObject27.xlsx"/><Relationship Id="rId55" Type="http://schemas.openxmlformats.org/officeDocument/2006/relationships/image" Target="media/image27.emf"/><Relationship Id="rId56" Type="http://schemas.openxmlformats.org/officeDocument/2006/relationships/package" Target="embeddings/oleObject28.xlsx"/><Relationship Id="rId57" Type="http://schemas.openxmlformats.org/officeDocument/2006/relationships/image" Target="media/image28.emf"/><Relationship Id="rId58" Type="http://schemas.openxmlformats.org/officeDocument/2006/relationships/package" Target="embeddings/oleObject29.xlsx"/><Relationship Id="rId59" Type="http://schemas.openxmlformats.org/officeDocument/2006/relationships/image" Target="media/image29.emf"/><Relationship Id="rId60" Type="http://schemas.openxmlformats.org/officeDocument/2006/relationships/package" Target="embeddings/oleObject30.xlsx"/><Relationship Id="rId61" Type="http://schemas.openxmlformats.org/officeDocument/2006/relationships/image" Target="media/image30.emf"/><Relationship Id="rId62" Type="http://schemas.openxmlformats.org/officeDocument/2006/relationships/package" Target="embeddings/oleObject31.xlsx"/><Relationship Id="rId63" Type="http://schemas.openxmlformats.org/officeDocument/2006/relationships/image" Target="media/image31.emf"/><Relationship Id="rId64" Type="http://schemas.openxmlformats.org/officeDocument/2006/relationships/package" Target="embeddings/oleObject32.xlsx"/><Relationship Id="rId65" Type="http://schemas.openxmlformats.org/officeDocument/2006/relationships/image" Target="media/image32.emf"/><Relationship Id="rId66" Type="http://schemas.openxmlformats.org/officeDocument/2006/relationships/package" Target="embeddings/oleObject33.xlsx"/><Relationship Id="rId67" Type="http://schemas.openxmlformats.org/officeDocument/2006/relationships/image" Target="media/image33.emf"/><Relationship Id="rId68" Type="http://schemas.openxmlformats.org/officeDocument/2006/relationships/package" Target="embeddings/oleObject34.xlsx"/><Relationship Id="rId69" Type="http://schemas.openxmlformats.org/officeDocument/2006/relationships/image" Target="media/image34.emf"/><Relationship Id="rId70" Type="http://schemas.openxmlformats.org/officeDocument/2006/relationships/package" Target="embeddings/oleObject35.xlsx"/><Relationship Id="rId71" Type="http://schemas.openxmlformats.org/officeDocument/2006/relationships/image" Target="media/image35.emf"/><Relationship Id="rId72" Type="http://schemas.openxmlformats.org/officeDocument/2006/relationships/package" Target="embeddings/oleObject36.xlsx"/><Relationship Id="rId73" Type="http://schemas.openxmlformats.org/officeDocument/2006/relationships/image" Target="media/image36.emf"/><Relationship Id="rId74" Type="http://schemas.openxmlformats.org/officeDocument/2006/relationships/package" Target="embeddings/oleObject37.xlsx"/><Relationship Id="rId75" Type="http://schemas.openxmlformats.org/officeDocument/2006/relationships/image" Target="media/image37.emf"/><Relationship Id="rId76" Type="http://schemas.openxmlformats.org/officeDocument/2006/relationships/package" Target="embeddings/oleObject38.xlsx"/><Relationship Id="rId77" Type="http://schemas.openxmlformats.org/officeDocument/2006/relationships/image" Target="media/image38.emf"/><Relationship Id="rId78" Type="http://schemas.openxmlformats.org/officeDocument/2006/relationships/package" Target="embeddings/oleObject39.xlsx"/><Relationship Id="rId79" Type="http://schemas.openxmlformats.org/officeDocument/2006/relationships/image" Target="media/image39.emf"/><Relationship Id="rId80" Type="http://schemas.openxmlformats.org/officeDocument/2006/relationships/package" Target="embeddings/oleObject40.xlsx"/><Relationship Id="rId81" Type="http://schemas.openxmlformats.org/officeDocument/2006/relationships/image" Target="media/image40.emf"/><Relationship Id="rId82" Type="http://schemas.openxmlformats.org/officeDocument/2006/relationships/package" Target="embeddings/oleObject41.xlsx"/><Relationship Id="rId83" Type="http://schemas.openxmlformats.org/officeDocument/2006/relationships/image" Target="media/image41.emf"/><Relationship Id="rId84" Type="http://schemas.openxmlformats.org/officeDocument/2006/relationships/package" Target="embeddings/oleObject42.xlsx"/><Relationship Id="rId85" Type="http://schemas.openxmlformats.org/officeDocument/2006/relationships/image" Target="media/image42.emf"/><Relationship Id="rId86" Type="http://schemas.openxmlformats.org/officeDocument/2006/relationships/package" Target="embeddings/oleObject43.xlsx"/><Relationship Id="rId87" Type="http://schemas.openxmlformats.org/officeDocument/2006/relationships/image" Target="media/image43.emf"/><Relationship Id="rId88" Type="http://schemas.openxmlformats.org/officeDocument/2006/relationships/package" Target="embeddings/oleObject44.xlsx"/><Relationship Id="rId89" Type="http://schemas.openxmlformats.org/officeDocument/2006/relationships/image" Target="media/image44.emf"/><Relationship Id="rId90" Type="http://schemas.openxmlformats.org/officeDocument/2006/relationships/header" Target="header1.xml"/><Relationship Id="rId91" Type="http://schemas.openxmlformats.org/officeDocument/2006/relationships/footer" Target="footer1.xml"/><Relationship Id="rId92" Type="http://schemas.openxmlformats.org/officeDocument/2006/relationships/numbering" Target="numbering.xml"/><Relationship Id="rId93" Type="http://schemas.openxmlformats.org/officeDocument/2006/relationships/fontTable" Target="fontTable.xml"/><Relationship Id="rId94" Type="http://schemas.openxmlformats.org/officeDocument/2006/relationships/settings" Target="settings.xml"/><Relationship Id="rId9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661</TotalTime>
  <Application>LibreOffice/25.8.5.2$Windows_X86_64 LibreOffice_project/9c8b85f387cc00a89945a79c9e6239f32e450ac2</Application>
  <AppVersion>15.0000</AppVersion>
  <Pages>30</Pages>
  <Words>3554</Words>
  <Characters>21302</Characters>
  <CharactersWithSpaces>24582</CharactersWithSpaces>
  <Paragraphs>336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2021-03-08T08:35:46Z</dcterms:created>
  <dc:creator/>
  <dc:description/>
  <dc:language>sk-SK</dc:language>
  <cp:lastModifiedBy/>
  <cp:lastPrinted>2026-03-16T12:46:59Z</cp:lastPrinted>
  <dcterms:modified xsi:type="dcterms:W3CDTF">2026-03-16T12:47:27Z</dcterms:modified>
  <cp:revision>80</cp:revision>
  <dc:subject/>
  <dc:title/>
</cp:coreProperties>
</file>