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93B8E" w14:textId="77777777" w:rsidR="002E7D37" w:rsidRDefault="002E7D37" w:rsidP="002E7D37">
      <w:pPr>
        <w:pStyle w:val="Normlnywebov"/>
        <w:rPr>
          <w:rStyle w:val="Vrazn"/>
          <w:rFonts w:ascii="Arial" w:hAnsi="Arial" w:cs="Arial"/>
        </w:rPr>
      </w:pPr>
      <w:r>
        <w:rPr>
          <w:rStyle w:val="Vrazn"/>
          <w:rFonts w:ascii="Arial" w:hAnsi="Arial" w:cs="Arial"/>
        </w:rPr>
        <w:t xml:space="preserve">Poznámky </w:t>
      </w:r>
      <w:proofErr w:type="spellStart"/>
      <w:r>
        <w:rPr>
          <w:rStyle w:val="Vrazn"/>
          <w:rFonts w:ascii="Arial" w:hAnsi="Arial" w:cs="Arial"/>
        </w:rPr>
        <w:t>Úč</w:t>
      </w:r>
      <w:proofErr w:type="spellEnd"/>
      <w:r>
        <w:rPr>
          <w:rStyle w:val="Vrazn"/>
          <w:rFonts w:ascii="Arial" w:hAnsi="Arial" w:cs="Arial"/>
        </w:rPr>
        <w:t xml:space="preserve"> PODV 3- 01</w:t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  <w:t>DIČ: 2022706521</w:t>
      </w:r>
      <w:r>
        <w:rPr>
          <w:rFonts w:ascii="Arial" w:hAnsi="Arial" w:cs="Arial"/>
          <w:b/>
          <w:bCs/>
        </w:rPr>
        <w:br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</w:r>
      <w:r>
        <w:rPr>
          <w:rStyle w:val="Vrazn"/>
          <w:rFonts w:ascii="Arial" w:hAnsi="Arial" w:cs="Arial"/>
        </w:rPr>
        <w:tab/>
        <w:t>IČO: 44452675</w:t>
      </w:r>
    </w:p>
    <w:p w14:paraId="418E9AFD" w14:textId="77777777" w:rsidR="002E7D37" w:rsidRDefault="002E7D37" w:rsidP="002E7D37">
      <w:pPr>
        <w:pStyle w:val="Normlnywebov"/>
        <w:rPr>
          <w:rStyle w:val="Vrazn"/>
          <w:rFonts w:ascii="Arial" w:hAnsi="Arial" w:cs="Arial"/>
        </w:rPr>
      </w:pPr>
    </w:p>
    <w:p w14:paraId="16DCC50A" w14:textId="77777777" w:rsidR="002E7D37" w:rsidRDefault="002E7D37" w:rsidP="002E7D37">
      <w:pPr>
        <w:pStyle w:val="Normlnywebov"/>
        <w:jc w:val="center"/>
        <w:rPr>
          <w:rStyle w:val="Vrazn"/>
          <w:rFonts w:ascii="Arial" w:hAnsi="Arial" w:cs="Arial"/>
          <w:sz w:val="36"/>
          <w:szCs w:val="36"/>
        </w:rPr>
      </w:pPr>
      <w:proofErr w:type="spellStart"/>
      <w:r>
        <w:rPr>
          <w:rStyle w:val="Vrazn"/>
          <w:rFonts w:ascii="Arial" w:hAnsi="Arial" w:cs="Arial"/>
          <w:sz w:val="36"/>
          <w:szCs w:val="36"/>
        </w:rPr>
        <w:t>Čl.I</w:t>
      </w:r>
      <w:proofErr w:type="spellEnd"/>
      <w:r>
        <w:rPr>
          <w:rStyle w:val="Vrazn"/>
          <w:rFonts w:ascii="Arial" w:hAnsi="Arial" w:cs="Arial"/>
          <w:sz w:val="36"/>
          <w:szCs w:val="36"/>
        </w:rPr>
        <w:t xml:space="preserve"> Všeobecné informácie o účtovnej jednotke</w:t>
      </w:r>
    </w:p>
    <w:p w14:paraId="2E7FBE0A" w14:textId="77777777" w:rsidR="002E7D37" w:rsidRDefault="002E7D37" w:rsidP="002E7D37">
      <w:pPr>
        <w:pStyle w:val="Normlnywebov"/>
        <w:jc w:val="center"/>
        <w:rPr>
          <w:rStyle w:val="Vrazn"/>
          <w:rFonts w:ascii="Arial" w:hAnsi="Arial" w:cs="Arial"/>
          <w:sz w:val="36"/>
          <w:szCs w:val="36"/>
        </w:rPr>
      </w:pPr>
    </w:p>
    <w:p w14:paraId="75AA6251" w14:textId="77777777" w:rsidR="002E7D37" w:rsidRDefault="002E7D37" w:rsidP="002E7D37">
      <w:pPr>
        <w:pStyle w:val="Bezriadkovania"/>
        <w:rPr>
          <w:rStyle w:val="Vrazn"/>
          <w:rFonts w:cs="Arial"/>
          <w:sz w:val="24"/>
        </w:rPr>
      </w:pPr>
      <w:r>
        <w:rPr>
          <w:rStyle w:val="Vrazn"/>
          <w:rFonts w:cs="Arial"/>
          <w:sz w:val="24"/>
        </w:rPr>
        <w:t>Obchodné meno a sídlo: ESO9 Slovakia s.r.o., Kollárova 15, 010 01 Žilina</w:t>
      </w:r>
    </w:p>
    <w:p w14:paraId="248AB1B7" w14:textId="77777777" w:rsidR="002E7D37" w:rsidRDefault="002E7D37" w:rsidP="002E7D37">
      <w:pPr>
        <w:pStyle w:val="Bezriadkovania"/>
        <w:rPr>
          <w:rStyle w:val="Vrazn"/>
          <w:rFonts w:cs="Arial"/>
          <w:b w:val="0"/>
          <w:sz w:val="24"/>
        </w:rPr>
      </w:pPr>
      <w:r>
        <w:rPr>
          <w:rStyle w:val="Vrazn"/>
          <w:rFonts w:cs="Arial"/>
          <w:sz w:val="24"/>
        </w:rPr>
        <w:t>Dátum založenia:</w:t>
      </w:r>
      <w:r>
        <w:rPr>
          <w:rStyle w:val="Vrazn"/>
          <w:rFonts w:cs="Arial"/>
          <w:b w:val="0"/>
          <w:sz w:val="24"/>
        </w:rPr>
        <w:t xml:space="preserve"> 7.10.2008</w:t>
      </w:r>
    </w:p>
    <w:p w14:paraId="77D08FB8" w14:textId="77777777" w:rsidR="002E7D37" w:rsidRDefault="002E7D37" w:rsidP="002E7D37">
      <w:pPr>
        <w:pStyle w:val="Bezriadkovania"/>
        <w:rPr>
          <w:rStyle w:val="Vrazn"/>
          <w:rFonts w:cs="Arial"/>
          <w:b w:val="0"/>
          <w:sz w:val="24"/>
        </w:rPr>
      </w:pPr>
      <w:r>
        <w:rPr>
          <w:rStyle w:val="Vrazn"/>
          <w:rFonts w:cs="Arial"/>
          <w:sz w:val="24"/>
        </w:rPr>
        <w:t xml:space="preserve">Dátum vzniku: </w:t>
      </w:r>
      <w:r>
        <w:rPr>
          <w:rStyle w:val="Vrazn"/>
          <w:rFonts w:cs="Arial"/>
          <w:b w:val="0"/>
          <w:sz w:val="24"/>
        </w:rPr>
        <w:t>16.10.2008</w:t>
      </w:r>
    </w:p>
    <w:p w14:paraId="172688AC" w14:textId="77777777" w:rsidR="002E7D37" w:rsidRDefault="002E7D37" w:rsidP="002E7D37">
      <w:pPr>
        <w:pStyle w:val="Bezriadkovania"/>
      </w:pPr>
    </w:p>
    <w:p w14:paraId="3C55E7A8" w14:textId="77777777" w:rsidR="002E7D37" w:rsidRDefault="002E7D37" w:rsidP="002E7D37">
      <w:pPr>
        <w:pStyle w:val="Bezriadkovania"/>
        <w:rPr>
          <w:rFonts w:cs="Arial"/>
        </w:rPr>
      </w:pPr>
    </w:p>
    <w:p w14:paraId="46A4E236" w14:textId="77777777" w:rsidR="002E7D37" w:rsidRDefault="002E7D37" w:rsidP="002E7D37">
      <w:pPr>
        <w:pStyle w:val="Bezriadkovania"/>
        <w:rPr>
          <w:rFonts w:cs="Arial"/>
          <w:sz w:val="24"/>
        </w:rPr>
      </w:pPr>
    </w:p>
    <w:tbl>
      <w:tblPr>
        <w:tblW w:w="5000" w:type="pct"/>
        <w:tblCellSpacing w:w="0" w:type="dxa"/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2E7D37" w14:paraId="5CCCA4D0" w14:textId="77777777" w:rsidTr="009642FA">
        <w:trPr>
          <w:tblCellSpacing w:w="0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8704B7" w14:textId="77777777" w:rsidR="002E7D37" w:rsidRDefault="002E7D37" w:rsidP="009642FA">
            <w:pPr>
              <w:spacing w:line="256" w:lineRule="auto"/>
              <w:jc w:val="center"/>
              <w:rPr>
                <w:rStyle w:val="Vrazn"/>
                <w:rFonts w:ascii="Arial" w:hAnsi="Arial"/>
                <w:szCs w:val="24"/>
              </w:rPr>
            </w:pPr>
            <w:proofErr w:type="spellStart"/>
            <w:r>
              <w:rPr>
                <w:rStyle w:val="Vrazn"/>
                <w:rFonts w:ascii="Arial" w:hAnsi="Arial" w:cs="Arial"/>
                <w:sz w:val="24"/>
                <w:szCs w:val="24"/>
              </w:rPr>
              <w:t>Čl.I</w:t>
            </w:r>
            <w:proofErr w:type="spellEnd"/>
            <w:r>
              <w:rPr>
                <w:rStyle w:val="Vrazn"/>
                <w:rFonts w:ascii="Arial" w:hAnsi="Arial" w:cs="Arial"/>
                <w:sz w:val="24"/>
                <w:szCs w:val="24"/>
              </w:rPr>
              <w:t>. 1) Opis hospodárskej činnosti účtovnej jednotky:</w:t>
            </w:r>
          </w:p>
        </w:tc>
      </w:tr>
      <w:tr w:rsidR="002E7D37" w14:paraId="4EC50502" w14:textId="77777777" w:rsidTr="009642FA">
        <w:trPr>
          <w:tblCellSpacing w:w="0" w:type="dxa"/>
        </w:trPr>
        <w:tc>
          <w:tcPr>
            <w:tcW w:w="5000" w:type="pct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DBB294" w14:textId="77777777" w:rsidR="002E7D37" w:rsidRDefault="002E7D37" w:rsidP="009642FA">
            <w:pPr>
              <w:spacing w:line="256" w:lineRule="auto"/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sz w:val="15"/>
                <w:szCs w:val="15"/>
              </w:rPr>
              <w:t>-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služby súvisiace s počítačovým spracovaním údajov </w:t>
            </w:r>
          </w:p>
          <w:p w14:paraId="545EAAA3" w14:textId="77777777" w:rsidR="002E7D37" w:rsidRDefault="002E7D37" w:rsidP="009642FA">
            <w:pPr>
              <w:spacing w:line="256" w:lineRule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-počítačové služby , programátorské práce</w:t>
            </w:r>
          </w:p>
        </w:tc>
      </w:tr>
      <w:tr w:rsidR="002E7D37" w14:paraId="6ACFA8C5" w14:textId="77777777" w:rsidTr="009642FA">
        <w:trPr>
          <w:tblCellSpacing w:w="0" w:type="dxa"/>
        </w:trPr>
        <w:tc>
          <w:tcPr>
            <w:tcW w:w="5000" w:type="pct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DF6BD" w14:textId="77777777" w:rsidR="002E7D37" w:rsidRDefault="002E7D37" w:rsidP="009642FA">
            <w:pPr>
              <w:spacing w:line="256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E7D37" w14:paraId="48AAC726" w14:textId="77777777" w:rsidTr="009642FA">
        <w:trPr>
          <w:tblCellSpacing w:w="0" w:type="dxa"/>
        </w:trPr>
        <w:tc>
          <w:tcPr>
            <w:tcW w:w="5000" w:type="pct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8A6E00" w14:textId="77777777" w:rsidR="002E7D37" w:rsidRDefault="002E7D37" w:rsidP="009642FA">
            <w:pPr>
              <w:spacing w:line="256" w:lineRule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Style w:val="Vrazn"/>
                <w:rFonts w:asciiTheme="minorHAnsi" w:hAnsiTheme="minorHAnsi" w:cs="Arial"/>
                <w:sz w:val="24"/>
                <w:szCs w:val="24"/>
              </w:rPr>
              <w:t>1. Informácie o počte zamestnancov</w:t>
            </w:r>
          </w:p>
        </w:tc>
      </w:tr>
      <w:tr w:rsidR="002E7D37" w14:paraId="3AE5E76C" w14:textId="77777777" w:rsidTr="009642FA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6CBC7" w14:textId="77777777" w:rsidR="002E7D37" w:rsidRDefault="002E7D37" w:rsidP="009642FA">
            <w:pPr>
              <w:spacing w:line="25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Vrazn"/>
                <w:rFonts w:asciiTheme="minorHAnsi" w:hAnsiTheme="minorHAnsi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47C5D" w14:textId="77777777" w:rsidR="002E7D37" w:rsidRDefault="002E7D37" w:rsidP="009642FA">
            <w:pPr>
              <w:spacing w:line="25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Vrazn"/>
                <w:rFonts w:asciiTheme="minorHAnsi" w:hAnsiTheme="minorHAnsi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3EB48" w14:textId="77777777" w:rsidR="002E7D37" w:rsidRDefault="002E7D37" w:rsidP="009642FA">
            <w:pPr>
              <w:spacing w:line="25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Vrazn"/>
                <w:rFonts w:asciiTheme="minorHAnsi" w:hAnsiTheme="minorHAnsi"/>
                <w:szCs w:val="20"/>
              </w:rPr>
              <w:t>Bezprostredne predchádzajúce účtovné obdobie</w:t>
            </w:r>
          </w:p>
        </w:tc>
      </w:tr>
      <w:tr w:rsidR="002E7D37" w14:paraId="017BC218" w14:textId="77777777" w:rsidTr="009642FA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BF1E7" w14:textId="77777777" w:rsidR="002E7D37" w:rsidRDefault="002E7D37" w:rsidP="009642FA">
            <w:pPr>
              <w:spacing w:line="256" w:lineRule="auto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Priemerný prepočítaný počet zamestnancov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BF254" w14:textId="776C9906" w:rsidR="002E7D37" w:rsidRDefault="0083769B" w:rsidP="009642FA">
            <w:pPr>
              <w:spacing w:line="256" w:lineRule="auto"/>
              <w:jc w:val="righ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7,17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C37F6" w14:textId="46BF0AD6" w:rsidR="002E7D37" w:rsidRDefault="0083769B" w:rsidP="009642FA">
            <w:pPr>
              <w:spacing w:line="256" w:lineRule="auto"/>
              <w:jc w:val="righ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8,00</w:t>
            </w:r>
          </w:p>
        </w:tc>
      </w:tr>
      <w:tr w:rsidR="002E7D37" w14:paraId="730F8756" w14:textId="77777777" w:rsidTr="009642FA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1D183" w14:textId="77777777" w:rsidR="002E7D37" w:rsidRDefault="002E7D37" w:rsidP="009642FA">
            <w:pPr>
              <w:spacing w:line="256" w:lineRule="auto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5F4A50" w14:textId="5B21279B" w:rsidR="002E7D37" w:rsidRDefault="0083769B" w:rsidP="009642FA">
            <w:pPr>
              <w:spacing w:line="256" w:lineRule="auto"/>
              <w:jc w:val="righ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2951F" w14:textId="77777777" w:rsidR="002E7D37" w:rsidRDefault="00635702" w:rsidP="009642FA">
            <w:pPr>
              <w:spacing w:line="256" w:lineRule="auto"/>
              <w:jc w:val="righ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8</w:t>
            </w:r>
            <w:r w:rsidR="002E7D37">
              <w:rPr>
                <w:rFonts w:asciiTheme="minorHAnsi" w:hAnsiTheme="minorHAnsi"/>
                <w:szCs w:val="20"/>
              </w:rPr>
              <w:t>,00</w:t>
            </w:r>
          </w:p>
        </w:tc>
      </w:tr>
      <w:tr w:rsidR="002E7D37" w14:paraId="023DA36C" w14:textId="77777777" w:rsidTr="009642FA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7D1DC" w14:textId="77777777" w:rsidR="002E7D37" w:rsidRDefault="002E7D37" w:rsidP="009642FA">
            <w:pPr>
              <w:spacing w:line="256" w:lineRule="auto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ABE76" w14:textId="50CD3DBC" w:rsidR="002E7D37" w:rsidRDefault="0083769B" w:rsidP="009642FA">
            <w:pPr>
              <w:spacing w:line="256" w:lineRule="auto"/>
              <w:jc w:val="righ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1,17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99107" w14:textId="77777777" w:rsidR="002E7D37" w:rsidRDefault="002E7D37" w:rsidP="009642FA">
            <w:pPr>
              <w:spacing w:line="256" w:lineRule="auto"/>
              <w:jc w:val="righ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2,00</w:t>
            </w:r>
          </w:p>
        </w:tc>
      </w:tr>
      <w:tr w:rsidR="002E7D37" w14:paraId="1958E12C" w14:textId="77777777" w:rsidTr="009642FA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30CAD" w14:textId="77777777" w:rsidR="002E7D37" w:rsidRDefault="002E7D37" w:rsidP="009642FA">
            <w:pPr>
              <w:spacing w:line="256" w:lineRule="auto"/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A034C" w14:textId="77777777" w:rsidR="002E7D37" w:rsidRDefault="002E7D37" w:rsidP="009642FA">
            <w:pPr>
              <w:spacing w:line="256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D38CD" w14:textId="77777777" w:rsidR="002E7D37" w:rsidRDefault="002E7D37" w:rsidP="009642FA">
            <w:pPr>
              <w:spacing w:line="256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1C32084" w14:textId="77777777" w:rsidR="002E7D37" w:rsidRDefault="002E7D37" w:rsidP="002E7D37">
      <w:pPr>
        <w:pStyle w:val="Bezriadkovania"/>
      </w:pPr>
    </w:p>
    <w:p w14:paraId="35C31F07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Účtovná jednotka nie je neobmedzene ručiacim spoločníkom v iných účtovných jednotkách.</w:t>
      </w:r>
    </w:p>
    <w:p w14:paraId="198A166E" w14:textId="77777777" w:rsidR="002E7D37" w:rsidRDefault="002E7D37" w:rsidP="002E7D37">
      <w:pPr>
        <w:pStyle w:val="Bezriadkovania"/>
      </w:pPr>
    </w:p>
    <w:p w14:paraId="618B3DFE" w14:textId="77777777" w:rsidR="002E7D37" w:rsidRDefault="002E7D37" w:rsidP="002E7D37">
      <w:pPr>
        <w:pStyle w:val="Bezriadkovania"/>
      </w:pPr>
    </w:p>
    <w:p w14:paraId="35D636C7" w14:textId="77777777" w:rsidR="002E7D37" w:rsidRDefault="002E7D37" w:rsidP="002E7D37">
      <w:pPr>
        <w:rPr>
          <w:rFonts w:asciiTheme="minorHAnsi" w:hAnsiTheme="minorHAnsi"/>
          <w:vanish/>
          <w:sz w:val="24"/>
          <w:szCs w:val="24"/>
        </w:rPr>
      </w:pPr>
    </w:p>
    <w:p w14:paraId="760053A5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Účtovná závierka spoločnosti je zostavená ako riadna účtovná závierka podľa zákona č. 431/2002 </w:t>
      </w:r>
      <w:proofErr w:type="spellStart"/>
      <w:r>
        <w:rPr>
          <w:rFonts w:asciiTheme="minorHAnsi" w:hAnsiTheme="minorHAnsi"/>
          <w:sz w:val="24"/>
        </w:rPr>
        <w:t>Z,z</w:t>
      </w:r>
      <w:proofErr w:type="spellEnd"/>
      <w:r>
        <w:rPr>
          <w:rFonts w:asciiTheme="minorHAnsi" w:hAnsiTheme="minorHAnsi"/>
          <w:sz w:val="24"/>
        </w:rPr>
        <w:t>, o účtovníctve v znení neskorších predpisov za obdobie od 01.01.202</w:t>
      </w:r>
      <w:r w:rsidR="00635702">
        <w:rPr>
          <w:rFonts w:asciiTheme="minorHAnsi" w:hAnsiTheme="minorHAnsi"/>
          <w:sz w:val="24"/>
        </w:rPr>
        <w:t>4</w:t>
      </w:r>
      <w:r>
        <w:rPr>
          <w:rFonts w:asciiTheme="minorHAnsi" w:hAnsiTheme="minorHAnsi"/>
          <w:sz w:val="24"/>
        </w:rPr>
        <w:t xml:space="preserve"> do 31.12.202</w:t>
      </w:r>
      <w:r w:rsidR="00635702">
        <w:rPr>
          <w:rFonts w:asciiTheme="minorHAnsi" w:hAnsiTheme="minorHAnsi"/>
          <w:sz w:val="24"/>
        </w:rPr>
        <w:t>4</w:t>
      </w:r>
      <w:r>
        <w:rPr>
          <w:rFonts w:asciiTheme="minorHAnsi" w:hAnsiTheme="minorHAnsi"/>
          <w:sz w:val="24"/>
        </w:rPr>
        <w:t>.</w:t>
      </w:r>
    </w:p>
    <w:p w14:paraId="0595DB9A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</w:p>
    <w:p w14:paraId="611663C2" w14:textId="77777777" w:rsidR="002E7D37" w:rsidRDefault="002E7D37" w:rsidP="002E7D37">
      <w:pPr>
        <w:pStyle w:val="Bezriadkovania"/>
      </w:pPr>
    </w:p>
    <w:p w14:paraId="32FDE7E3" w14:textId="77777777" w:rsidR="002E7D37" w:rsidRDefault="002E7D37" w:rsidP="002E7D37">
      <w:pPr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2E7D37" w14:paraId="45350FCD" w14:textId="77777777" w:rsidTr="009642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B5C435" w14:textId="77777777" w:rsidR="002E7D37" w:rsidRDefault="002E7D37" w:rsidP="009642FA">
            <w:pPr>
              <w:spacing w:line="256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Vrazn"/>
                <w:rFonts w:asciiTheme="minorHAnsi" w:hAnsiTheme="minorHAnsi"/>
                <w:sz w:val="24"/>
                <w:szCs w:val="24"/>
              </w:rPr>
              <w:t>Dátum schválenia účtovnej závierky za predchádzajúce obdobie:</w:t>
            </w:r>
          </w:p>
        </w:tc>
      </w:tr>
      <w:tr w:rsidR="002E7D37" w14:paraId="2703CC56" w14:textId="77777777" w:rsidTr="009642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AC108E" w14:textId="77777777" w:rsidR="002E7D37" w:rsidRDefault="002E7D37" w:rsidP="009642FA">
            <w:pPr>
              <w:spacing w:line="256" w:lineRule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Účtovná závierka za rok 202</w:t>
            </w:r>
            <w:r w:rsidR="00635702">
              <w:rPr>
                <w:rFonts w:asciiTheme="minorHAnsi" w:hAnsiTheme="minorHAnsi" w:cs="Arial"/>
                <w:sz w:val="24"/>
                <w:szCs w:val="24"/>
              </w:rPr>
              <w:t>4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bola schválená valným zhromaždením dňa: </w:t>
            </w:r>
            <w:r w:rsidR="002C2F8C">
              <w:rPr>
                <w:rFonts w:asciiTheme="minorHAnsi" w:hAnsiTheme="minorHAnsi" w:cs="Arial"/>
                <w:sz w:val="24"/>
                <w:szCs w:val="24"/>
              </w:rPr>
              <w:t>31</w:t>
            </w:r>
            <w:r>
              <w:rPr>
                <w:rFonts w:asciiTheme="minorHAnsi" w:hAnsiTheme="minorHAnsi" w:cs="Arial"/>
                <w:sz w:val="24"/>
                <w:szCs w:val="24"/>
              </w:rPr>
              <w:t>.0</w:t>
            </w:r>
            <w:r w:rsidR="00635702">
              <w:rPr>
                <w:rFonts w:asciiTheme="minorHAnsi" w:hAnsiTheme="minorHAnsi" w:cs="Arial"/>
                <w:sz w:val="24"/>
                <w:szCs w:val="24"/>
              </w:rPr>
              <w:t>3</w:t>
            </w:r>
            <w:r>
              <w:rPr>
                <w:rFonts w:asciiTheme="minorHAnsi" w:hAnsiTheme="minorHAnsi" w:cs="Arial"/>
                <w:sz w:val="24"/>
                <w:szCs w:val="24"/>
              </w:rPr>
              <w:t>.202</w:t>
            </w:r>
            <w:r w:rsidR="00635702">
              <w:rPr>
                <w:rFonts w:asciiTheme="minorHAnsi" w:hAnsiTheme="minorHAnsi" w:cs="Arial"/>
                <w:sz w:val="24"/>
                <w:szCs w:val="24"/>
              </w:rPr>
              <w:t>4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</w:tr>
    </w:tbl>
    <w:p w14:paraId="57C2D449" w14:textId="77777777" w:rsidR="002E7D37" w:rsidRDefault="002E7D37" w:rsidP="002E7D37">
      <w:pPr>
        <w:rPr>
          <w:rStyle w:val="Vrazn"/>
          <w:rFonts w:asciiTheme="minorHAnsi" w:hAnsiTheme="minorHAnsi"/>
        </w:rPr>
      </w:pPr>
    </w:p>
    <w:p w14:paraId="6856D493" w14:textId="77777777" w:rsidR="002E7D37" w:rsidRDefault="002E7D37" w:rsidP="002E7D37">
      <w:pPr>
        <w:rPr>
          <w:rStyle w:val="Vrazn"/>
          <w:rFonts w:asciiTheme="minorHAnsi" w:hAnsiTheme="minorHAnsi"/>
        </w:rPr>
      </w:pPr>
    </w:p>
    <w:p w14:paraId="6626065C" w14:textId="77777777" w:rsidR="002E7D37" w:rsidRDefault="002E7D37" w:rsidP="002E7D37">
      <w:pPr>
        <w:pStyle w:val="Normlnywebov"/>
        <w:rPr>
          <w:rStyle w:val="Vrazn"/>
          <w:rFonts w:asciiTheme="minorHAnsi" w:hAnsiTheme="minorHAnsi"/>
        </w:rPr>
      </w:pPr>
      <w:r>
        <w:rPr>
          <w:rStyle w:val="Vrazn"/>
          <w:rFonts w:asciiTheme="minorHAnsi" w:hAnsiTheme="minorHAnsi"/>
        </w:rPr>
        <w:lastRenderedPageBreak/>
        <w:t xml:space="preserve">Poznámky </w:t>
      </w:r>
      <w:proofErr w:type="spellStart"/>
      <w:r>
        <w:rPr>
          <w:rStyle w:val="Vrazn"/>
          <w:rFonts w:asciiTheme="minorHAnsi" w:hAnsiTheme="minorHAnsi"/>
        </w:rPr>
        <w:t>Úč</w:t>
      </w:r>
      <w:proofErr w:type="spellEnd"/>
      <w:r>
        <w:rPr>
          <w:rStyle w:val="Vrazn"/>
          <w:rFonts w:asciiTheme="minorHAnsi" w:hAnsiTheme="minorHAnsi"/>
        </w:rPr>
        <w:t xml:space="preserve"> PODV 3- 01</w:t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  <w:t>DIČ: 2022706521</w:t>
      </w:r>
      <w:r>
        <w:rPr>
          <w:rFonts w:asciiTheme="minorHAnsi" w:hAnsiTheme="minorHAnsi"/>
          <w:b/>
          <w:bCs/>
        </w:rPr>
        <w:br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  <w:t>IČO: 44452675</w:t>
      </w:r>
    </w:p>
    <w:p w14:paraId="5BCED408" w14:textId="77777777" w:rsidR="002E7D37" w:rsidRDefault="002E7D37" w:rsidP="002E7D37">
      <w:pPr>
        <w:pStyle w:val="Normlnywebov"/>
        <w:jc w:val="center"/>
        <w:rPr>
          <w:rStyle w:val="Vrazn"/>
          <w:sz w:val="36"/>
          <w:szCs w:val="36"/>
        </w:rPr>
      </w:pPr>
    </w:p>
    <w:p w14:paraId="28A9243A" w14:textId="77777777" w:rsidR="002E7D37" w:rsidRDefault="002E7D37" w:rsidP="002E7D37">
      <w:pPr>
        <w:pStyle w:val="Normlnywebov"/>
        <w:jc w:val="center"/>
        <w:rPr>
          <w:rFonts w:asciiTheme="minorHAnsi" w:hAnsiTheme="minorHAnsi"/>
        </w:rPr>
      </w:pPr>
      <w:proofErr w:type="spellStart"/>
      <w:r>
        <w:rPr>
          <w:rStyle w:val="Vrazn"/>
          <w:rFonts w:asciiTheme="minorHAnsi" w:hAnsiTheme="minorHAnsi"/>
          <w:sz w:val="36"/>
          <w:szCs w:val="36"/>
        </w:rPr>
        <w:t>Čl.III</w:t>
      </w:r>
      <w:proofErr w:type="spellEnd"/>
      <w:r>
        <w:rPr>
          <w:rStyle w:val="Vrazn"/>
          <w:rFonts w:asciiTheme="minorHAnsi" w:hAnsiTheme="minorHAnsi"/>
          <w:sz w:val="36"/>
          <w:szCs w:val="36"/>
        </w:rPr>
        <w:t xml:space="preserve"> Informácie a účtovných zásadách a účtovných metódach</w:t>
      </w:r>
      <w:r>
        <w:rPr>
          <w:rFonts w:asciiTheme="minorHAnsi" w:hAnsiTheme="minorHAnsi"/>
        </w:rPr>
        <w:t xml:space="preserve"> </w:t>
      </w:r>
    </w:p>
    <w:p w14:paraId="7BDF9F6E" w14:textId="77777777" w:rsidR="002E7D37" w:rsidRDefault="002E7D37" w:rsidP="002E7D37">
      <w:pPr>
        <w:pStyle w:val="Normlnywebov"/>
        <w:jc w:val="center"/>
        <w:rPr>
          <w:rFonts w:asciiTheme="minorHAnsi" w:hAnsiTheme="minorHAnsi"/>
        </w:rPr>
      </w:pPr>
    </w:p>
    <w:p w14:paraId="4CF44169" w14:textId="77777777" w:rsidR="002E7D37" w:rsidRDefault="002E7D37" w:rsidP="002E7D37">
      <w:pPr>
        <w:pStyle w:val="Normlnywebov"/>
        <w:rPr>
          <w:rFonts w:asciiTheme="minorHAnsi" w:hAnsiTheme="minorHAnsi"/>
        </w:rPr>
      </w:pPr>
      <w:r>
        <w:rPr>
          <w:rStyle w:val="Vrazn"/>
          <w:rFonts w:asciiTheme="minorHAnsi" w:hAnsiTheme="minorHAnsi"/>
        </w:rPr>
        <w:t>Účtovná jednotka bude nepretržite pokračovať vo svojej činnosti.</w:t>
      </w:r>
    </w:p>
    <w:p w14:paraId="517E3C20" w14:textId="77777777" w:rsidR="002E7D37" w:rsidRDefault="002E7D37" w:rsidP="002E7D3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Theme="minorHAnsi" w:hAnsiTheme="minorHAnsi" w:cs="Arial"/>
          <w:bCs/>
          <w:color w:val="000000"/>
          <w:sz w:val="24"/>
          <w:szCs w:val="24"/>
        </w:rPr>
      </w:pPr>
      <w:r>
        <w:rPr>
          <w:rFonts w:asciiTheme="minorHAnsi" w:hAnsiTheme="minorHAnsi" w:cs="Arial"/>
          <w:bCs/>
          <w:color w:val="000000"/>
          <w:sz w:val="24"/>
          <w:szCs w:val="24"/>
        </w:rPr>
        <w:t>Účtovné metódy a všeobecné účtovné zásady boli počas účtovného obdobia dodržané.</w:t>
      </w:r>
    </w:p>
    <w:p w14:paraId="72D56F70" w14:textId="77777777" w:rsidR="002E7D37" w:rsidRDefault="002E7D37" w:rsidP="002E7D3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Theme="minorHAnsi" w:hAnsiTheme="minorHAnsi" w:cs="Arial"/>
          <w:bCs/>
          <w:color w:val="000000"/>
          <w:sz w:val="24"/>
          <w:szCs w:val="24"/>
        </w:rPr>
      </w:pPr>
    </w:p>
    <w:p w14:paraId="01211766" w14:textId="77777777" w:rsidR="002E7D37" w:rsidRDefault="002E7D37" w:rsidP="002E7D37">
      <w:pPr>
        <w:pStyle w:val="Normlnywebov"/>
        <w:rPr>
          <w:rStyle w:val="Vrazn"/>
        </w:rPr>
      </w:pPr>
      <w:r>
        <w:rPr>
          <w:rStyle w:val="Vrazn"/>
        </w:rPr>
        <w:t>Spôsob oceňovania jednotlivých zložiek majetku a záväzkov:</w:t>
      </w:r>
    </w:p>
    <w:p w14:paraId="6D8B5355" w14:textId="77777777" w:rsidR="002E7D37" w:rsidRDefault="002E7D37" w:rsidP="002E7D3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bCs/>
          <w:color w:val="000000"/>
          <w:sz w:val="24"/>
          <w:szCs w:val="24"/>
        </w:rPr>
        <w:t>Zásoby</w:t>
      </w:r>
    </w:p>
    <w:p w14:paraId="1508D553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  <w:lang w:eastAsia="sk-SK"/>
        </w:rPr>
      </w:pPr>
      <w:r>
        <w:rPr>
          <w:rFonts w:asciiTheme="minorHAnsi" w:hAnsiTheme="minorHAnsi" w:cstheme="minorHAnsi"/>
          <w:sz w:val="24"/>
          <w:lang w:eastAsia="sk-SK"/>
        </w:rPr>
        <w:t xml:space="preserve">Zásoby sa oceňujú v súlade s ustanovením § 25 zákona č. 431/2002 Z. z.  o účtovníctve v znení neskorších predpisov nasledovne:  </w:t>
      </w:r>
    </w:p>
    <w:p w14:paraId="0EEC9052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  <w:lang w:eastAsia="sk-SK"/>
        </w:rPr>
      </w:pPr>
      <w:r>
        <w:rPr>
          <w:rFonts w:asciiTheme="minorHAnsi" w:hAnsiTheme="minorHAnsi" w:cstheme="minorHAnsi"/>
          <w:sz w:val="24"/>
          <w:lang w:eastAsia="sk-SK"/>
        </w:rPr>
        <w:t xml:space="preserve"> - nakúpené zásoby obstarávacími cenami , ktoré tvorí samotná cena obstarania </w:t>
      </w:r>
    </w:p>
    <w:p w14:paraId="246951FD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  <w:lang w:eastAsia="sk-SK"/>
        </w:rPr>
      </w:pPr>
      <w:r>
        <w:rPr>
          <w:rFonts w:asciiTheme="minorHAnsi" w:hAnsiTheme="minorHAnsi" w:cstheme="minorHAnsi"/>
          <w:sz w:val="24"/>
          <w:lang w:eastAsia="sk-SK"/>
        </w:rPr>
        <w:t>a  vedľajšie náklady obstarania ( napr. doprava)</w:t>
      </w:r>
    </w:p>
    <w:p w14:paraId="777B1339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  <w:lang w:eastAsia="sk-SK"/>
        </w:rPr>
      </w:pPr>
      <w:r>
        <w:rPr>
          <w:rFonts w:asciiTheme="minorHAnsi" w:hAnsiTheme="minorHAnsi" w:cstheme="minorHAnsi"/>
          <w:sz w:val="24"/>
          <w:lang w:eastAsia="sk-SK"/>
        </w:rPr>
        <w:t>Materiál, ktorý je určený priamo do spotreby sa v okamihu nákupu účtuje na účet nákladov 501. Spravidla sa jedná o kancelárske potreby, hygienické potreby , bežnú réžiu.</w:t>
      </w:r>
    </w:p>
    <w:p w14:paraId="479D7A60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  <w:lang w:eastAsia="sk-SK"/>
        </w:rPr>
      </w:pPr>
    </w:p>
    <w:p w14:paraId="7F6C9AB3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  <w:lang w:eastAsia="sk-SK"/>
        </w:rPr>
      </w:pPr>
      <w:r>
        <w:rPr>
          <w:rFonts w:asciiTheme="minorHAnsi" w:hAnsiTheme="minorHAnsi" w:cstheme="minorHAnsi"/>
          <w:sz w:val="24"/>
          <w:lang w:eastAsia="sk-SK"/>
        </w:rPr>
        <w:t>Pri nákupe tovaru sa nepredaný tovar eviduje na sklade v obstarávacích cenách, ktorú tvorí cena obstarania. Vedľajšia cena obstarania sa eviduje na samostatnom analytickom účte a následne sa rozpúšťa priamo úmerne vyskladneniu tovaru.</w:t>
      </w:r>
    </w:p>
    <w:p w14:paraId="0477BF77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  <w:lang w:eastAsia="sk-SK"/>
        </w:rPr>
      </w:pPr>
      <w:r>
        <w:rPr>
          <w:rFonts w:asciiTheme="minorHAnsi" w:hAnsiTheme="minorHAnsi" w:cstheme="minorHAnsi"/>
          <w:sz w:val="24"/>
          <w:lang w:eastAsia="sk-SK"/>
        </w:rPr>
        <w:t xml:space="preserve">  </w:t>
      </w:r>
    </w:p>
    <w:p w14:paraId="00F8E438" w14:textId="77777777" w:rsidR="002E7D37" w:rsidRDefault="002E7D37" w:rsidP="002E7D3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bCs/>
          <w:color w:val="000000"/>
          <w:sz w:val="24"/>
          <w:szCs w:val="24"/>
        </w:rPr>
      </w:pPr>
      <w:r>
        <w:rPr>
          <w:rFonts w:asciiTheme="minorHAnsi" w:hAnsiTheme="minorHAnsi" w:cs="Arial"/>
          <w:bCs/>
          <w:color w:val="000000"/>
          <w:sz w:val="24"/>
          <w:szCs w:val="24"/>
        </w:rPr>
        <w:t>Majetok</w:t>
      </w:r>
    </w:p>
    <w:p w14:paraId="6757DD5B" w14:textId="77777777" w:rsidR="002E7D37" w:rsidRDefault="002E7D37" w:rsidP="002E7D37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bCs/>
          <w:color w:val="000000"/>
          <w:sz w:val="24"/>
          <w:szCs w:val="24"/>
        </w:rPr>
      </w:pPr>
      <w:r>
        <w:rPr>
          <w:rFonts w:asciiTheme="minorHAnsi" w:hAnsiTheme="minorHAnsi" w:cs="Arial"/>
          <w:bCs/>
          <w:color w:val="000000"/>
          <w:sz w:val="24"/>
          <w:szCs w:val="24"/>
        </w:rPr>
        <w:t>Hmotný majetok obstaraný kúpou sa oceňuje obstarávacou cenou.</w:t>
      </w:r>
    </w:p>
    <w:p w14:paraId="30D3E1EC" w14:textId="77777777" w:rsidR="002E7D37" w:rsidRDefault="002E7D37" w:rsidP="002E7D37">
      <w:pPr>
        <w:autoSpaceDE w:val="0"/>
        <w:autoSpaceDN w:val="0"/>
        <w:adjustRightInd w:val="0"/>
        <w:spacing w:after="0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O dlhodobom  nehmotnom majetku, ktorého obstarávacia cena je 2 400 eur a nižšia , sa účtuje priamo do nákladov.</w:t>
      </w:r>
    </w:p>
    <w:p w14:paraId="4B8EF553" w14:textId="77777777" w:rsidR="002E7D37" w:rsidRDefault="002E7D37" w:rsidP="002E7D37">
      <w:pPr>
        <w:autoSpaceDE w:val="0"/>
        <w:autoSpaceDN w:val="0"/>
        <w:adjustRightInd w:val="0"/>
        <w:spacing w:after="0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O dlhodobom  hmotnom  majetku, ktorého obstarávacia cena je 1 700 eur a nižšia , sa účtuje ako o zásobách a účtuje sa priamo na účet spotreby.</w:t>
      </w:r>
    </w:p>
    <w:p w14:paraId="46663BC8" w14:textId="77777777" w:rsidR="002E7D37" w:rsidRDefault="002E7D37" w:rsidP="002E7D37">
      <w:pPr>
        <w:autoSpaceDE w:val="0"/>
        <w:autoSpaceDN w:val="0"/>
        <w:adjustRightInd w:val="0"/>
        <w:spacing w:after="0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Nehmotný majetok obstaraný kúpou sa oceňuje obstarávacou cenou.</w:t>
      </w:r>
    </w:p>
    <w:p w14:paraId="5B103E32" w14:textId="77777777" w:rsidR="002E7D37" w:rsidRDefault="002E7D37" w:rsidP="002E7D37">
      <w:pPr>
        <w:autoSpaceDE w:val="0"/>
        <w:autoSpaceDN w:val="0"/>
        <w:adjustRightInd w:val="0"/>
        <w:spacing w:after="0"/>
        <w:rPr>
          <w:rFonts w:asciiTheme="minorHAnsi" w:hAnsiTheme="minorHAnsi" w:cs="Arial"/>
          <w:color w:val="000000"/>
          <w:sz w:val="24"/>
          <w:szCs w:val="24"/>
        </w:rPr>
      </w:pPr>
    </w:p>
    <w:p w14:paraId="192EFC80" w14:textId="77777777" w:rsidR="002E7D37" w:rsidRDefault="002E7D37" w:rsidP="002E7D37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Pohľadávky</w:t>
      </w:r>
    </w:p>
    <w:p w14:paraId="3A998966" w14:textId="77777777" w:rsidR="002E7D37" w:rsidRDefault="002E7D37" w:rsidP="002E7D37">
      <w:pPr>
        <w:autoSpaceDE w:val="0"/>
        <w:autoSpaceDN w:val="0"/>
        <w:adjustRightInd w:val="0"/>
        <w:spacing w:after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Pohľadávky sa pri ich vzniku oceňujú menovitou hodnotou. Postúpené pohľadávky sa oceňujú obstarávacou cenou , vrátane nákladov súvisiacich s ich obstaraním. Toto ocenenie sa znižuje o nevymožiteľné pohľadávky prostredníctvom opravných položiek.</w:t>
      </w:r>
    </w:p>
    <w:p w14:paraId="2F38F229" w14:textId="77777777" w:rsidR="002E7D37" w:rsidRDefault="002E7D37" w:rsidP="002E7D37">
      <w:pPr>
        <w:autoSpaceDE w:val="0"/>
        <w:autoSpaceDN w:val="0"/>
        <w:adjustRightInd w:val="0"/>
        <w:spacing w:after="0"/>
        <w:rPr>
          <w:rFonts w:asciiTheme="minorHAnsi" w:hAnsiTheme="minorHAnsi" w:cs="Arial"/>
          <w:sz w:val="24"/>
          <w:szCs w:val="24"/>
        </w:rPr>
      </w:pPr>
    </w:p>
    <w:p w14:paraId="36AEDC26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Opravná položka na pohľadávky z obchodného styku sa vytvára vtedy, ak existuje objektívny dôkaz, že obchodná spoločnosť nebude schopná  zinkasovať všetky dlžné čiastky podľa pôvodných podmienok pohľadávok.  Významné finančné problémy </w:t>
      </w:r>
    </w:p>
    <w:p w14:paraId="6D405BB1" w14:textId="77777777" w:rsidR="002E7D37" w:rsidRDefault="002E7D37" w:rsidP="002E7D37">
      <w:pPr>
        <w:pStyle w:val="Normlnywebov"/>
        <w:rPr>
          <w:rStyle w:val="Vrazn"/>
        </w:rPr>
      </w:pPr>
      <w:r>
        <w:rPr>
          <w:rStyle w:val="Vrazn"/>
          <w:rFonts w:asciiTheme="minorHAnsi" w:hAnsiTheme="minorHAnsi"/>
        </w:rPr>
        <w:lastRenderedPageBreak/>
        <w:t xml:space="preserve">Poznámky </w:t>
      </w:r>
      <w:proofErr w:type="spellStart"/>
      <w:r>
        <w:rPr>
          <w:rStyle w:val="Vrazn"/>
          <w:rFonts w:asciiTheme="minorHAnsi" w:hAnsiTheme="minorHAnsi"/>
        </w:rPr>
        <w:t>Úč</w:t>
      </w:r>
      <w:proofErr w:type="spellEnd"/>
      <w:r>
        <w:rPr>
          <w:rStyle w:val="Vrazn"/>
          <w:rFonts w:asciiTheme="minorHAnsi" w:hAnsiTheme="minorHAnsi"/>
        </w:rPr>
        <w:t xml:space="preserve"> PODV 3- 01</w:t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  <w:t>DIČ: 2022706521</w:t>
      </w:r>
      <w:r>
        <w:rPr>
          <w:rFonts w:asciiTheme="minorHAnsi" w:hAnsiTheme="minorHAnsi"/>
          <w:b/>
          <w:bCs/>
        </w:rPr>
        <w:br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  <w:t>IČO: 44452675</w:t>
      </w:r>
    </w:p>
    <w:p w14:paraId="590A96DA" w14:textId="77777777" w:rsidR="002E7D37" w:rsidRPr="00464441" w:rsidRDefault="002E7D37" w:rsidP="002E7D37">
      <w:pPr>
        <w:pStyle w:val="Normlnywebov"/>
        <w:rPr>
          <w:rFonts w:asciiTheme="minorHAnsi" w:hAnsiTheme="minorHAnsi" w:cstheme="minorHAnsi"/>
          <w:b/>
          <w:bCs/>
        </w:rPr>
      </w:pPr>
      <w:r w:rsidRPr="00464441">
        <w:rPr>
          <w:rFonts w:asciiTheme="minorHAnsi" w:hAnsiTheme="minorHAnsi" w:cstheme="minorHAnsi"/>
        </w:rPr>
        <w:t xml:space="preserve">dlžníka, pravdepodobnosť, že dlžník vstúpi do konkurzu, platobná neschopnosť alebo omeškanie platieb sa považujú za indikátory toho, že pohľadávka z obchodného styku môže byť  znehodnotená. Výška opravnej položky predstavuje rozdiel medzi účtovnou hodnotou daného majetku a hodnotou predpokladaných budúcich peňažných tokov. </w:t>
      </w:r>
    </w:p>
    <w:p w14:paraId="064A0549" w14:textId="77777777" w:rsidR="002E7D37" w:rsidRDefault="002E7D37" w:rsidP="002E7D37">
      <w:pPr>
        <w:autoSpaceDE w:val="0"/>
        <w:autoSpaceDN w:val="0"/>
        <w:adjustRightInd w:val="0"/>
        <w:spacing w:after="0"/>
        <w:rPr>
          <w:rFonts w:asciiTheme="minorHAnsi" w:hAnsiTheme="minorHAnsi" w:cs="Arial"/>
          <w:sz w:val="24"/>
          <w:szCs w:val="24"/>
        </w:rPr>
      </w:pPr>
    </w:p>
    <w:p w14:paraId="60B97E0F" w14:textId="77777777" w:rsidR="002E7D37" w:rsidRDefault="002E7D37" w:rsidP="002E7D37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Náklady budúcich období</w:t>
      </w:r>
    </w:p>
    <w:p w14:paraId="4725FCA9" w14:textId="77777777" w:rsidR="002E7D37" w:rsidRDefault="002E7D37" w:rsidP="002E7D37">
      <w:pPr>
        <w:autoSpaceDE w:val="0"/>
        <w:autoSpaceDN w:val="0"/>
        <w:adjustRightInd w:val="0"/>
        <w:spacing w:after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Náklady budúcich období sa vykazujú vo výške, ktorá je potrebná na dodržanie zásady vecnej a časovej súvislosti s účtovným obdobím. V súlade so zákonom o účtovníctve opakujúce sa platby ako je platba za telefón sa časovo nerozlišujú, ale sú súčasťou nákladov aktuálneho obdobia.</w:t>
      </w:r>
    </w:p>
    <w:p w14:paraId="175AB8DD" w14:textId="77777777" w:rsidR="002E7D37" w:rsidRDefault="002E7D37" w:rsidP="002E7D37">
      <w:pPr>
        <w:autoSpaceDE w:val="0"/>
        <w:autoSpaceDN w:val="0"/>
        <w:adjustRightInd w:val="0"/>
        <w:spacing w:after="0"/>
        <w:rPr>
          <w:rFonts w:asciiTheme="minorHAnsi" w:hAnsiTheme="minorHAnsi" w:cs="Arial"/>
          <w:sz w:val="24"/>
          <w:szCs w:val="24"/>
        </w:rPr>
      </w:pPr>
    </w:p>
    <w:p w14:paraId="0E72A51E" w14:textId="77777777" w:rsidR="002E7D37" w:rsidRDefault="002E7D37" w:rsidP="002E7D37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Záväzky</w:t>
      </w:r>
    </w:p>
    <w:p w14:paraId="5F353787" w14:textId="77777777" w:rsidR="002E7D37" w:rsidRDefault="002E7D37" w:rsidP="002E7D37">
      <w:pPr>
        <w:pStyle w:val="Bezriadkovania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Záväzky sa pri ich vzniku oceňujú menovitou hodnotou. Záväzky sa pri ich prevzatí oceňujú obstarávacou cenou.</w:t>
      </w:r>
    </w:p>
    <w:p w14:paraId="17A028C3" w14:textId="77777777" w:rsidR="002E7D37" w:rsidRDefault="002E7D37" w:rsidP="002E7D37">
      <w:pPr>
        <w:pStyle w:val="Bezriadkovania"/>
        <w:rPr>
          <w:rFonts w:asciiTheme="minorHAnsi" w:hAnsiTheme="minorHAnsi" w:cs="Arial"/>
          <w:sz w:val="24"/>
        </w:rPr>
      </w:pPr>
    </w:p>
    <w:p w14:paraId="764877D6" w14:textId="77777777" w:rsidR="002E7D37" w:rsidRDefault="002E7D37" w:rsidP="002E7D37">
      <w:pPr>
        <w:pStyle w:val="Bezriadkovania"/>
        <w:numPr>
          <w:ilvl w:val="0"/>
          <w:numId w:val="3"/>
        </w:numPr>
        <w:jc w:val="left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Peňažné prostriedky</w:t>
      </w:r>
    </w:p>
    <w:p w14:paraId="552A3305" w14:textId="77777777" w:rsidR="002E7D37" w:rsidRDefault="002E7D37" w:rsidP="002E7D37">
      <w:pPr>
        <w:pStyle w:val="Bezriadkovania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Peňažné prostriedky, ceniny sa oceňujú menovitou hodnotou.</w:t>
      </w:r>
    </w:p>
    <w:p w14:paraId="4EF41E68" w14:textId="77777777" w:rsidR="002E7D37" w:rsidRDefault="002E7D37" w:rsidP="002E7D37">
      <w:pPr>
        <w:pStyle w:val="Normlnywebov"/>
        <w:numPr>
          <w:ilvl w:val="0"/>
          <w:numId w:val="4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Cudzia mena</w:t>
      </w:r>
    </w:p>
    <w:p w14:paraId="063F6296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Majetok a záväzky vyjadrené v cudzej mene prepočítava účtovná jednotka na eurá referenčným kurzom určeným a vyhláseným ECB</w:t>
      </w:r>
    </w:p>
    <w:p w14:paraId="48B5D00F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- v deň predchádzajúci dňu uskutočnenia účtovného prípadu</w:t>
      </w:r>
    </w:p>
    <w:p w14:paraId="01FBB8CD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- v deň, ku ktorému sa zostavuje účtovná závierka</w:t>
      </w:r>
    </w:p>
    <w:p w14:paraId="30ED52C9" w14:textId="77777777" w:rsidR="002E7D37" w:rsidRDefault="002E7D37" w:rsidP="002E7D37">
      <w:pPr>
        <w:pStyle w:val="Bezriadkovania"/>
      </w:pPr>
    </w:p>
    <w:p w14:paraId="1B8DB959" w14:textId="77777777" w:rsidR="002E7D37" w:rsidRDefault="002E7D37" w:rsidP="002E7D37">
      <w:pPr>
        <w:pStyle w:val="Bezriadkovania"/>
      </w:pPr>
      <w:r>
        <w:rPr>
          <w:rFonts w:asciiTheme="minorHAnsi" w:hAnsiTheme="minorHAnsi"/>
          <w:sz w:val="24"/>
        </w:rPr>
        <w:t>Na ocenenie prírastku cudzej meny sa používa kurz, za ktorý bola cudzia mena nakúpená. Na úbytok rovnakej cudzej meny v hotovosti sa používa cena zistená priemerom</w:t>
      </w:r>
      <w:r>
        <w:t>.</w:t>
      </w:r>
    </w:p>
    <w:p w14:paraId="270C4B06" w14:textId="77777777" w:rsidR="002E7D37" w:rsidRDefault="002E7D37" w:rsidP="002E7D37">
      <w:pPr>
        <w:pStyle w:val="Normlnywebov"/>
        <w:numPr>
          <w:ilvl w:val="0"/>
          <w:numId w:val="4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Rezervy</w:t>
      </w:r>
    </w:p>
    <w:p w14:paraId="1DA6E7CB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Rezerva na nevyčerpanú dovolenku vrátane sociálneho poistenia . Pri jej výpočte vychádza organizácia z počtu dní nevyčerpanej dovolenky k 31. decembru za každého zamestnanca, priemernej dennej mzdy a výpočtu sociálneho poistenia. </w:t>
      </w:r>
    </w:p>
    <w:p w14:paraId="27171C95" w14:textId="77777777" w:rsidR="002E7D37" w:rsidRDefault="002E7D37" w:rsidP="002E7D37">
      <w:pPr>
        <w:pStyle w:val="Normlnywebov"/>
        <w:numPr>
          <w:ilvl w:val="0"/>
          <w:numId w:val="4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Kontrolované transakcie</w:t>
      </w:r>
    </w:p>
    <w:p w14:paraId="3CB03EB2" w14:textId="77777777" w:rsidR="002E7D37" w:rsidRDefault="002E7D37" w:rsidP="002E7D37">
      <w:pPr>
        <w:pStyle w:val="Normlnywebov"/>
        <w:rPr>
          <w:rFonts w:asciiTheme="minorHAnsi" w:hAnsiTheme="minorHAnsi" w:cstheme="minorHAnsi"/>
        </w:rPr>
      </w:pPr>
      <w:r>
        <w:rPr>
          <w:rFonts w:asciiTheme="minorHAnsi" w:hAnsiTheme="minorHAnsi" w:cs="Arial"/>
        </w:rPr>
        <w:t xml:space="preserve">Spoločnosť používa ceny za svoje služby pre skupinu kontrolovaných transakcií na základe </w:t>
      </w:r>
      <w:r>
        <w:rPr>
          <w:rFonts w:asciiTheme="minorHAnsi" w:hAnsiTheme="minorHAnsi" w:cstheme="minorHAnsi"/>
        </w:rPr>
        <w:t>internej nezávislej ceny.</w:t>
      </w:r>
    </w:p>
    <w:p w14:paraId="5061FFD7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Tak isto ceny pri nákupe služieb sú stanovené na základe internej nezávislej ceny a tieto sú porovnateľné s cenami na nezávislom trhu.</w:t>
      </w:r>
    </w:p>
    <w:p w14:paraId="5AA0B864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Transakcie  sa realizovali s krajinou CZ Česká republika.</w:t>
      </w:r>
    </w:p>
    <w:p w14:paraId="62CEB3A3" w14:textId="77777777" w:rsidR="002E7D37" w:rsidRDefault="002E7D37" w:rsidP="002E7D37">
      <w:pPr>
        <w:pStyle w:val="Normlnywebov"/>
        <w:rPr>
          <w:rStyle w:val="Vrazn"/>
        </w:rPr>
      </w:pPr>
      <w:r>
        <w:rPr>
          <w:rStyle w:val="Vrazn"/>
          <w:rFonts w:asciiTheme="minorHAnsi" w:hAnsiTheme="minorHAnsi"/>
        </w:rPr>
        <w:lastRenderedPageBreak/>
        <w:t xml:space="preserve">Poznámky </w:t>
      </w:r>
      <w:proofErr w:type="spellStart"/>
      <w:r>
        <w:rPr>
          <w:rStyle w:val="Vrazn"/>
          <w:rFonts w:asciiTheme="minorHAnsi" w:hAnsiTheme="minorHAnsi"/>
        </w:rPr>
        <w:t>Úč</w:t>
      </w:r>
      <w:proofErr w:type="spellEnd"/>
      <w:r>
        <w:rPr>
          <w:rStyle w:val="Vrazn"/>
          <w:rFonts w:asciiTheme="minorHAnsi" w:hAnsiTheme="minorHAnsi"/>
        </w:rPr>
        <w:t xml:space="preserve"> PODV 3- 01</w:t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  <w:t>DIČ: 2022706521</w:t>
      </w:r>
      <w:r>
        <w:rPr>
          <w:rFonts w:asciiTheme="minorHAnsi" w:hAnsiTheme="minorHAnsi"/>
          <w:b/>
          <w:bCs/>
        </w:rPr>
        <w:br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</w:r>
      <w:r>
        <w:rPr>
          <w:rStyle w:val="Vrazn"/>
          <w:rFonts w:asciiTheme="minorHAnsi" w:hAnsiTheme="minorHAnsi"/>
        </w:rPr>
        <w:tab/>
        <w:t>IČO: 44452675</w:t>
      </w:r>
    </w:p>
    <w:p w14:paraId="2ECE4FDB" w14:textId="77777777" w:rsidR="002E7D37" w:rsidRDefault="002E7D37" w:rsidP="002E7D37">
      <w:pPr>
        <w:pStyle w:val="Bezriadkovania"/>
        <w:rPr>
          <w:rFonts w:cstheme="minorHAnsi"/>
          <w:sz w:val="24"/>
        </w:rPr>
      </w:pPr>
    </w:p>
    <w:p w14:paraId="3BDA3DA8" w14:textId="77777777" w:rsidR="002E7D37" w:rsidRDefault="002E7D37" w:rsidP="002E7D37">
      <w:pPr>
        <w:spacing w:after="29" w:line="256" w:lineRule="auto"/>
        <w:ind w:left="564"/>
        <w:rPr>
          <w:rFonts w:asciiTheme="minorHAnsi" w:hAnsiTheme="minorHAnsi"/>
          <w:sz w:val="24"/>
          <w:szCs w:val="24"/>
        </w:rPr>
      </w:pPr>
    </w:p>
    <w:p w14:paraId="3E7C193E" w14:textId="77777777" w:rsidR="002E7D37" w:rsidRDefault="002E7D37" w:rsidP="002E7D37">
      <w:pPr>
        <w:pStyle w:val="Nadpis1"/>
        <w:ind w:left="0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Dlhodobý hmotný majetok </w:t>
      </w:r>
    </w:p>
    <w:p w14:paraId="39E136BE" w14:textId="77777777" w:rsidR="002E7D37" w:rsidRDefault="002E7D37" w:rsidP="002E7D37">
      <w:pPr>
        <w:spacing w:after="19" w:line="256" w:lineRule="auto"/>
        <w:ind w:left="92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</w:t>
      </w:r>
    </w:p>
    <w:p w14:paraId="0FFDDAFD" w14:textId="77777777" w:rsidR="002E7D37" w:rsidRDefault="002E7D37" w:rsidP="002E7D37">
      <w:pPr>
        <w:spacing w:after="5" w:line="266" w:lineRule="auto"/>
        <w:ind w:right="66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Dlhodobý hmotný majetok  nakupovaný sa oceňuje obstarávacou cenou, ktorá zahŕňa cenu obstarania a náklady súvisiace s obstaraním (clo, prepravu, montáž, poistné a pod.)  </w:t>
      </w:r>
    </w:p>
    <w:p w14:paraId="18C6C5B9" w14:textId="77777777" w:rsidR="002E7D37" w:rsidRDefault="002E7D37" w:rsidP="002E7D37">
      <w:pPr>
        <w:ind w:left="896" w:right="666"/>
        <w:rPr>
          <w:rFonts w:asciiTheme="minorHAnsi" w:hAnsiTheme="minorHAnsi"/>
          <w:sz w:val="24"/>
          <w:szCs w:val="24"/>
        </w:rPr>
      </w:pPr>
    </w:p>
    <w:p w14:paraId="1C9C0B52" w14:textId="77777777" w:rsidR="002E7D37" w:rsidRDefault="002E7D37" w:rsidP="002E7D37">
      <w:pPr>
        <w:spacing w:after="5" w:line="266" w:lineRule="auto"/>
        <w:ind w:right="66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Do dlhodobého hmotného majetku patrí majetok, ku ktorému má účtovná jednotka vlastnícke právo.  </w:t>
      </w:r>
    </w:p>
    <w:p w14:paraId="296B1CB6" w14:textId="77777777" w:rsidR="002E7D37" w:rsidRDefault="002E7D37" w:rsidP="002E7D37">
      <w:pPr>
        <w:spacing w:after="24" w:line="256" w:lineRule="auto"/>
        <w:ind w:left="92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D393661" w14:textId="77777777" w:rsidR="002E7D37" w:rsidRDefault="002E7D37" w:rsidP="002E7D37">
      <w:pPr>
        <w:numPr>
          <w:ilvl w:val="0"/>
          <w:numId w:val="5"/>
        </w:numPr>
        <w:spacing w:after="5" w:line="266" w:lineRule="auto"/>
        <w:ind w:right="666" w:hanging="360"/>
        <w:jc w:val="both"/>
      </w:pPr>
      <w:r>
        <w:rPr>
          <w:rFonts w:asciiTheme="minorHAnsi" w:hAnsiTheme="minorHAnsi"/>
          <w:sz w:val="24"/>
          <w:szCs w:val="24"/>
        </w:rPr>
        <w:t xml:space="preserve">Odpisy dlhodobého hmotného majetku sú stanovené podľa predpokladanej doby jeho používania a predpokladaného priebehu jeho opotrebovania.  Odpisovať sa začne v mesiaci zaradenia dlhodobého hmotného majetku do používania. O dlhodobom hmotnom majetku, ktorého obstarávacia cena  je  v ocenení rovnom alebo nižšom ako 1700 eur a zároveň s dobou použiteľnosti dlhšou ako jeden rok, sa účtuje ako o zásobách.  Pozemky, umelecké diela a zbierky sa neodpisujú. </w:t>
      </w:r>
    </w:p>
    <w:p w14:paraId="66E7ECEB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</w:p>
    <w:p w14:paraId="6A78F0B9" w14:textId="77777777" w:rsidR="002E7D37" w:rsidRDefault="002E7D37" w:rsidP="002E7D37">
      <w:pPr>
        <w:pStyle w:val="Nadpis1"/>
      </w:pPr>
      <w:r>
        <w:t xml:space="preserve">Dlhodobý nehmotný majetok </w:t>
      </w:r>
    </w:p>
    <w:p w14:paraId="3CB7E4FD" w14:textId="77777777" w:rsidR="002E7D37" w:rsidRDefault="002E7D37" w:rsidP="002E7D37">
      <w:pPr>
        <w:rPr>
          <w:lang w:eastAsia="sk-SK"/>
        </w:rPr>
      </w:pPr>
    </w:p>
    <w:p w14:paraId="75D89A72" w14:textId="77777777" w:rsidR="002E7D37" w:rsidRDefault="002E7D37" w:rsidP="002E7D37">
      <w:pPr>
        <w:pStyle w:val="Bezriadkovania"/>
        <w:ind w:firstLine="56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Ako </w:t>
      </w:r>
      <w:r>
        <w:rPr>
          <w:rFonts w:asciiTheme="minorHAnsi" w:hAnsiTheme="minorHAnsi" w:cstheme="minorHAnsi"/>
          <w:bCs/>
          <w:sz w:val="24"/>
        </w:rPr>
        <w:t>dlhodobý nehmotný majetok</w:t>
      </w:r>
      <w:r>
        <w:rPr>
          <w:rFonts w:asciiTheme="minorHAnsi" w:hAnsiTheme="minorHAnsi" w:cstheme="minorHAnsi"/>
          <w:b/>
          <w:bCs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sa účtujú v účtovej triede 0 - Dlhodobý majetok:</w:t>
      </w:r>
    </w:p>
    <w:p w14:paraId="11A9EDC5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a) aktivované náklady na vývoj, softvér, oceniteľné autorské práva, technické zhodnotenie, ak</w:t>
      </w:r>
    </w:p>
    <w:p w14:paraId="3F1356D7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nie je súčasťou ocenenia dlhodobého nehmotného majetku, ktorých ocenenie je vyššie ako</w:t>
      </w:r>
    </w:p>
    <w:p w14:paraId="63F73964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Cs/>
          <w:sz w:val="24"/>
        </w:rPr>
        <w:t>2 400 €</w:t>
      </w:r>
      <w:r>
        <w:rPr>
          <w:rFonts w:asciiTheme="minorHAnsi" w:hAnsiTheme="minorHAnsi" w:cstheme="minorHAnsi"/>
          <w:b/>
          <w:bCs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(suma ustanovená osobitným predpisom pre nehmotný majetok - zákon o dani</w:t>
      </w:r>
    </w:p>
    <w:p w14:paraId="1E618F84" w14:textId="77777777" w:rsidR="002E7D37" w:rsidRDefault="002E7D37" w:rsidP="002E7D37">
      <w:pPr>
        <w:pStyle w:val="Bezriadkovania"/>
        <w:rPr>
          <w:rFonts w:asciiTheme="minorHAnsi" w:hAnsiTheme="minorHAnsi" w:cstheme="minorHAnsi"/>
          <w:sz w:val="24"/>
          <w:lang w:eastAsia="sk-SK"/>
        </w:rPr>
      </w:pPr>
      <w:r>
        <w:rPr>
          <w:rFonts w:asciiTheme="minorHAnsi" w:hAnsiTheme="minorHAnsi" w:cstheme="minorHAnsi"/>
          <w:sz w:val="24"/>
        </w:rPr>
        <w:t>z príjmov) a doba použiteľnosti je dlhšia ako jeden rok</w:t>
      </w:r>
    </w:p>
    <w:p w14:paraId="1FCB7ACB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  <w:t>Dlhodobý  nehmotný majetok  nakupovaný sa oceňuje obstarávacou cenou, ktorá zahŕňa cenu obstarania.</w:t>
      </w:r>
    </w:p>
    <w:p w14:paraId="5C328E4B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</w:p>
    <w:p w14:paraId="1A89B734" w14:textId="77777777" w:rsidR="002E7D37" w:rsidRDefault="002E7D37" w:rsidP="002E7D37">
      <w:pPr>
        <w:pStyle w:val="Normlnywebov"/>
        <w:ind w:left="36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Tvorba odpisového plánu</w:t>
      </w:r>
    </w:p>
    <w:p w14:paraId="30460535" w14:textId="77777777" w:rsidR="002E7D37" w:rsidRDefault="002E7D37" w:rsidP="002E7D37">
      <w:pPr>
        <w:spacing w:line="256" w:lineRule="auto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>Odpisy boli zahrňované do nákladov spoločnosti mesačne pomernou čiastkou. Dlhodobý majetok evidovaný v akciovej spoločnosti bol odpisovaný rovnomernými odpismi.</w:t>
      </w: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br/>
      </w:r>
      <w:r>
        <w:rPr>
          <w:color w:val="FF0000"/>
          <w:sz w:val="24"/>
          <w:szCs w:val="24"/>
        </w:rPr>
        <w:br/>
      </w:r>
      <w:r>
        <w:rPr>
          <w:rFonts w:asciiTheme="minorHAnsi" w:hAnsiTheme="minorHAnsi"/>
          <w:sz w:val="24"/>
          <w:szCs w:val="24"/>
        </w:rPr>
        <w:t>Odpisový plán účtovných odpisov hmotného majetku spoločnosť zostavila interným predpisom tak, že za základ vzala metódy používané pri vyčísľovaní daňových odpisov. Odpisové sadzby pre účtovné a daňové odpisy podnikateľa sa rovnajú. Účtovné odpisy sa zaokrúhľujú na 2 desatinné miesta.</w:t>
      </w:r>
    </w:p>
    <w:p w14:paraId="09428864" w14:textId="77777777" w:rsidR="002E7D37" w:rsidRDefault="002E7D37" w:rsidP="002E7D37">
      <w:pPr>
        <w:spacing w:line="256" w:lineRule="auto"/>
        <w:rPr>
          <w:rFonts w:asciiTheme="minorHAnsi" w:hAnsiTheme="minorHAnsi"/>
          <w:sz w:val="24"/>
          <w:szCs w:val="24"/>
        </w:rPr>
      </w:pPr>
    </w:p>
    <w:p w14:paraId="58771867" w14:textId="77777777" w:rsidR="002E7D37" w:rsidRDefault="002E7D37" w:rsidP="002E7D37">
      <w:pPr>
        <w:spacing w:line="256" w:lineRule="auto"/>
        <w:rPr>
          <w:rFonts w:asciiTheme="minorHAnsi" w:hAnsiTheme="minorHAnsi"/>
          <w:sz w:val="24"/>
          <w:szCs w:val="24"/>
        </w:rPr>
      </w:pPr>
    </w:p>
    <w:p w14:paraId="6BF00A79" w14:textId="77777777" w:rsidR="002E7D37" w:rsidRDefault="002E7D37" w:rsidP="002E7D37">
      <w:pPr>
        <w:autoSpaceDE w:val="0"/>
        <w:autoSpaceDN w:val="0"/>
        <w:adjustRightInd w:val="0"/>
        <w:spacing w:after="0" w:line="25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Ak sa zmenia podmienky používania majetku, prehodnotí sa odpisový plán a upraví sa</w:t>
      </w:r>
    </w:p>
    <w:p w14:paraId="72CEA2BD" w14:textId="77777777" w:rsidR="002E7D37" w:rsidRDefault="002E7D37" w:rsidP="002E7D37">
      <w:pPr>
        <w:spacing w:after="5" w:line="266" w:lineRule="auto"/>
        <w:ind w:right="66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zostatková doba odpisovania alebo sadzby odpisovania. Ak účtovná jednotka zmení odpisový plán v priebehu účtovného obdobia, musí nový postup odpisovania použiť spätne od prvého dňa daného účtovného obdobia.</w:t>
      </w:r>
    </w:p>
    <w:p w14:paraId="7C462451" w14:textId="77777777" w:rsidR="002E7D37" w:rsidRPr="002E7D37" w:rsidRDefault="002E7D37" w:rsidP="002E7D37">
      <w:pPr>
        <w:spacing w:after="5" w:line="266" w:lineRule="auto"/>
        <w:ind w:right="666"/>
        <w:jc w:val="both"/>
        <w:rPr>
          <w:sz w:val="24"/>
          <w:szCs w:val="24"/>
        </w:rPr>
      </w:pPr>
    </w:p>
    <w:p w14:paraId="29EC3AC7" w14:textId="77777777" w:rsidR="002E7D37" w:rsidRDefault="002E7D37" w:rsidP="002E7D37">
      <w:pPr>
        <w:rPr>
          <w:rFonts w:asciiTheme="minorHAnsi" w:hAnsiTheme="minorHAnsi"/>
          <w:vanish/>
          <w:sz w:val="24"/>
          <w:szCs w:val="24"/>
        </w:rPr>
      </w:pPr>
    </w:p>
    <w:p w14:paraId="6697A7CD" w14:textId="77777777" w:rsidR="002E7D37" w:rsidRDefault="002E7D37" w:rsidP="002E7D37">
      <w:pPr>
        <w:pStyle w:val="Bezriadkovania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Informácie, ktoré vysvetľujú a dopĺňajú súvahu a výkaz ziskov a strát</w:t>
      </w:r>
    </w:p>
    <w:p w14:paraId="630D5690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</w:p>
    <w:p w14:paraId="11BEAC28" w14:textId="77777777" w:rsidR="002E7D37" w:rsidRDefault="002E7D37" w:rsidP="002E7D37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Informácie o záväzkoch – záväzky so zostatkovou dobou splatnosti dlhšou ako päť rokov:</w:t>
      </w:r>
    </w:p>
    <w:p w14:paraId="5ADF25D7" w14:textId="77777777" w:rsidR="002E7D37" w:rsidRDefault="002E7D37" w:rsidP="002E7D37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Vklad spoločníka – 1 500.- eur</w:t>
      </w:r>
    </w:p>
    <w:p w14:paraId="3DBB827F" w14:textId="77777777" w:rsidR="002E7D37" w:rsidRDefault="002E7D37" w:rsidP="002E7D37">
      <w:pPr>
        <w:pStyle w:val="Bezriadkovania"/>
        <w:rPr>
          <w:rFonts w:asciiTheme="minorHAnsi" w:hAnsiTheme="minorHAnsi"/>
          <w:sz w:val="24"/>
        </w:rPr>
      </w:pPr>
    </w:p>
    <w:p w14:paraId="5D8A105C" w14:textId="77777777" w:rsidR="002E7D37" w:rsidRDefault="002E7D37" w:rsidP="002E7D37"/>
    <w:p w14:paraId="14A28B8A" w14:textId="77777777" w:rsidR="002E7D37" w:rsidRDefault="002E7D37" w:rsidP="002E7D37"/>
    <w:p w14:paraId="3ACFF91C" w14:textId="77777777" w:rsidR="002E7D37" w:rsidRDefault="002E7D37" w:rsidP="002E7D37"/>
    <w:p w14:paraId="5794880E" w14:textId="77777777" w:rsidR="002E7D37" w:rsidRDefault="002E7D37" w:rsidP="002E7D37"/>
    <w:p w14:paraId="7834559A" w14:textId="77777777" w:rsidR="002E7D37" w:rsidRDefault="002E7D37" w:rsidP="002E7D37"/>
    <w:p w14:paraId="0AC4F0F5" w14:textId="77777777" w:rsidR="001F5750" w:rsidRDefault="001F5750"/>
    <w:sectPr w:rsidR="001F5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A6D3A"/>
    <w:multiLevelType w:val="hybridMultilevel"/>
    <w:tmpl w:val="36F0FE1E"/>
    <w:lvl w:ilvl="0" w:tplc="905A36C6">
      <w:start w:val="1"/>
      <w:numFmt w:val="decimal"/>
      <w:lvlText w:val="%1."/>
      <w:lvlJc w:val="left"/>
      <w:pPr>
        <w:ind w:left="1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24687E">
      <w:start w:val="1"/>
      <w:numFmt w:val="lowerLetter"/>
      <w:lvlText w:val="%2"/>
      <w:lvlJc w:val="left"/>
      <w:pPr>
        <w:ind w:left="1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8B44B18">
      <w:start w:val="1"/>
      <w:numFmt w:val="lowerRoman"/>
      <w:lvlText w:val="%3"/>
      <w:lvlJc w:val="left"/>
      <w:pPr>
        <w:ind w:left="2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FAA5FE4">
      <w:start w:val="1"/>
      <w:numFmt w:val="decimal"/>
      <w:lvlText w:val="%4"/>
      <w:lvlJc w:val="left"/>
      <w:pPr>
        <w:ind w:left="2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FBE347E">
      <w:start w:val="1"/>
      <w:numFmt w:val="lowerLetter"/>
      <w:lvlText w:val="%5"/>
      <w:lvlJc w:val="left"/>
      <w:pPr>
        <w:ind w:left="35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0F4AE66">
      <w:start w:val="1"/>
      <w:numFmt w:val="lowerRoman"/>
      <w:lvlText w:val="%6"/>
      <w:lvlJc w:val="left"/>
      <w:pPr>
        <w:ind w:left="42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5F238A2">
      <w:start w:val="1"/>
      <w:numFmt w:val="decimal"/>
      <w:lvlText w:val="%7"/>
      <w:lvlJc w:val="left"/>
      <w:pPr>
        <w:ind w:left="50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EF0056C">
      <w:start w:val="1"/>
      <w:numFmt w:val="lowerLetter"/>
      <w:lvlText w:val="%8"/>
      <w:lvlJc w:val="left"/>
      <w:pPr>
        <w:ind w:left="57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8FC3230">
      <w:start w:val="1"/>
      <w:numFmt w:val="lowerRoman"/>
      <w:lvlText w:val="%9"/>
      <w:lvlJc w:val="left"/>
      <w:pPr>
        <w:ind w:left="6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7107200"/>
    <w:multiLevelType w:val="hybridMultilevel"/>
    <w:tmpl w:val="73A84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813AE"/>
    <w:multiLevelType w:val="hybridMultilevel"/>
    <w:tmpl w:val="046E381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04223"/>
    <w:multiLevelType w:val="hybridMultilevel"/>
    <w:tmpl w:val="246A574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D76B7"/>
    <w:multiLevelType w:val="hybridMultilevel"/>
    <w:tmpl w:val="5CA0D6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125822">
    <w:abstractNumId w:val="2"/>
  </w:num>
  <w:num w:numId="2" w16cid:durableId="2029719194">
    <w:abstractNumId w:val="4"/>
  </w:num>
  <w:num w:numId="3" w16cid:durableId="1929654242">
    <w:abstractNumId w:val="3"/>
  </w:num>
  <w:num w:numId="4" w16cid:durableId="1848325558">
    <w:abstractNumId w:val="1"/>
  </w:num>
  <w:num w:numId="5" w16cid:durableId="3974802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37"/>
    <w:rsid w:val="000B0EB2"/>
    <w:rsid w:val="001F5750"/>
    <w:rsid w:val="00253429"/>
    <w:rsid w:val="002C2F8C"/>
    <w:rsid w:val="002E7D37"/>
    <w:rsid w:val="00635702"/>
    <w:rsid w:val="0083769B"/>
    <w:rsid w:val="00BA2DE4"/>
    <w:rsid w:val="00C3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F044"/>
  <w15:chartTrackingRefBased/>
  <w15:docId w15:val="{C012A0B9-2049-4D83-BA22-0716C96A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7D37"/>
    <w:pPr>
      <w:spacing w:after="120" w:line="240" w:lineRule="auto"/>
    </w:pPr>
    <w:rPr>
      <w:rFonts w:ascii="Calibri" w:hAnsi="Calibri" w:cs="Times New Roman"/>
      <w:sz w:val="20"/>
    </w:rPr>
  </w:style>
  <w:style w:type="paragraph" w:styleId="Nadpis1">
    <w:name w:val="heading 1"/>
    <w:next w:val="Normlny"/>
    <w:link w:val="Nadpis1Char"/>
    <w:uiPriority w:val="9"/>
    <w:qFormat/>
    <w:rsid w:val="002E7D37"/>
    <w:pPr>
      <w:keepNext/>
      <w:keepLines/>
      <w:spacing w:after="0" w:line="256" w:lineRule="auto"/>
      <w:ind w:left="574" w:hanging="10"/>
      <w:outlineLvl w:val="0"/>
    </w:pPr>
    <w:rPr>
      <w:rFonts w:ascii="Times New Roman" w:eastAsia="Times New Roman" w:hAnsi="Times New Roman" w:cs="Times New Roman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7D37"/>
    <w:rPr>
      <w:rFonts w:ascii="Times New Roman" w:eastAsia="Times New Roman" w:hAnsi="Times New Roman" w:cs="Times New Roman"/>
      <w:b/>
      <w:color w:val="000000"/>
      <w:lang w:eastAsia="sk-SK"/>
    </w:rPr>
  </w:style>
  <w:style w:type="paragraph" w:styleId="Normlnywebov">
    <w:name w:val="Normal (Web)"/>
    <w:basedOn w:val="Normlny"/>
    <w:uiPriority w:val="99"/>
    <w:unhideWhenUsed/>
    <w:rsid w:val="002E7D3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E7D3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efault">
    <w:name w:val="Default"/>
    <w:uiPriority w:val="99"/>
    <w:rsid w:val="002E7D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2E7D37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34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3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ESO9 international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Saloňová Lenka</dc:creator>
  <cp:keywords/>
  <dc:description/>
  <cp:lastModifiedBy>Saloňová Lenka</cp:lastModifiedBy>
  <cp:revision>2</cp:revision>
  <cp:lastPrinted>2025-03-26T08:33:00Z</cp:lastPrinted>
  <dcterms:created xsi:type="dcterms:W3CDTF">2026-03-20T12:58:00Z</dcterms:created>
  <dcterms:modified xsi:type="dcterms:W3CDTF">2026-03-20T12:58:00Z</dcterms:modified>
</cp:coreProperties>
</file>