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28AD" w:rsidRDefault="00D96D41">
      <w:pPr>
        <w:spacing w:after="237" w:line="265" w:lineRule="auto"/>
        <w:ind w:left="-5"/>
        <w:jc w:val="left"/>
      </w:pPr>
      <w:r>
        <w:rPr>
          <w:b/>
          <w:u w:val="single" w:color="000000"/>
        </w:rPr>
        <w:t>VŠEOBECNÉ INFORMÁCIE</w:t>
      </w:r>
    </w:p>
    <w:p w:rsidR="005128AD" w:rsidRDefault="00D96D41">
      <w:pPr>
        <w:spacing w:after="5"/>
        <w:ind w:left="-5" w:right="26"/>
      </w:pPr>
      <w:r>
        <w:t xml:space="preserve">La </w:t>
      </w:r>
      <w:proofErr w:type="spellStart"/>
      <w:r>
        <w:t>Rena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.. (ďalej len „spoločnosť”) je spoločnosť s ručením obmedzeným, ktorá bola založená dňa 20/09/2012. Dňa 20/09/2012 bola zapísaná do Obchodného registra vedenom na Okresnom súde Bratislava I, zapísaná v OR </w:t>
      </w:r>
      <w:proofErr w:type="spellStart"/>
      <w:r>
        <w:t>Okr</w:t>
      </w:r>
      <w:proofErr w:type="spellEnd"/>
      <w:r>
        <w:t>. súdu</w:t>
      </w:r>
    </w:p>
    <w:p w:rsidR="005128AD" w:rsidRDefault="00D96D41">
      <w:pPr>
        <w:ind w:left="-5" w:right="26"/>
      </w:pPr>
      <w:r>
        <w:t xml:space="preserve">Bratislava I,  oddiel </w:t>
      </w:r>
      <w:proofErr w:type="spellStart"/>
      <w:r>
        <w:t>Sro</w:t>
      </w:r>
      <w:proofErr w:type="spellEnd"/>
      <w:r>
        <w:t xml:space="preserve"> vložka 84161/B , sídlo Tomášikova 1655/3, 821 01  Bratislava.</w:t>
      </w:r>
    </w:p>
    <w:p w:rsidR="005128AD" w:rsidRDefault="00D96D41">
      <w:pPr>
        <w:spacing w:after="1814"/>
        <w:ind w:left="-5" w:right="26"/>
      </w:pPr>
      <w:r>
        <w:t xml:space="preserve">V priebehu účtovného obdobia neboli uskutočnené zmeny v zápise do Obchodného registra. </w:t>
      </w:r>
    </w:p>
    <w:p w:rsidR="005128AD" w:rsidRDefault="00D96D41">
      <w:pPr>
        <w:spacing w:after="277"/>
        <w:ind w:left="-5" w:right="26"/>
      </w:pPr>
      <w:r>
        <w:t>Účtovná závierka spoločnosti za predchádzaj</w:t>
      </w:r>
      <w:r w:rsidR="006C6A30">
        <w:t>úce účtovné obdobie k 31.12.2024</w:t>
      </w:r>
      <w:r>
        <w:t xml:space="preserve"> bola schválená valným zhromaž</w:t>
      </w:r>
      <w:r w:rsidR="006C6A30">
        <w:t>dením spoločnosti dňa 22.03.2025</w:t>
      </w:r>
      <w:r>
        <w:t>.</w:t>
      </w:r>
    </w:p>
    <w:p w:rsidR="005128AD" w:rsidRDefault="00D96D41">
      <w:pPr>
        <w:ind w:left="-5" w:right="26"/>
      </w:pPr>
      <w:r>
        <w:t>Účtovná závierka</w:t>
      </w:r>
      <w:r w:rsidR="006C6A30">
        <w:t xml:space="preserve"> spoločnosti k 31. decembru 2025</w:t>
      </w:r>
      <w:r>
        <w:t xml:space="preserve"> je zostavená ako riadna účtovná závierka podľa zákona NR SR č. 431/2002 Z. z. o účtovníctve za úč</w:t>
      </w:r>
      <w:r w:rsidR="006C6A30">
        <w:t>tovné obdobie od 1. januára 2025</w:t>
      </w:r>
      <w:r>
        <w:t xml:space="preserve"> do 31. decembra 20</w:t>
      </w:r>
      <w:r w:rsidR="006C6A30">
        <w:t>25</w:t>
      </w:r>
      <w:r>
        <w:t>.</w:t>
      </w:r>
    </w:p>
    <w:p w:rsidR="005128AD" w:rsidRDefault="00D96D41">
      <w:pPr>
        <w:spacing w:after="48"/>
        <w:ind w:left="-5" w:right="26"/>
      </w:pPr>
      <w:r>
        <w:t>Informácie o počte zamestnancov:</w:t>
      </w:r>
    </w:p>
    <w:tbl>
      <w:tblPr>
        <w:tblStyle w:val="TableGrid"/>
        <w:tblW w:w="9386" w:type="dxa"/>
        <w:tblInd w:w="-32" w:type="dxa"/>
        <w:tblCellMar>
          <w:left w:w="28" w:type="dxa"/>
          <w:right w:w="115" w:type="dxa"/>
        </w:tblCellMar>
        <w:tblLook w:val="04A0" w:firstRow="1" w:lastRow="0" w:firstColumn="1" w:lastColumn="0" w:noHBand="0" w:noVBand="1"/>
      </w:tblPr>
      <w:tblGrid>
        <w:gridCol w:w="3037"/>
        <w:gridCol w:w="3312"/>
        <w:gridCol w:w="3037"/>
      </w:tblGrid>
      <w:tr w:rsidR="005128AD">
        <w:trPr>
          <w:trHeight w:val="679"/>
        </w:trPr>
        <w:tc>
          <w:tcPr>
            <w:tcW w:w="3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90" w:firstLine="0"/>
              <w:jc w:val="center"/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33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89" w:firstLine="0"/>
              <w:jc w:val="center"/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3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5128AD">
        <w:trPr>
          <w:trHeight w:val="456"/>
        </w:trPr>
        <w:tc>
          <w:tcPr>
            <w:tcW w:w="3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t>Priemerný prepočítaný počet zamestnancov</w:t>
            </w:r>
          </w:p>
        </w:tc>
        <w:tc>
          <w:tcPr>
            <w:tcW w:w="33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91" w:firstLine="0"/>
              <w:jc w:val="center"/>
            </w:pPr>
            <w:r>
              <w:rPr>
                <w:sz w:val="13"/>
              </w:rPr>
              <w:t>0</w:t>
            </w:r>
          </w:p>
        </w:tc>
        <w:tc>
          <w:tcPr>
            <w:tcW w:w="30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89" w:firstLine="0"/>
              <w:jc w:val="center"/>
            </w:pPr>
            <w:r>
              <w:rPr>
                <w:sz w:val="13"/>
              </w:rPr>
              <w:t>0</w:t>
            </w:r>
          </w:p>
        </w:tc>
      </w:tr>
    </w:tbl>
    <w:p w:rsidR="005128AD" w:rsidRDefault="00D96D41">
      <w:pPr>
        <w:spacing w:after="43"/>
        <w:ind w:left="-5" w:right="26"/>
      </w:pPr>
      <w:r>
        <w:t>Členovia štatutárnych orgánov:</w:t>
      </w:r>
    </w:p>
    <w:tbl>
      <w:tblPr>
        <w:tblStyle w:val="TableGrid"/>
        <w:tblW w:w="4693" w:type="dxa"/>
        <w:tblInd w:w="-32" w:type="dxa"/>
        <w:tblCellMar>
          <w:top w:w="53" w:type="dxa"/>
          <w:left w:w="28" w:type="dxa"/>
          <w:right w:w="115" w:type="dxa"/>
        </w:tblCellMar>
        <w:tblLook w:val="04A0" w:firstRow="1" w:lastRow="0" w:firstColumn="1" w:lastColumn="0" w:noHBand="0" w:noVBand="1"/>
      </w:tblPr>
      <w:tblGrid>
        <w:gridCol w:w="1380"/>
        <w:gridCol w:w="3313"/>
      </w:tblGrid>
      <w:tr w:rsidR="005128AD">
        <w:trPr>
          <w:trHeight w:val="233"/>
        </w:trPr>
        <w:tc>
          <w:tcPr>
            <w:tcW w:w="138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t>Konateľ:</w:t>
            </w:r>
          </w:p>
        </w:tc>
        <w:tc>
          <w:tcPr>
            <w:tcW w:w="331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5" w:firstLine="0"/>
              <w:jc w:val="left"/>
            </w:pPr>
            <w:r>
              <w:t xml:space="preserve">Renata </w:t>
            </w:r>
            <w:proofErr w:type="spellStart"/>
            <w:r>
              <w:t>Kliská</w:t>
            </w:r>
            <w:proofErr w:type="spellEnd"/>
          </w:p>
        </w:tc>
      </w:tr>
    </w:tbl>
    <w:p w:rsidR="005128AD" w:rsidRDefault="00D96D41">
      <w:pPr>
        <w:spacing w:after="446"/>
        <w:ind w:left="-5" w:right="26"/>
      </w:pPr>
      <w:r>
        <w:t>Členom štatutárneho orgánu, ani členom dozo</w:t>
      </w:r>
      <w:r w:rsidR="006C6A30">
        <w:t>rných orgánov neboli v roku 2025</w:t>
      </w:r>
      <w:r>
        <w:t xml:space="preserve"> poskytnuté žiadne pôžičky, záruky alebo iné formy zabezpečenia, ani finančné prostriedky alebo iné plnenia na súkromné účely členov, ktoré sa vyúčtovávajú  .</w:t>
      </w:r>
    </w:p>
    <w:p w:rsidR="005128AD" w:rsidRDefault="00D96D41">
      <w:pPr>
        <w:spacing w:after="39"/>
        <w:ind w:left="-5" w:right="26"/>
      </w:pPr>
      <w:r>
        <w:t>Informácie o štruktúre spoločníkov ku dňu, ku ktorému sa zostavuje účtovná závierka:</w:t>
      </w:r>
    </w:p>
    <w:tbl>
      <w:tblPr>
        <w:tblStyle w:val="TableGrid"/>
        <w:tblW w:w="9386" w:type="dxa"/>
        <w:tblInd w:w="-32" w:type="dxa"/>
        <w:tblCellMar>
          <w:top w:w="83" w:type="dxa"/>
        </w:tblCellMar>
        <w:tblLook w:val="04A0" w:firstRow="1" w:lastRow="0" w:firstColumn="1" w:lastColumn="0" w:noHBand="0" w:noVBand="1"/>
      </w:tblPr>
      <w:tblGrid>
        <w:gridCol w:w="2761"/>
        <w:gridCol w:w="1104"/>
        <w:gridCol w:w="1104"/>
        <w:gridCol w:w="2209"/>
        <w:gridCol w:w="2208"/>
      </w:tblGrid>
      <w:tr w:rsidR="005128AD">
        <w:trPr>
          <w:trHeight w:val="456"/>
        </w:trPr>
        <w:tc>
          <w:tcPr>
            <w:tcW w:w="276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13"/>
              </w:rPr>
              <w:t>Spoločník</w:t>
            </w:r>
          </w:p>
        </w:tc>
        <w:tc>
          <w:tcPr>
            <w:tcW w:w="22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575" w:hanging="12"/>
            </w:pPr>
            <w:r>
              <w:rPr>
                <w:b/>
                <w:sz w:val="13"/>
              </w:rPr>
              <w:t>Výška podielu na                základnom imaní</w:t>
            </w:r>
          </w:p>
        </w:tc>
        <w:tc>
          <w:tcPr>
            <w:tcW w:w="2209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61" w:firstLine="0"/>
              <w:jc w:val="center"/>
            </w:pPr>
            <w:r>
              <w:rPr>
                <w:b/>
                <w:sz w:val="13"/>
              </w:rPr>
              <w:t>Podiel na hlasovacích           právach v %</w:t>
            </w:r>
          </w:p>
        </w:tc>
        <w:tc>
          <w:tcPr>
            <w:tcW w:w="2208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-15" w:right="3" w:firstLine="0"/>
              <w:jc w:val="center"/>
            </w:pPr>
            <w:r>
              <w:rPr>
                <w:b/>
                <w:sz w:val="13"/>
              </w:rPr>
              <w:t xml:space="preserve"> </w:t>
            </w:r>
            <w:r>
              <w:rPr>
                <w:b/>
                <w:sz w:val="13"/>
              </w:rPr>
              <w:tab/>
              <w:t>Iný podiel na ostatných položkách VI ako na ZI v %</w:t>
            </w:r>
          </w:p>
        </w:tc>
      </w:tr>
      <w:tr w:rsidR="005128AD">
        <w:trPr>
          <w:trHeight w:val="408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5128A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3"/>
              </w:rPr>
              <w:t>absolútne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9" w:firstLine="0"/>
              <w:jc w:val="center"/>
            </w:pPr>
            <w:r>
              <w:rPr>
                <w:b/>
                <w:sz w:val="13"/>
              </w:rPr>
              <w:t>v %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5128A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5128AD">
            <w:pPr>
              <w:spacing w:after="160" w:line="259" w:lineRule="auto"/>
              <w:ind w:left="0" w:firstLine="0"/>
              <w:jc w:val="left"/>
            </w:pPr>
          </w:p>
        </w:tc>
      </w:tr>
      <w:tr w:rsidR="005128AD">
        <w:trPr>
          <w:trHeight w:val="446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28" w:firstLine="0"/>
              <w:jc w:val="left"/>
            </w:pPr>
            <w:r>
              <w:rPr>
                <w:sz w:val="13"/>
              </w:rPr>
              <w:t xml:space="preserve">Ing Renata </w:t>
            </w:r>
            <w:proofErr w:type="spellStart"/>
            <w:r>
              <w:rPr>
                <w:sz w:val="13"/>
              </w:rPr>
              <w:t>Kliská</w:t>
            </w:r>
            <w:proofErr w:type="spellEnd"/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3" w:firstLine="0"/>
              <w:jc w:val="center"/>
            </w:pPr>
            <w:r>
              <w:rPr>
                <w:sz w:val="13"/>
              </w:rPr>
              <w:t>5 000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5" w:firstLine="0"/>
              <w:jc w:val="center"/>
            </w:pPr>
            <w:r>
              <w:rPr>
                <w:sz w:val="13"/>
              </w:rPr>
              <w:t>100,00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5" w:firstLine="0"/>
              <w:jc w:val="center"/>
            </w:pPr>
            <w:r>
              <w:rPr>
                <w:sz w:val="13"/>
              </w:rPr>
              <w:t>100,00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5128AD">
            <w:pPr>
              <w:spacing w:after="160" w:line="259" w:lineRule="auto"/>
              <w:ind w:left="0" w:firstLine="0"/>
              <w:jc w:val="left"/>
            </w:pPr>
          </w:p>
        </w:tc>
      </w:tr>
      <w:tr w:rsidR="005128AD">
        <w:trPr>
          <w:trHeight w:val="446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28" w:firstLine="0"/>
              <w:jc w:val="left"/>
            </w:pPr>
            <w:r>
              <w:rPr>
                <w:sz w:val="13"/>
              </w:rPr>
              <w:t xml:space="preserve"> 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3" w:firstLine="0"/>
              <w:jc w:val="center"/>
            </w:pPr>
            <w:r>
              <w:rPr>
                <w:sz w:val="13"/>
              </w:rPr>
              <w:t>0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5" w:firstLine="0"/>
              <w:jc w:val="center"/>
            </w:pPr>
            <w:r>
              <w:rPr>
                <w:sz w:val="13"/>
              </w:rPr>
              <w:t>0,00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5" w:firstLine="0"/>
              <w:jc w:val="center"/>
            </w:pPr>
            <w:r>
              <w:rPr>
                <w:sz w:val="13"/>
              </w:rPr>
              <w:t>0,00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5128AD">
            <w:pPr>
              <w:spacing w:after="160" w:line="259" w:lineRule="auto"/>
              <w:ind w:left="0" w:firstLine="0"/>
              <w:jc w:val="left"/>
            </w:pPr>
          </w:p>
        </w:tc>
      </w:tr>
      <w:tr w:rsidR="005128AD">
        <w:trPr>
          <w:trHeight w:val="457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28" w:firstLine="0"/>
              <w:jc w:val="left"/>
            </w:pPr>
            <w:r>
              <w:rPr>
                <w:b/>
                <w:sz w:val="13"/>
              </w:rPr>
              <w:t>Spolu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3"/>
              </w:rPr>
              <w:t>5 000</w:t>
            </w:r>
          </w:p>
        </w:tc>
        <w:tc>
          <w:tcPr>
            <w:tcW w:w="110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3"/>
              </w:rPr>
              <w:t>100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3"/>
              </w:rPr>
              <w:t>100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13" w:firstLine="0"/>
              <w:jc w:val="center"/>
            </w:pPr>
            <w:r>
              <w:rPr>
                <w:b/>
                <w:sz w:val="13"/>
              </w:rPr>
              <w:t>0</w:t>
            </w:r>
          </w:p>
        </w:tc>
      </w:tr>
    </w:tbl>
    <w:p w:rsidR="005128AD" w:rsidRDefault="00D96D41">
      <w:pPr>
        <w:spacing w:after="708"/>
        <w:ind w:left="-5" w:right="26"/>
      </w:pPr>
      <w:r>
        <w:t>Spoločnosť nie je súčasťou skupiny .</w:t>
      </w:r>
    </w:p>
    <w:p w:rsidR="005128AD" w:rsidRDefault="00D96D41">
      <w:pPr>
        <w:ind w:left="-5" w:right="26"/>
      </w:pPr>
      <w:r>
        <w:t xml:space="preserve">Spoločnosť nie je materskou účtovnou jednotkou v iných účtovných jednotkách. </w:t>
      </w:r>
    </w:p>
    <w:p w:rsidR="005128AD" w:rsidRDefault="00D96D41">
      <w:pPr>
        <w:spacing w:after="237" w:line="265" w:lineRule="auto"/>
        <w:ind w:left="-5"/>
        <w:jc w:val="left"/>
      </w:pPr>
      <w:r>
        <w:rPr>
          <w:b/>
          <w:u w:val="single" w:color="000000"/>
        </w:rPr>
        <w:t xml:space="preserve">INFORMÁCIE O PRIJATÝCH POSTUPOCH </w:t>
      </w:r>
    </w:p>
    <w:p w:rsidR="005128AD" w:rsidRDefault="00D96D41">
      <w:pPr>
        <w:spacing w:after="255" w:line="265" w:lineRule="auto"/>
        <w:ind w:left="-5"/>
        <w:jc w:val="left"/>
      </w:pPr>
      <w:r>
        <w:rPr>
          <w:b/>
        </w:rPr>
        <w:t>Východiská pre zostavenie účtovnej závierky:</w:t>
      </w:r>
    </w:p>
    <w:p w:rsidR="005128AD" w:rsidRDefault="00D96D41">
      <w:pPr>
        <w:ind w:left="-5" w:right="26"/>
      </w:pPr>
      <w:r>
        <w:lastRenderedPageBreak/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128AD" w:rsidRDefault="00D96D41">
      <w:pPr>
        <w:ind w:left="-5" w:right="26"/>
      </w:pPr>
      <w:r>
        <w:t>Účtovné metódy a všeobecné účtovné zásady boli účtovnou jednotkou konzistentne aplikované.</w:t>
      </w:r>
    </w:p>
    <w:p w:rsidR="005128AD" w:rsidRDefault="00D96D41">
      <w:pPr>
        <w:spacing w:after="255" w:line="265" w:lineRule="auto"/>
        <w:ind w:left="-5"/>
        <w:jc w:val="left"/>
      </w:pPr>
      <w:r>
        <w:rPr>
          <w:b/>
        </w:rPr>
        <w:t>Informácie o charaktere a účele transakcií, ktoré sa neuvádzajú v súvahe:</w:t>
      </w:r>
    </w:p>
    <w:p w:rsidR="005128AD" w:rsidRDefault="00D96D41">
      <w:pPr>
        <w:spacing w:after="490"/>
        <w:ind w:left="-5" w:right="26"/>
      </w:pPr>
      <w:r>
        <w:t>Spoločnosť si prenajíma administratívne priestory.</w:t>
      </w:r>
    </w:p>
    <w:p w:rsidR="005128AD" w:rsidRDefault="00D96D41">
      <w:pPr>
        <w:spacing w:after="237" w:line="265" w:lineRule="auto"/>
        <w:ind w:left="-5"/>
        <w:jc w:val="left"/>
      </w:pPr>
      <w:r>
        <w:rPr>
          <w:b/>
          <w:u w:val="single" w:color="000000"/>
        </w:rPr>
        <w:t>SPÔSOBY A URČENIE OCENENIA VRÁTANE ÚČTOVNÝCH ODHADOV A PREDPOKLADOV</w:t>
      </w:r>
    </w:p>
    <w:p w:rsidR="005128AD" w:rsidRDefault="00D96D41">
      <w:pPr>
        <w:pStyle w:val="Nadpis1"/>
        <w:ind w:left="-5"/>
      </w:pPr>
      <w:r>
        <w:t>Dlhodobý nehmotný majetok</w:t>
      </w:r>
    </w:p>
    <w:p w:rsidR="005128AD" w:rsidRDefault="00D96D41">
      <w:pPr>
        <w:spacing w:after="308"/>
        <w:ind w:left="-5" w:right="26"/>
      </w:pPr>
      <w:r>
        <w:t>Nakupovaný dlhodobý nehmotný majetok sa oceňuje v obstarávacích cenách, ktoré obsahujú cenu obstarania a náklady súvisiace s jeho obstaraním. Spoločnosť eviduje v dlhodobom nehmotnom majetku softvér a ostatný dlhodobý nehmotný majetok.</w:t>
      </w:r>
    </w:p>
    <w:p w:rsidR="005128AD" w:rsidRDefault="00D96D41">
      <w:pPr>
        <w:pStyle w:val="Nadpis1"/>
        <w:ind w:left="-5"/>
      </w:pPr>
      <w:r>
        <w:t>Odpisovanie</w:t>
      </w:r>
    </w:p>
    <w:p w:rsidR="005128AD" w:rsidRDefault="00D96D41">
      <w:pPr>
        <w:spacing w:after="36"/>
        <w:ind w:left="-5" w:right="26"/>
      </w:pPr>
      <w:r>
        <w:t>Dlhodobý nehmotný majetok sa odpisuje do nákladov počas predpokladanej doby jeho používania a predpokladaného priebehu jeho opotrebenia. Odpisovať sa začína prvým dňom mesiaca nasledujúceho po uvedení dlhodobého majetku do používania. Drobný dlhodobý nehmotný majetok, ktorého obstarávacia cena je 2 400 EUR a nižšia, sa odpisuje jednorazovo pri uvedení do používania. Predpokladaná doba používania, metóda odpisovania a odpisová sadzba sú stanovené pre jednotlivé skupiny dlhodobého nehmotného majetku  nasledovne:</w:t>
      </w:r>
    </w:p>
    <w:tbl>
      <w:tblPr>
        <w:tblStyle w:val="TableGrid"/>
        <w:tblW w:w="9386" w:type="dxa"/>
        <w:tblInd w:w="-32" w:type="dxa"/>
        <w:tblCellMar>
          <w:top w:w="55" w:type="dxa"/>
          <w:left w:w="28" w:type="dxa"/>
          <w:right w:w="92" w:type="dxa"/>
        </w:tblCellMar>
        <w:tblLook w:val="04A0" w:firstRow="1" w:lastRow="0" w:firstColumn="1" w:lastColumn="0" w:noHBand="0" w:noVBand="1"/>
      </w:tblPr>
      <w:tblGrid>
        <w:gridCol w:w="2761"/>
        <w:gridCol w:w="2208"/>
        <w:gridCol w:w="2209"/>
        <w:gridCol w:w="2208"/>
      </w:tblGrid>
      <w:tr w:rsidR="005128AD">
        <w:trPr>
          <w:trHeight w:val="446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5128A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62" w:firstLine="0"/>
              <w:jc w:val="left"/>
            </w:pPr>
            <w:r>
              <w:rPr>
                <w:b/>
                <w:sz w:val="13"/>
              </w:rPr>
              <w:t>Predpokladaná doba používania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75" w:firstLine="0"/>
              <w:jc w:val="center"/>
            </w:pPr>
            <w:r>
              <w:rPr>
                <w:b/>
                <w:sz w:val="13"/>
              </w:rPr>
              <w:t>Ročná odpisová sadzba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78" w:firstLine="0"/>
              <w:jc w:val="center"/>
            </w:pPr>
            <w:r>
              <w:rPr>
                <w:b/>
                <w:sz w:val="13"/>
              </w:rPr>
              <w:t>Metóda odpisovania</w:t>
            </w:r>
          </w:p>
        </w:tc>
      </w:tr>
      <w:tr w:rsidR="005128AD">
        <w:trPr>
          <w:trHeight w:val="233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t>Softvér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7" w:firstLine="0"/>
              <w:jc w:val="center"/>
            </w:pPr>
            <w:r>
              <w:rPr>
                <w:sz w:val="13"/>
              </w:rPr>
              <w:t>4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9" w:firstLine="0"/>
              <w:jc w:val="center"/>
            </w:pPr>
            <w:r>
              <w:rPr>
                <w:sz w:val="13"/>
              </w:rPr>
              <w:t>25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9" w:firstLine="0"/>
              <w:jc w:val="center"/>
            </w:pPr>
            <w:r>
              <w:rPr>
                <w:sz w:val="13"/>
              </w:rPr>
              <w:t>rovnomerne</w:t>
            </w:r>
          </w:p>
        </w:tc>
      </w:tr>
      <w:tr w:rsidR="005128AD">
        <w:trPr>
          <w:trHeight w:val="233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t xml:space="preserve">Ostatný DNM 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7" w:firstLine="0"/>
              <w:jc w:val="center"/>
            </w:pPr>
            <w:r>
              <w:rPr>
                <w:sz w:val="13"/>
              </w:rPr>
              <w:t>4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9" w:firstLine="0"/>
              <w:jc w:val="center"/>
            </w:pPr>
            <w:r>
              <w:rPr>
                <w:sz w:val="13"/>
              </w:rPr>
              <w:t>25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9" w:firstLine="0"/>
              <w:jc w:val="center"/>
            </w:pPr>
            <w:r>
              <w:rPr>
                <w:sz w:val="13"/>
              </w:rPr>
              <w:t>rovnomerne</w:t>
            </w:r>
          </w:p>
        </w:tc>
      </w:tr>
    </w:tbl>
    <w:p w:rsidR="005128AD" w:rsidRDefault="00D96D41">
      <w:pPr>
        <w:spacing w:after="308"/>
        <w:ind w:left="-5" w:right="26"/>
      </w:pPr>
      <w:r>
        <w:t>V prípade prechodného zníženia úžitkovej hodnoty dlhodobého nehmotného majetku sa tvorí opravná položka vo výške rozdielu jeho zistenej úžitkovej hodnoty a zostatkovej hodnoty. Spoločnosť nemá vytvorenú opravnú položku k dlhodobému nehmotnému majetku.</w:t>
      </w:r>
    </w:p>
    <w:p w:rsidR="005128AD" w:rsidRDefault="00D96D41">
      <w:pPr>
        <w:pStyle w:val="Nadpis1"/>
        <w:ind w:left="-5"/>
      </w:pPr>
      <w:r>
        <w:t>Dlhodobý hmotný majetok</w:t>
      </w:r>
    </w:p>
    <w:p w:rsidR="005128AD" w:rsidRDefault="00D96D41">
      <w:pPr>
        <w:spacing w:after="638"/>
        <w:ind w:left="-5" w:right="26"/>
      </w:pPr>
      <w:r>
        <w:t>Nakupovaný dlhodobý hmotný majetok sa oceňuje v obstarávacích cenách, ktoré zahŕňajú cenu obstarania, náklady na dopravu, clo a ďalšie náklady súvisiace s obstaraním.</w:t>
      </w:r>
    </w:p>
    <w:p w:rsidR="005128AD" w:rsidRDefault="00D96D41">
      <w:pPr>
        <w:ind w:left="-5" w:right="26"/>
      </w:pPr>
      <w:r>
        <w:t>Náklady na technické zhodnotenie dlhodobého hmotného majetku zvyšujú jeho obstarávaciu cenu. Opravy a údržba sa účtujú do nákladov.</w:t>
      </w:r>
    </w:p>
    <w:p w:rsidR="005128AD" w:rsidRDefault="00D96D41">
      <w:pPr>
        <w:pStyle w:val="Nadpis1"/>
        <w:ind w:left="-5"/>
      </w:pPr>
      <w:r>
        <w:t>Odpisovanie</w:t>
      </w:r>
    </w:p>
    <w:p w:rsidR="005128AD" w:rsidRDefault="00D96D41">
      <w:pPr>
        <w:ind w:left="-5" w:right="26"/>
      </w:pPr>
      <w:r>
        <w:t>Dlhodobý hmotný majetok sa odpisuje do nákladov počas predpokladanej doby jeho používania a predpokladaného priebehu jeho opotrebenia. Odpisovať sa začína prvým dňom mesiaca nasledujúceho po uvedení dlhodobého majetku do používania. Drobný dlhodobý hmotný majetok, ktorého obstarávacia cena je 1 700 EUR a nižšia, sa odpisuje jednorazovo pri uvedení do používania. Predpokladaná doba používania, metóda odpisovania a odpisová sadzba sú stanovené pre jednotlivé skupiny dlhodobého hmotného majetku  nasledovne:</w:t>
      </w:r>
    </w:p>
    <w:tbl>
      <w:tblPr>
        <w:tblStyle w:val="TableGrid"/>
        <w:tblW w:w="9386" w:type="dxa"/>
        <w:tblInd w:w="-32" w:type="dxa"/>
        <w:tblCellMar>
          <w:top w:w="35" w:type="dxa"/>
          <w:left w:w="28" w:type="dxa"/>
          <w:right w:w="92" w:type="dxa"/>
        </w:tblCellMar>
        <w:tblLook w:val="04A0" w:firstRow="1" w:lastRow="0" w:firstColumn="1" w:lastColumn="0" w:noHBand="0" w:noVBand="1"/>
      </w:tblPr>
      <w:tblGrid>
        <w:gridCol w:w="2761"/>
        <w:gridCol w:w="2208"/>
        <w:gridCol w:w="2209"/>
        <w:gridCol w:w="2208"/>
      </w:tblGrid>
      <w:tr w:rsidR="005128AD">
        <w:trPr>
          <w:trHeight w:val="456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5128AD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62" w:firstLine="0"/>
              <w:jc w:val="left"/>
            </w:pPr>
            <w:r>
              <w:rPr>
                <w:b/>
                <w:sz w:val="13"/>
              </w:rPr>
              <w:t>Predpokladaná doba používania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75" w:firstLine="0"/>
              <w:jc w:val="center"/>
            </w:pPr>
            <w:r>
              <w:rPr>
                <w:b/>
                <w:sz w:val="13"/>
              </w:rPr>
              <w:t>Ročná odpisová sadzba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78" w:firstLine="0"/>
              <w:jc w:val="center"/>
            </w:pPr>
            <w:r>
              <w:rPr>
                <w:b/>
                <w:sz w:val="13"/>
              </w:rPr>
              <w:t>Metóda odpisovania</w:t>
            </w:r>
          </w:p>
        </w:tc>
      </w:tr>
      <w:tr w:rsidR="005128AD">
        <w:trPr>
          <w:trHeight w:val="233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t>Stroje, prístroje a zariadenia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7" w:firstLine="0"/>
              <w:jc w:val="center"/>
            </w:pPr>
            <w:r>
              <w:rPr>
                <w:sz w:val="13"/>
              </w:rPr>
              <w:t>4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9" w:firstLine="0"/>
              <w:jc w:val="center"/>
            </w:pPr>
            <w:r>
              <w:rPr>
                <w:sz w:val="13"/>
              </w:rPr>
              <w:t>25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9" w:firstLine="0"/>
              <w:jc w:val="center"/>
            </w:pPr>
            <w:r>
              <w:rPr>
                <w:sz w:val="13"/>
              </w:rPr>
              <w:t>rovnomerne</w:t>
            </w:r>
          </w:p>
        </w:tc>
      </w:tr>
      <w:tr w:rsidR="005128AD">
        <w:trPr>
          <w:trHeight w:val="233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lastRenderedPageBreak/>
              <w:t>Dopravné prostriedky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7" w:firstLine="0"/>
              <w:jc w:val="center"/>
            </w:pPr>
            <w:r>
              <w:rPr>
                <w:sz w:val="13"/>
              </w:rPr>
              <w:t>4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9" w:firstLine="0"/>
              <w:jc w:val="center"/>
            </w:pPr>
            <w:r>
              <w:rPr>
                <w:sz w:val="13"/>
              </w:rPr>
              <w:t>25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9" w:firstLine="0"/>
              <w:jc w:val="center"/>
            </w:pPr>
            <w:r>
              <w:rPr>
                <w:sz w:val="13"/>
              </w:rPr>
              <w:t>rovnomerne</w:t>
            </w:r>
          </w:p>
        </w:tc>
      </w:tr>
      <w:tr w:rsidR="005128AD">
        <w:trPr>
          <w:trHeight w:val="233"/>
        </w:trPr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t>Inventár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7" w:firstLine="0"/>
              <w:jc w:val="center"/>
            </w:pPr>
            <w:r>
              <w:rPr>
                <w:sz w:val="13"/>
              </w:rPr>
              <w:t>6</w:t>
            </w:r>
          </w:p>
        </w:tc>
        <w:tc>
          <w:tcPr>
            <w:tcW w:w="22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7" w:firstLine="0"/>
              <w:jc w:val="center"/>
            </w:pPr>
            <w:r>
              <w:rPr>
                <w:sz w:val="13"/>
              </w:rPr>
              <w:t>16,66</w:t>
            </w:r>
          </w:p>
        </w:tc>
        <w:tc>
          <w:tcPr>
            <w:tcW w:w="22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79" w:firstLine="0"/>
              <w:jc w:val="center"/>
            </w:pPr>
            <w:r>
              <w:rPr>
                <w:sz w:val="13"/>
              </w:rPr>
              <w:t>rovnomerne</w:t>
            </w:r>
          </w:p>
        </w:tc>
      </w:tr>
    </w:tbl>
    <w:p w:rsidR="005128AD" w:rsidRDefault="00D96D41">
      <w:pPr>
        <w:spacing w:after="308"/>
        <w:ind w:left="-5" w:right="26"/>
      </w:pPr>
      <w:r>
        <w:t>V prípade prechodného zníženia úžitkovej hodnoty dlhodobého hmotného majetku sa tvorí opravná položka vo výške rozdielu jeho zistenej úžitkovej hodnoty a zostatkovej hodnoty. Spoločnosť nemá vytvorenú opravnú položku k dlhodobému hmotnému majetku.</w:t>
      </w:r>
    </w:p>
    <w:p w:rsidR="005128AD" w:rsidRDefault="00D96D41">
      <w:pPr>
        <w:spacing w:after="255" w:line="265" w:lineRule="auto"/>
        <w:ind w:left="-5"/>
        <w:jc w:val="left"/>
      </w:pPr>
      <w:r>
        <w:rPr>
          <w:b/>
        </w:rPr>
        <w:t>Finančné účty</w:t>
      </w:r>
    </w:p>
    <w:p w:rsidR="005128AD" w:rsidRDefault="00D96D41">
      <w:pPr>
        <w:ind w:left="-5" w:right="26"/>
      </w:pPr>
      <w:r>
        <w:t xml:space="preserve">Finančné účty tvoria ceniny, peniaze v hotovosti a na bankových účtoch. Oceňujú sa menovitou hodnotou. </w:t>
      </w:r>
    </w:p>
    <w:p w:rsidR="005128AD" w:rsidRDefault="00D96D41">
      <w:pPr>
        <w:pStyle w:val="Nadpis1"/>
        <w:ind w:left="-5"/>
      </w:pPr>
      <w:r>
        <w:t>Zásoby</w:t>
      </w:r>
    </w:p>
    <w:p w:rsidR="005128AD" w:rsidRDefault="00D96D41">
      <w:pPr>
        <w:spacing w:after="287"/>
        <w:ind w:left="-5" w:right="26"/>
      </w:pPr>
      <w:r>
        <w:t>Nakupované zásoby sú ocenené obstarávacími cenami. Spoločnosť účtuje o zásobách spôsobom A tak, ako to definujú postupy účtovania. Obstarávacia cena zásob zahŕňa cenu obstarania a</w:t>
      </w:r>
      <w:r w:rsidR="006C6A30">
        <w:t> </w:t>
      </w:r>
      <w:r>
        <w:t>náklady</w:t>
      </w:r>
      <w:r w:rsidR="006C6A30">
        <w:t xml:space="preserve"> </w:t>
      </w:r>
      <w:r>
        <w:t>súvisiace s ich obstaraním (náklady na prepravu, clo, provízie, atď.). Prijaté zľavy, diskonty, rabaty znižujú obstarávaciu cenu zásob.</w:t>
      </w:r>
    </w:p>
    <w:p w:rsidR="005128AD" w:rsidRDefault="00D96D41">
      <w:pPr>
        <w:spacing w:after="485"/>
        <w:ind w:left="-5" w:right="26"/>
      </w:pPr>
      <w:r>
        <w:t>Zníženie hodnoty zásob sa zohľadňuje vytvorením opravnej položky. Spoločnosť nemá vytvorenú opravnú položku k zásobám.</w:t>
      </w:r>
    </w:p>
    <w:p w:rsidR="005128AD" w:rsidRDefault="00D96D41">
      <w:pPr>
        <w:pStyle w:val="Nadpis1"/>
        <w:ind w:left="-5"/>
      </w:pPr>
      <w:r>
        <w:t>Pohľadávky</w:t>
      </w:r>
    </w:p>
    <w:p w:rsidR="005128AD" w:rsidRDefault="00D96D41">
      <w:pPr>
        <w:spacing w:after="199"/>
        <w:ind w:left="-5" w:right="26"/>
      </w:pPr>
      <w:r>
        <w:t>Pohľadávky sa pri ich vzniku oceňujú menovitou hodnotou. Ocenenie pochybných pohľadávok sa upravuje na ich realizovateľnú hodnotu opravnými  položkami. Spoločnosť nemá vytvorenú opravnú položku k pohľadávkam.</w:t>
      </w:r>
    </w:p>
    <w:p w:rsidR="005128AD" w:rsidRDefault="00D96D41">
      <w:pPr>
        <w:spacing w:after="718"/>
        <w:ind w:left="-5" w:right="26"/>
      </w:pPr>
      <w:r>
        <w:t xml:space="preserve">Spoločnosť eviduje krátkodobé pohľadávky. </w:t>
      </w:r>
    </w:p>
    <w:p w:rsidR="005128AD" w:rsidRDefault="00D96D41">
      <w:pPr>
        <w:pStyle w:val="Nadpis1"/>
        <w:ind w:left="-5"/>
      </w:pPr>
      <w:r>
        <w:t xml:space="preserve">Náklady budúcich období </w:t>
      </w:r>
    </w:p>
    <w:p w:rsidR="005128AD" w:rsidRDefault="00D96D41">
      <w:pPr>
        <w:ind w:left="-5" w:right="26"/>
      </w:pPr>
      <w:r>
        <w:t>Náklady budúcich období sa oceňujú ich menovitou hodnotou, pričom sa vykazujú vo výške, ktorá je potrebná na dodržanie zásady vecnej a časovej súvislosti s účtovným obdobím.</w:t>
      </w:r>
    </w:p>
    <w:p w:rsidR="005128AD" w:rsidRDefault="00D96D41">
      <w:pPr>
        <w:pStyle w:val="Nadpis1"/>
        <w:ind w:left="-5"/>
      </w:pPr>
      <w:r>
        <w:t xml:space="preserve">Záväzky </w:t>
      </w:r>
    </w:p>
    <w:p w:rsidR="005128AD" w:rsidRDefault="00D96D41">
      <w:pPr>
        <w:spacing w:after="75"/>
        <w:ind w:left="-5" w:right="26"/>
      </w:pPr>
      <w:r>
        <w:t>Záväzky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5128AD" w:rsidRDefault="00D96D41">
      <w:pPr>
        <w:spacing w:after="1300" w:line="259" w:lineRule="auto"/>
        <w:ind w:left="0" w:firstLine="0"/>
        <w:jc w:val="left"/>
      </w:pPr>
      <w:r>
        <w:t xml:space="preserve">   </w:t>
      </w:r>
    </w:p>
    <w:p w:rsidR="005128AD" w:rsidRDefault="00D96D41">
      <w:pPr>
        <w:pStyle w:val="Nadpis1"/>
        <w:ind w:left="-5"/>
      </w:pPr>
      <w:r>
        <w:t xml:space="preserve">Rezervy </w:t>
      </w:r>
    </w:p>
    <w:p w:rsidR="005128AD" w:rsidRDefault="00D96D41">
      <w:pPr>
        <w:spacing w:after="991"/>
        <w:ind w:left="-5" w:right="26"/>
      </w:pPr>
      <w:r>
        <w:t xml:space="preserve">Rezervy sú záväzky s neurčitým časovým vymedzením alebo výškou, tvoria sa na krytie známych rizík alebo strát z podnikania. Oceňujú sa v očakávanej výške záväzku. </w:t>
      </w:r>
    </w:p>
    <w:p w:rsidR="005128AD" w:rsidRDefault="00D96D41">
      <w:pPr>
        <w:spacing w:after="0" w:line="259" w:lineRule="auto"/>
        <w:ind w:left="0" w:firstLine="0"/>
        <w:jc w:val="left"/>
      </w:pPr>
      <w:r>
        <w:t xml:space="preserve">  </w:t>
      </w:r>
    </w:p>
    <w:p w:rsidR="005128AD" w:rsidRDefault="00D96D41">
      <w:pPr>
        <w:pStyle w:val="Nadpis1"/>
        <w:ind w:left="-5"/>
      </w:pPr>
      <w:r>
        <w:lastRenderedPageBreak/>
        <w:t>Vlastné imanie</w:t>
      </w:r>
    </w:p>
    <w:p w:rsidR="005128AD" w:rsidRDefault="00D96D41">
      <w:pPr>
        <w:ind w:left="-5" w:right="26"/>
      </w:pPr>
      <w:r>
        <w:t>Vlastné imanie sa skladá zo základného imania, zákonného rezervného fondu a výsledku hospodárenia minulých období a v schvaľovacom konaní.</w:t>
      </w:r>
    </w:p>
    <w:p w:rsidR="005128AD" w:rsidRDefault="00D96D41">
      <w:pPr>
        <w:spacing w:after="687"/>
        <w:ind w:left="-5" w:right="26"/>
      </w:pPr>
      <w:r>
        <w:t>Základné imanie spoločnosti sa vykazuje vo výške 5000 EUR zapísanej v obchodnom registri okresného súdu.</w:t>
      </w:r>
    </w:p>
    <w:p w:rsidR="005128AD" w:rsidRDefault="00D96D41">
      <w:pPr>
        <w:pStyle w:val="Nadpis1"/>
        <w:ind w:left="-5"/>
      </w:pPr>
      <w:r>
        <w:t>Transakcie v cudzích menách</w:t>
      </w:r>
    </w:p>
    <w:p w:rsidR="005128AD" w:rsidRDefault="00D96D41">
      <w:pPr>
        <w:ind w:left="-5" w:right="26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5128AD" w:rsidRDefault="00D96D41">
      <w:pPr>
        <w:ind w:left="-5" w:right="26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5128AD" w:rsidRDefault="00D96D41">
      <w:pPr>
        <w:ind w:left="-5" w:right="26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 </w:t>
      </w:r>
    </w:p>
    <w:p w:rsidR="005128AD" w:rsidRDefault="00D96D41">
      <w:pPr>
        <w:ind w:left="-5" w:right="26"/>
      </w:pPr>
      <w:r>
        <w:t xml:space="preserve">Kúpa a predaj cudzej meny sa prepočítava na euro kurzom, za ktorý boli tieto hodnoty nakúpené alebo predané.  </w:t>
      </w:r>
    </w:p>
    <w:p w:rsidR="005128AD" w:rsidRDefault="00D96D41">
      <w:pPr>
        <w:pStyle w:val="Nadpis1"/>
        <w:ind w:left="-5"/>
      </w:pPr>
      <w:r>
        <w:t>Výnosy</w:t>
      </w:r>
    </w:p>
    <w:p w:rsidR="005128AD" w:rsidRDefault="00D96D41">
      <w:pPr>
        <w:spacing w:after="456"/>
        <w:ind w:left="-5" w:right="26"/>
      </w:pPr>
      <w: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5128AD" w:rsidRDefault="00D96D41">
      <w:pPr>
        <w:spacing w:after="227" w:line="265" w:lineRule="auto"/>
        <w:ind w:left="-5"/>
        <w:jc w:val="left"/>
      </w:pPr>
      <w:r>
        <w:rPr>
          <w:b/>
        </w:rPr>
        <w:t>Finančný lízing</w:t>
      </w:r>
    </w:p>
    <w:p w:rsidR="005128AD" w:rsidRDefault="006C6A30">
      <w:pPr>
        <w:spacing w:after="1186"/>
        <w:ind w:left="-5" w:right="26"/>
      </w:pPr>
      <w:r>
        <w:t>Spoločnosť neú</w:t>
      </w:r>
      <w:r w:rsidR="00D96D41">
        <w:t>čtuje  o finančnom lízingu.</w:t>
      </w:r>
    </w:p>
    <w:p w:rsidR="005128AD" w:rsidRDefault="00D96D41">
      <w:pPr>
        <w:pStyle w:val="Nadpis1"/>
        <w:ind w:left="-5"/>
      </w:pPr>
      <w:r>
        <w:t>Daň z príjmu</w:t>
      </w:r>
    </w:p>
    <w:p w:rsidR="005128AD" w:rsidRDefault="00D96D41">
      <w:pPr>
        <w:ind w:left="-5" w:right="26"/>
      </w:pPr>
      <w:r>
        <w:t>Náklad na daň z príjmov sa počíta pomocou platnej daňovej sadzby z účtovného zisku upraveného o trvalé alebo dočasne daňovo neuznateľné náklady a nezdaňované výnosy. Spoločnosť o odloženej daňovej pohľadávke alebo daňovom záväzku neúčtuje vzhľadom na to, že nemá povinnosť auditu.</w:t>
      </w:r>
    </w:p>
    <w:p w:rsidR="005128AD" w:rsidRDefault="00D96D41">
      <w:pPr>
        <w:pStyle w:val="Nadpis1"/>
        <w:ind w:left="-5"/>
      </w:pPr>
      <w:r>
        <w:t>Opravy významných chýb minulých  účtovných období účtované v bežnom účtovnom období</w:t>
      </w:r>
    </w:p>
    <w:p w:rsidR="005128AD" w:rsidRDefault="00D96D41">
      <w:pPr>
        <w:spacing w:after="0" w:line="259" w:lineRule="auto"/>
        <w:ind w:left="0" w:firstLine="0"/>
        <w:jc w:val="left"/>
      </w:pPr>
      <w:r>
        <w:t xml:space="preserve"> </w:t>
      </w:r>
    </w:p>
    <w:p w:rsidR="005128AD" w:rsidRDefault="00D96D41">
      <w:pPr>
        <w:spacing w:after="470" w:line="265" w:lineRule="auto"/>
        <w:ind w:left="-5"/>
        <w:jc w:val="left"/>
      </w:pPr>
      <w:r>
        <w:rPr>
          <w:b/>
          <w:u w:val="single" w:color="000000"/>
        </w:rPr>
        <w:t>INFORMÁCIE, KTORÉ VYSVETĽUJÚ A DOPĹŇAJÚ SÚVAHU A VÝKAZ ZISKOV A STRÁT</w:t>
      </w:r>
    </w:p>
    <w:p w:rsidR="005128AD" w:rsidRDefault="00D96D41">
      <w:pPr>
        <w:spacing w:after="237" w:line="265" w:lineRule="auto"/>
        <w:ind w:left="-5"/>
        <w:jc w:val="left"/>
      </w:pPr>
      <w:r>
        <w:rPr>
          <w:b/>
          <w:u w:val="single" w:color="000000"/>
        </w:rPr>
        <w:t>ZÁVÄZKY</w:t>
      </w:r>
    </w:p>
    <w:p w:rsidR="006C6A30" w:rsidRDefault="00D96D41" w:rsidP="006C6A30">
      <w:pPr>
        <w:spacing w:after="2436"/>
        <w:ind w:left="-5" w:right="26"/>
      </w:pPr>
      <w:r>
        <w:t>Informácie o</w:t>
      </w:r>
      <w:r w:rsidR="006C6A30">
        <w:t> </w:t>
      </w:r>
      <w:r>
        <w:t>záväzkoch</w:t>
      </w:r>
    </w:p>
    <w:p w:rsidR="006C6A30" w:rsidRDefault="006C6A30" w:rsidP="006C6A30">
      <w:pPr>
        <w:spacing w:after="2436"/>
        <w:ind w:left="-5" w:right="26"/>
      </w:pPr>
    </w:p>
    <w:tbl>
      <w:tblPr>
        <w:tblStyle w:val="TableGrid"/>
        <w:tblpPr w:vertAnchor="text" w:tblpX="-32" w:tblpY="-2402"/>
        <w:tblOverlap w:val="never"/>
        <w:tblW w:w="9386" w:type="dxa"/>
        <w:tblInd w:w="0" w:type="dxa"/>
        <w:tblCellMar>
          <w:top w:w="78" w:type="dxa"/>
          <w:left w:w="28" w:type="dxa"/>
        </w:tblCellMar>
        <w:tblLook w:val="04A0" w:firstRow="1" w:lastRow="0" w:firstColumn="1" w:lastColumn="0" w:noHBand="0" w:noVBand="1"/>
      </w:tblPr>
      <w:tblGrid>
        <w:gridCol w:w="3865"/>
        <w:gridCol w:w="2760"/>
        <w:gridCol w:w="2761"/>
      </w:tblGrid>
      <w:tr w:rsidR="005128AD" w:rsidTr="006C6A30">
        <w:trPr>
          <w:trHeight w:val="446"/>
        </w:trPr>
        <w:tc>
          <w:tcPr>
            <w:tcW w:w="38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3"/>
              </w:rPr>
              <w:t>Názov položky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  <w:sz w:val="13"/>
              </w:rPr>
              <w:t>Bežné účtovné obdobie</w:t>
            </w:r>
          </w:p>
        </w:tc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3"/>
              </w:rPr>
              <w:t>Bezprostredne predchádzajúce účtovné obdobie</w:t>
            </w:r>
          </w:p>
        </w:tc>
      </w:tr>
      <w:tr w:rsidR="005128AD" w:rsidTr="006C6A30">
        <w:trPr>
          <w:trHeight w:val="456"/>
        </w:trPr>
        <w:tc>
          <w:tcPr>
            <w:tcW w:w="38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13"/>
              </w:rPr>
              <w:t>Záväzky spolu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6C6A30" w:rsidP="006C6A30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3"/>
              </w:rPr>
              <w:t>1 435873</w:t>
            </w:r>
          </w:p>
        </w:tc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6C6A30">
            <w:pPr>
              <w:spacing w:after="0" w:line="259" w:lineRule="auto"/>
              <w:ind w:left="0" w:right="25" w:firstLine="0"/>
              <w:jc w:val="right"/>
            </w:pPr>
            <w:r>
              <w:rPr>
                <w:b/>
                <w:sz w:val="13"/>
              </w:rPr>
              <w:t>1372489</w:t>
            </w:r>
          </w:p>
        </w:tc>
      </w:tr>
      <w:tr w:rsidR="005128AD" w:rsidTr="006C6A30">
        <w:trPr>
          <w:trHeight w:val="456"/>
        </w:trPr>
        <w:tc>
          <w:tcPr>
            <w:tcW w:w="38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t>Záväzky so zostatkovou dobou splatnosti nad päť rokov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6C6A30" w:rsidP="006C6A30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3"/>
              </w:rPr>
              <w:t>1 435873</w:t>
            </w:r>
          </w:p>
        </w:tc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6C6A30" w:rsidP="006C6A30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3"/>
              </w:rPr>
              <w:t>1 372489</w:t>
            </w:r>
          </w:p>
        </w:tc>
      </w:tr>
      <w:tr w:rsidR="005128AD" w:rsidTr="006C6A30">
        <w:trPr>
          <w:trHeight w:val="456"/>
        </w:trPr>
        <w:tc>
          <w:tcPr>
            <w:tcW w:w="38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firstLine="0"/>
            </w:pPr>
            <w:r>
              <w:rPr>
                <w:sz w:val="13"/>
              </w:rPr>
              <w:t>Záväzky so zostatkovou dobou splatnosti jeden rok až päť rokov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right="-14" w:firstLine="0"/>
              <w:jc w:val="right"/>
            </w:pPr>
            <w:r>
              <w:rPr>
                <w:sz w:val="13"/>
              </w:rPr>
              <w:t xml:space="preserve"> </w:t>
            </w:r>
          </w:p>
        </w:tc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5128AD">
            <w:pPr>
              <w:spacing w:after="160" w:line="259" w:lineRule="auto"/>
              <w:ind w:left="0" w:firstLine="0"/>
              <w:jc w:val="left"/>
            </w:pPr>
          </w:p>
        </w:tc>
      </w:tr>
      <w:tr w:rsidR="005128AD" w:rsidTr="006C6A30">
        <w:trPr>
          <w:trHeight w:val="446"/>
        </w:trPr>
        <w:tc>
          <w:tcPr>
            <w:tcW w:w="38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t>Záväzky so zostatkovou dobou splatnosti do jedného roka vrátane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right="24" w:firstLine="0"/>
              <w:jc w:val="right"/>
            </w:pPr>
            <w:bookmarkStart w:id="0" w:name="_GoBack"/>
            <w:bookmarkEnd w:id="0"/>
            <w:r>
              <w:rPr>
                <w:sz w:val="13"/>
              </w:rPr>
              <w:t>0</w:t>
            </w:r>
          </w:p>
        </w:tc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3"/>
              </w:rPr>
              <w:t>0</w:t>
            </w:r>
          </w:p>
        </w:tc>
      </w:tr>
      <w:tr w:rsidR="005128AD" w:rsidTr="006C6A30">
        <w:trPr>
          <w:trHeight w:val="447"/>
        </w:trPr>
        <w:tc>
          <w:tcPr>
            <w:tcW w:w="38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firstLine="0"/>
              <w:jc w:val="left"/>
            </w:pPr>
            <w:r>
              <w:rPr>
                <w:sz w:val="13"/>
              </w:rPr>
              <w:t>Záväzky po lehote splatnosti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128AD" w:rsidRDefault="00D96D41">
            <w:pPr>
              <w:spacing w:after="0" w:line="259" w:lineRule="auto"/>
              <w:ind w:left="0" w:right="-14" w:firstLine="0"/>
              <w:jc w:val="right"/>
            </w:pPr>
            <w:r>
              <w:rPr>
                <w:sz w:val="13"/>
              </w:rPr>
              <w:t xml:space="preserve"> </w:t>
            </w:r>
          </w:p>
        </w:tc>
        <w:tc>
          <w:tcPr>
            <w:tcW w:w="27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5128AD" w:rsidRDefault="005128AD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5128AD" w:rsidRDefault="00D96D41">
      <w:pPr>
        <w:spacing w:after="483" w:line="259" w:lineRule="auto"/>
        <w:ind w:left="0" w:firstLine="0"/>
        <w:jc w:val="left"/>
      </w:pPr>
      <w:r>
        <w:t xml:space="preserve"> </w:t>
      </w:r>
    </w:p>
    <w:p w:rsidR="005128AD" w:rsidRDefault="00D96D41">
      <w:pPr>
        <w:ind w:left="-5" w:right="26"/>
      </w:pPr>
      <w:r>
        <w:t>Záväzky spoločnosti nie sú kryté záložným právom.</w:t>
      </w:r>
    </w:p>
    <w:p w:rsidR="005128AD" w:rsidRDefault="00D96D41">
      <w:pPr>
        <w:spacing w:after="237" w:line="265" w:lineRule="auto"/>
        <w:ind w:left="-5"/>
        <w:jc w:val="left"/>
      </w:pPr>
      <w:r>
        <w:rPr>
          <w:b/>
          <w:u w:val="single" w:color="000000"/>
        </w:rPr>
        <w:t>INFORMÁCIE O INÝCH AKTÍVACH A INÝCH PASÍVACH</w:t>
      </w:r>
    </w:p>
    <w:p w:rsidR="005128AD" w:rsidRDefault="00D96D41">
      <w:pPr>
        <w:spacing w:after="819" w:line="259" w:lineRule="auto"/>
        <w:ind w:left="0" w:firstLine="0"/>
        <w:jc w:val="left"/>
      </w:pPr>
      <w:r>
        <w:t xml:space="preserve"> </w:t>
      </w:r>
    </w:p>
    <w:p w:rsidR="005128AD" w:rsidRDefault="00D96D41">
      <w:pPr>
        <w:spacing w:after="611" w:line="259" w:lineRule="auto"/>
        <w:ind w:left="0" w:firstLine="0"/>
        <w:jc w:val="left"/>
      </w:pPr>
      <w:r>
        <w:t xml:space="preserve"> </w:t>
      </w:r>
    </w:p>
    <w:p w:rsidR="005128AD" w:rsidRDefault="00D96D41">
      <w:pPr>
        <w:spacing w:after="726" w:line="259" w:lineRule="auto"/>
        <w:ind w:left="0" w:firstLine="0"/>
        <w:jc w:val="left"/>
      </w:pPr>
      <w:r>
        <w:t xml:space="preserve"> </w:t>
      </w:r>
    </w:p>
    <w:p w:rsidR="005128AD" w:rsidRDefault="00D96D41">
      <w:pPr>
        <w:spacing w:after="237" w:line="265" w:lineRule="auto"/>
        <w:ind w:left="-5"/>
        <w:jc w:val="left"/>
      </w:pPr>
      <w:r>
        <w:rPr>
          <w:b/>
          <w:u w:val="single" w:color="000000"/>
        </w:rPr>
        <w:t>UDALOSTI, KTORÉ NASTALI PO DNI, KU KTORÉMU SA ZOSTAVUJE ÚČTOVNÁ ZÁVIERKA</w:t>
      </w:r>
    </w:p>
    <w:p w:rsidR="005128AD" w:rsidRDefault="006C6A30">
      <w:pPr>
        <w:ind w:left="-5" w:right="26"/>
      </w:pPr>
      <w:r>
        <w:t>Po 31.12.2025</w:t>
      </w:r>
      <w:r w:rsidR="00D96D41">
        <w:t xml:space="preserve"> nenastali také udalosti, ktoré majú významný vplyv na verné zobrazenie skutočností uvádzaných v tejto účtovnej závierke.</w:t>
      </w:r>
    </w:p>
    <w:p w:rsidR="007B3F09" w:rsidRDefault="007B3F09">
      <w:pPr>
        <w:ind w:left="-5" w:right="26"/>
      </w:pPr>
    </w:p>
    <w:sectPr w:rsidR="007B3F09">
      <w:headerReference w:type="even" r:id="rId6"/>
      <w:headerReference w:type="default" r:id="rId7"/>
      <w:headerReference w:type="first" r:id="rId8"/>
      <w:pgSz w:w="11904" w:h="16836"/>
      <w:pgMar w:top="1358" w:right="1111" w:bottom="2241" w:left="1426" w:header="482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557B" w:rsidRDefault="001B557B">
      <w:pPr>
        <w:spacing w:after="0" w:line="240" w:lineRule="auto"/>
      </w:pPr>
      <w:r>
        <w:separator/>
      </w:r>
    </w:p>
  </w:endnote>
  <w:endnote w:type="continuationSeparator" w:id="0">
    <w:p w:rsidR="001B557B" w:rsidRDefault="001B55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557B" w:rsidRDefault="001B557B">
      <w:pPr>
        <w:spacing w:after="0" w:line="240" w:lineRule="auto"/>
      </w:pPr>
      <w:r>
        <w:separator/>
      </w:r>
    </w:p>
  </w:footnote>
  <w:footnote w:type="continuationSeparator" w:id="0">
    <w:p w:rsidR="001B557B" w:rsidRDefault="001B55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28AD" w:rsidRDefault="00D96D41">
    <w:pPr>
      <w:tabs>
        <w:tab w:val="center" w:pos="4660"/>
        <w:tab w:val="right" w:pos="9368"/>
      </w:tabs>
      <w:spacing w:after="11" w:line="259" w:lineRule="auto"/>
      <w:ind w:left="-122" w:right="-94" w:firstLine="0"/>
      <w:jc w:val="left"/>
    </w:pPr>
    <w:r>
      <w:t>Účtovná závierka k 31.12.2024</w:t>
    </w:r>
    <w:r>
      <w:tab/>
      <w:t xml:space="preserve">La </w:t>
    </w:r>
    <w:proofErr w:type="spellStart"/>
    <w:r>
      <w:t>Rena</w:t>
    </w:r>
    <w:proofErr w:type="spellEnd"/>
    <w:r>
      <w:t xml:space="preserve">, </w:t>
    </w:r>
    <w:proofErr w:type="spellStart"/>
    <w:r>
      <w:t>s.r.o</w:t>
    </w:r>
    <w:proofErr w:type="spellEnd"/>
    <w:r>
      <w:t>.</w:t>
    </w:r>
    <w:r>
      <w:tab/>
      <w:t>IČO: 46832114</w:t>
    </w:r>
  </w:p>
  <w:p w:rsidR="005128AD" w:rsidRDefault="00D96D41">
    <w:pPr>
      <w:spacing w:after="406" w:line="259" w:lineRule="auto"/>
      <w:ind w:left="0" w:right="-94" w:firstLine="0"/>
      <w:jc w:val="right"/>
    </w:pPr>
    <w:r>
      <w:t>DIČ: 2023605210</w:t>
    </w:r>
  </w:p>
  <w:p w:rsidR="005128AD" w:rsidRDefault="00D96D41">
    <w:pPr>
      <w:spacing w:after="0" w:line="259" w:lineRule="auto"/>
      <w:ind w:left="-122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3F09" w:rsidRDefault="007B3F09">
    <w:pPr>
      <w:tabs>
        <w:tab w:val="center" w:pos="4660"/>
        <w:tab w:val="right" w:pos="9368"/>
      </w:tabs>
      <w:spacing w:after="11" w:line="259" w:lineRule="auto"/>
      <w:ind w:left="-122" w:right="-94" w:firstLine="0"/>
      <w:jc w:val="left"/>
    </w:pPr>
    <w:r>
      <w:t>Účtovná závierka k 31.12.2025</w:t>
    </w:r>
  </w:p>
  <w:p w:rsidR="005128AD" w:rsidRDefault="00D96D41">
    <w:pPr>
      <w:tabs>
        <w:tab w:val="center" w:pos="4660"/>
        <w:tab w:val="right" w:pos="9368"/>
      </w:tabs>
      <w:spacing w:after="11" w:line="259" w:lineRule="auto"/>
      <w:ind w:left="-122" w:right="-94" w:firstLine="0"/>
      <w:jc w:val="left"/>
    </w:pPr>
    <w:r>
      <w:tab/>
      <w:t xml:space="preserve">La </w:t>
    </w:r>
    <w:proofErr w:type="spellStart"/>
    <w:r>
      <w:t>Rena</w:t>
    </w:r>
    <w:proofErr w:type="spellEnd"/>
    <w:r>
      <w:t xml:space="preserve">, </w:t>
    </w:r>
    <w:proofErr w:type="spellStart"/>
    <w:r>
      <w:t>s.r.o</w:t>
    </w:r>
    <w:proofErr w:type="spellEnd"/>
    <w:r>
      <w:t>.</w:t>
    </w:r>
    <w:r>
      <w:tab/>
      <w:t>IČO: 46832114</w:t>
    </w:r>
  </w:p>
  <w:p w:rsidR="005128AD" w:rsidRDefault="00D96D41">
    <w:pPr>
      <w:spacing w:after="406" w:line="259" w:lineRule="auto"/>
      <w:ind w:left="0" w:right="-94" w:firstLine="0"/>
      <w:jc w:val="right"/>
    </w:pPr>
    <w:r>
      <w:t>DIČ: 2023605210</w:t>
    </w:r>
  </w:p>
  <w:p w:rsidR="005128AD" w:rsidRDefault="00D96D41">
    <w:pPr>
      <w:spacing w:after="0" w:line="259" w:lineRule="auto"/>
      <w:ind w:left="-122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28AD" w:rsidRDefault="00D96D41">
    <w:pPr>
      <w:tabs>
        <w:tab w:val="center" w:pos="4660"/>
        <w:tab w:val="right" w:pos="9368"/>
      </w:tabs>
      <w:spacing w:after="11" w:line="259" w:lineRule="auto"/>
      <w:ind w:left="-122" w:right="-94" w:firstLine="0"/>
      <w:jc w:val="left"/>
    </w:pPr>
    <w:r>
      <w:t>Účtovná závierka k 31.12.2024</w:t>
    </w:r>
    <w:r>
      <w:tab/>
      <w:t xml:space="preserve">La </w:t>
    </w:r>
    <w:proofErr w:type="spellStart"/>
    <w:r>
      <w:t>Rena</w:t>
    </w:r>
    <w:proofErr w:type="spellEnd"/>
    <w:r>
      <w:t xml:space="preserve">, </w:t>
    </w:r>
    <w:proofErr w:type="spellStart"/>
    <w:r>
      <w:t>s.r.o</w:t>
    </w:r>
    <w:proofErr w:type="spellEnd"/>
    <w:r>
      <w:t>.</w:t>
    </w:r>
    <w:r>
      <w:tab/>
      <w:t>IČO: 46832114</w:t>
    </w:r>
  </w:p>
  <w:p w:rsidR="005128AD" w:rsidRDefault="00D96D41">
    <w:pPr>
      <w:spacing w:after="406" w:line="259" w:lineRule="auto"/>
      <w:ind w:left="0" w:right="-94" w:firstLine="0"/>
      <w:jc w:val="right"/>
    </w:pPr>
    <w:r>
      <w:t>DIČ: 2023605210</w:t>
    </w:r>
  </w:p>
  <w:p w:rsidR="005128AD" w:rsidRDefault="00D96D41">
    <w:pPr>
      <w:spacing w:after="0" w:line="259" w:lineRule="auto"/>
      <w:ind w:left="-122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8AD"/>
    <w:rsid w:val="001B557B"/>
    <w:rsid w:val="005128AD"/>
    <w:rsid w:val="006C6A30"/>
    <w:rsid w:val="007B3F09"/>
    <w:rsid w:val="00D96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C492B53-5073-4E05-9FDD-AD867D11D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35" w:line="270" w:lineRule="auto"/>
      <w:ind w:left="10" w:hanging="10"/>
      <w:jc w:val="both"/>
    </w:pPr>
    <w:rPr>
      <w:rFonts w:ascii="Arial" w:eastAsia="Arial" w:hAnsi="Arial" w:cs="Arial"/>
      <w:color w:val="000000"/>
      <w:sz w:val="17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55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1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17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7B3F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B3F09"/>
    <w:rPr>
      <w:rFonts w:ascii="Arial" w:eastAsia="Arial" w:hAnsi="Arial" w:cs="Arial"/>
      <w:color w:val="000000"/>
      <w:sz w:val="17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6A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6A30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1334</Words>
  <Characters>7610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Účtová závierka v podvojnom účtovníctve pre podnikateľov</vt:lpstr>
    </vt:vector>
  </TitlesOfParts>
  <Company/>
  <LinksUpToDate>false</LinksUpToDate>
  <CharactersWithSpaces>8927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Účtová závierka v podvojnom účtovníctve pre podnikateľov</dc:title>
  <dc:subject/>
  <dc:creator>Lenovo</dc:creator>
  <cp:keywords/>
  <cp:lastModifiedBy>Ing. Renata Kliska</cp:lastModifiedBy>
  <cp:revision>2</cp:revision>
  <cp:lastPrinted>2026-03-20T15:16:00Z</cp:lastPrinted>
  <dcterms:created xsi:type="dcterms:W3CDTF">2026-03-20T15:17:00Z</dcterms:created>
  <dcterms:modified xsi:type="dcterms:W3CDTF">2026-03-20T15:17:00Z</dcterms:modified>
</cp:coreProperties>
</file>