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word/styles.xml" ContentType="application/vnd.openxmlformats-officedocument.wordprocessingml.style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numbering.xml" ContentType="application/vnd.openxmlformats-officedocument.wordprocessingml.numbering+xml"/>
  <Override PartName="/word/footer3.xml" ContentType="application/vnd.openxmlformats-officedocument.wordprocessingml.footer+xml"/>
  <Override PartName="/word/footnotes.xml" ContentType="application/vnd.openxmlformats-officedocument.wordprocessingml.footnot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keepNext w:val="true"/>
        <w:numPr>
          <w:ilvl w:val="0"/>
          <w:numId w:val="0"/>
        </w:numPr>
        <w:spacing w:lineRule="auto" w:line="240" w:before="0" w:after="0"/>
        <w:ind w:hanging="0" w:left="0"/>
        <w:jc w:val="center"/>
        <w:outlineLvl w:val="1"/>
        <w:rPr>
          <w:bCs/>
          <w:sz w:val="28"/>
          <w:szCs w:val="28"/>
        </w:rPr>
      </w:pPr>
      <w:r>
        <w:rPr>
          <w:bCs/>
          <w:sz w:val="28"/>
          <w:szCs w:val="28"/>
        </w:rPr>
        <w:t>Obsahová náplň poznámok</w:t>
      </w:r>
    </w:p>
    <w:p>
      <w:pPr>
        <w:pStyle w:val="Normal"/>
        <w:keepNext w:val="true"/>
        <w:numPr>
          <w:ilvl w:val="0"/>
          <w:numId w:val="0"/>
        </w:numPr>
        <w:spacing w:lineRule="auto" w:line="240" w:before="0" w:after="0"/>
        <w:ind w:hanging="0" w:left="0"/>
        <w:jc w:val="center"/>
        <w:outlineLvl w:val="1"/>
        <w:rPr>
          <w:b/>
          <w:bCs/>
          <w:sz w:val="28"/>
          <w:szCs w:val="28"/>
        </w:rPr>
      </w:pPr>
      <w:r>
        <w:rPr>
          <w:b/>
          <w:bCs/>
          <w:sz w:val="28"/>
          <w:szCs w:val="28"/>
        </w:rPr>
      </w:r>
    </w:p>
    <w:p>
      <w:pPr>
        <w:pStyle w:val="Normal"/>
        <w:keepNext w:val="true"/>
        <w:numPr>
          <w:ilvl w:val="0"/>
          <w:numId w:val="0"/>
        </w:numPr>
        <w:spacing w:lineRule="auto" w:line="240" w:before="0" w:after="0"/>
        <w:ind w:hanging="0" w:left="0"/>
        <w:jc w:val="center"/>
        <w:outlineLvl w:val="1"/>
        <w:rPr>
          <w:b/>
          <w:bCs/>
          <w:sz w:val="28"/>
          <w:szCs w:val="28"/>
        </w:rPr>
      </w:pPr>
      <w:r>
        <w:rPr>
          <w:b/>
          <w:bCs/>
          <w:sz w:val="28"/>
          <w:szCs w:val="28"/>
        </w:rPr>
      </w:r>
    </w:p>
    <w:p>
      <w:pPr>
        <w:pStyle w:val="Normal"/>
        <w:keepNext w:val="true"/>
        <w:numPr>
          <w:ilvl w:val="0"/>
          <w:numId w:val="0"/>
        </w:numPr>
        <w:spacing w:lineRule="auto" w:line="240" w:before="0" w:after="0"/>
        <w:ind w:hanging="0" w:left="0"/>
        <w:jc w:val="center"/>
        <w:outlineLvl w:val="1"/>
        <w:rPr>
          <w:b/>
          <w:bCs/>
          <w:sz w:val="28"/>
          <w:szCs w:val="28"/>
        </w:rPr>
      </w:pPr>
      <w:r>
        <w:rPr>
          <w:b/>
          <w:bCs/>
          <w:sz w:val="28"/>
          <w:szCs w:val="28"/>
        </w:rPr>
        <w:t>Čl. I</w:t>
      </w:r>
    </w:p>
    <w:p>
      <w:pPr>
        <w:pStyle w:val="Normal"/>
        <w:keepNext w:val="true"/>
        <w:numPr>
          <w:ilvl w:val="0"/>
          <w:numId w:val="0"/>
        </w:numPr>
        <w:spacing w:lineRule="auto" w:line="240" w:before="0" w:after="0"/>
        <w:ind w:hanging="0" w:left="0"/>
        <w:jc w:val="center"/>
        <w:outlineLvl w:val="1"/>
        <w:rPr>
          <w:b/>
          <w:bCs/>
          <w:sz w:val="28"/>
          <w:szCs w:val="28"/>
        </w:rPr>
      </w:pPr>
      <w:r>
        <w:rPr>
          <w:b/>
          <w:bCs/>
          <w:sz w:val="28"/>
          <w:szCs w:val="28"/>
        </w:rPr>
        <w:t>Všeobecné informácie</w:t>
      </w:r>
    </w:p>
    <w:p>
      <w:pPr>
        <w:pStyle w:val="Normal"/>
        <w:keepNext w:val="true"/>
        <w:numPr>
          <w:ilvl w:val="0"/>
          <w:numId w:val="0"/>
        </w:numPr>
        <w:spacing w:lineRule="auto" w:line="240" w:before="0" w:after="0"/>
        <w:ind w:hanging="0" w:left="0"/>
        <w:jc w:val="center"/>
        <w:outlineLvl w:val="1"/>
        <w:rPr>
          <w:b/>
          <w:bCs/>
          <w:sz w:val="28"/>
          <w:szCs w:val="28"/>
        </w:rPr>
      </w:pPr>
      <w:r>
        <w:rPr>
          <w:b/>
          <w:bCs/>
          <w:sz w:val="28"/>
          <w:szCs w:val="28"/>
        </w:rPr>
      </w:r>
    </w:p>
    <w:p>
      <w:pPr>
        <w:pStyle w:val="ListParagraph"/>
        <w:keepNext w:val="true"/>
        <w:numPr>
          <w:ilvl w:val="0"/>
          <w:numId w:val="6"/>
        </w:numPr>
        <w:spacing w:lineRule="auto" w:line="240" w:before="0" w:after="0"/>
        <w:ind w:hanging="357" w:left="357"/>
        <w:contextualSpacing/>
        <w:jc w:val="both"/>
        <w:outlineLvl w:val="1"/>
        <w:rPr>
          <w:b/>
          <w:bCs/>
          <w:sz w:val="28"/>
          <w:szCs w:val="28"/>
        </w:rPr>
      </w:pPr>
      <w:r>
        <w:rPr>
          <w:sz w:val="28"/>
          <w:szCs w:val="28"/>
        </w:rPr>
        <w:t>Názov a sídlo právnickej osoby alebo meno a priezvisko fyzickej osoby podnikateľa a miesto podnikania, ak sa zostavuje účtovná závierka fyzickej osoby podnikateľa. Opis vykonávanej činnosti účtovnej jednotky v nadväznosti na predmet podnikania účtovnej jednotky.</w:t>
      </w:r>
    </w:p>
    <w:p>
      <w:pPr>
        <w:pStyle w:val="ListParagraph"/>
        <w:keepNext w:val="true"/>
        <w:numPr>
          <w:ilvl w:val="0"/>
          <w:numId w:val="0"/>
        </w:numPr>
        <w:spacing w:lineRule="auto" w:line="240" w:before="0" w:after="0"/>
        <w:ind w:hanging="0" w:left="357"/>
        <w:contextualSpacing/>
        <w:jc w:val="both"/>
        <w:outlineLvl w:val="1"/>
        <w:rPr>
          <w:rFonts w:ascii="Times New Roman" w:hAnsi="Times New Roman"/>
          <w:b/>
          <w:sz w:val="28"/>
          <w:szCs w:val="28"/>
        </w:rPr>
      </w:pPr>
      <w:r>
        <w:rPr>
          <w:rFonts w:ascii="Times New Roman" w:hAnsi="Times New Roman"/>
          <w:b/>
          <w:sz w:val="28"/>
          <w:szCs w:val="28"/>
        </w:rPr>
        <w:t>Obchodné meno účtovnej jednotky: VALEUR, s.r.o.</w:t>
      </w:r>
    </w:p>
    <w:p>
      <w:pPr>
        <w:pStyle w:val="ListParagraph"/>
        <w:keepNext w:val="true"/>
        <w:numPr>
          <w:ilvl w:val="0"/>
          <w:numId w:val="0"/>
        </w:numPr>
        <w:spacing w:lineRule="auto" w:line="240" w:before="0" w:after="0"/>
        <w:ind w:hanging="0" w:left="357"/>
        <w:contextualSpacing/>
        <w:jc w:val="both"/>
        <w:outlineLvl w:val="1"/>
        <w:rPr>
          <w:rFonts w:ascii="Times New Roman" w:hAnsi="Times New Roman"/>
          <w:b/>
          <w:sz w:val="28"/>
          <w:szCs w:val="28"/>
        </w:rPr>
      </w:pPr>
      <w:r>
        <w:rPr>
          <w:rFonts w:ascii="Times New Roman" w:hAnsi="Times New Roman"/>
          <w:b/>
          <w:sz w:val="28"/>
          <w:szCs w:val="28"/>
        </w:rPr>
        <w:t>Sídlo: 929 01 Dunajská Streda, Múzejná 208/4</w:t>
      </w:r>
    </w:p>
    <w:p>
      <w:pPr>
        <w:pStyle w:val="ListParagraph"/>
        <w:keepNext w:val="true"/>
        <w:numPr>
          <w:ilvl w:val="0"/>
          <w:numId w:val="0"/>
        </w:numPr>
        <w:spacing w:lineRule="auto" w:line="240" w:before="0" w:after="0"/>
        <w:ind w:hanging="0" w:left="357"/>
        <w:contextualSpacing/>
        <w:jc w:val="both"/>
        <w:outlineLvl w:val="1"/>
        <w:rPr>
          <w:rFonts w:ascii="Times New Roman" w:hAnsi="Times New Roman"/>
          <w:b/>
          <w:sz w:val="28"/>
          <w:szCs w:val="28"/>
        </w:rPr>
      </w:pPr>
      <w:r>
        <w:rPr>
          <w:rFonts w:ascii="Times New Roman" w:hAnsi="Times New Roman"/>
          <w:b/>
          <w:sz w:val="28"/>
          <w:szCs w:val="28"/>
        </w:rPr>
        <w:t>IČO:  34119850             DIČ:  20203654356      IČ DPH: SK2020365435</w:t>
      </w:r>
    </w:p>
    <w:p>
      <w:pPr>
        <w:pStyle w:val="ListParagraph"/>
        <w:keepNext w:val="true"/>
        <w:numPr>
          <w:ilvl w:val="0"/>
          <w:numId w:val="0"/>
        </w:numPr>
        <w:spacing w:lineRule="auto" w:line="240" w:before="0" w:after="0"/>
        <w:ind w:hanging="0" w:left="357"/>
        <w:contextualSpacing/>
        <w:jc w:val="both"/>
        <w:outlineLvl w:val="1"/>
        <w:rPr>
          <w:rFonts w:ascii="Times New Roman" w:hAnsi="Times New Roman"/>
          <w:b/>
          <w:bCs/>
          <w:sz w:val="28"/>
          <w:szCs w:val="28"/>
        </w:rPr>
      </w:pPr>
      <w:r>
        <w:rPr>
          <w:rFonts w:ascii="Times New Roman" w:hAnsi="Times New Roman"/>
          <w:b/>
          <w:bCs/>
          <w:sz w:val="28"/>
          <w:szCs w:val="28"/>
        </w:rPr>
        <w:t>Opis hlavnej činnosti: iná tlač</w:t>
      </w:r>
    </w:p>
    <w:p>
      <w:pPr>
        <w:pStyle w:val="ListParagraph"/>
        <w:keepNext w:val="true"/>
        <w:numPr>
          <w:ilvl w:val="0"/>
          <w:numId w:val="0"/>
        </w:numPr>
        <w:spacing w:lineRule="auto" w:line="240" w:before="0" w:after="0"/>
        <w:ind w:hanging="0" w:left="357"/>
        <w:contextualSpacing/>
        <w:jc w:val="both"/>
        <w:outlineLvl w:val="1"/>
        <w:rPr>
          <w:b/>
          <w:bCs/>
          <w:sz w:val="28"/>
          <w:szCs w:val="28"/>
        </w:rPr>
      </w:pPr>
      <w:r>
        <w:rPr>
          <w:sz w:val="28"/>
          <w:szCs w:val="28"/>
        </w:rPr>
        <w:t>Dátum schválenia účtovnej závierky za bezprostredne predchádzajúce účtovné obdobie príslušným orgánom účtovnej jednotky: 2</w:t>
      </w:r>
      <w:r>
        <w:rPr>
          <w:sz w:val="28"/>
          <w:szCs w:val="28"/>
        </w:rPr>
        <w:t>5</w:t>
      </w:r>
      <w:r>
        <w:rPr>
          <w:sz w:val="28"/>
          <w:szCs w:val="28"/>
        </w:rPr>
        <w:t>.3.202</w:t>
      </w:r>
      <w:r>
        <w:rPr>
          <w:sz w:val="28"/>
          <w:szCs w:val="28"/>
        </w:rPr>
        <w:t>5</w:t>
      </w:r>
    </w:p>
    <w:p>
      <w:pPr>
        <w:pStyle w:val="ListParagraph"/>
        <w:numPr>
          <w:ilvl w:val="0"/>
          <w:numId w:val="0"/>
        </w:numPr>
        <w:spacing w:lineRule="auto" w:line="240" w:before="0" w:after="0"/>
        <w:ind w:hanging="0" w:left="357"/>
        <w:contextualSpacing/>
        <w:jc w:val="both"/>
        <w:outlineLvl w:val="1"/>
        <w:rPr>
          <w:b/>
          <w:bCs/>
          <w:sz w:val="28"/>
          <w:szCs w:val="28"/>
        </w:rPr>
      </w:pPr>
      <w:r>
        <w:rPr>
          <w:sz w:val="28"/>
          <w:szCs w:val="28"/>
        </w:rPr>
        <w:t>Právny dôvod na zostavenie účtovnej závierky.</w:t>
      </w:r>
    </w:p>
    <w:p>
      <w:pPr>
        <w:pStyle w:val="Normal"/>
        <w:keepNext w:val="true"/>
        <w:numPr>
          <w:ilvl w:val="0"/>
          <w:numId w:val="0"/>
        </w:numPr>
        <w:spacing w:lineRule="auto" w:line="240" w:before="0" w:after="0"/>
        <w:ind w:hanging="0" w:left="357"/>
        <w:jc w:val="both"/>
        <w:outlineLvl w:val="1"/>
        <w:rPr>
          <w:rFonts w:ascii="Times New Roman" w:hAnsi="Times New Roman"/>
          <w:b/>
          <w:bCs/>
          <w:sz w:val="28"/>
          <w:szCs w:val="28"/>
        </w:rPr>
      </w:pPr>
      <w:r>
        <w:rPr>
          <w:rFonts w:ascii="Times New Roman" w:hAnsi="Times New Roman"/>
          <w:b/>
          <w:bCs/>
          <w:sz w:val="28"/>
          <w:szCs w:val="28"/>
        </w:rPr>
        <w:t xml:space="preserve">Riadna účtovná závierka k 31.12 2024   podľa § 17 ods. 6) zákona NR SR č. 431/2002 Z.z. o účtovníctve . </w:t>
      </w:r>
    </w:p>
    <w:p>
      <w:pPr>
        <w:pStyle w:val="Normal"/>
        <w:keepNext w:val="true"/>
        <w:numPr>
          <w:ilvl w:val="0"/>
          <w:numId w:val="0"/>
        </w:numPr>
        <w:spacing w:lineRule="auto" w:line="240" w:before="0" w:after="0"/>
        <w:ind w:hanging="0" w:left="357"/>
        <w:jc w:val="both"/>
        <w:outlineLvl w:val="1"/>
        <w:rPr>
          <w:rFonts w:ascii="Arial" w:hAnsi="Arial" w:cs="Arial"/>
          <w:bCs/>
          <w:sz w:val="28"/>
          <w:szCs w:val="28"/>
        </w:rPr>
      </w:pPr>
      <w:r>
        <w:rPr>
          <w:rFonts w:cs="Arial" w:ascii="Arial" w:hAnsi="Arial"/>
          <w:bCs/>
          <w:sz w:val="28"/>
          <w:szCs w:val="28"/>
        </w:rPr>
      </w:r>
    </w:p>
    <w:p>
      <w:pPr>
        <w:pStyle w:val="ListParagraph"/>
        <w:keepNext w:val="true"/>
        <w:numPr>
          <w:ilvl w:val="0"/>
          <w:numId w:val="6"/>
        </w:numPr>
        <w:spacing w:lineRule="auto" w:line="240" w:before="0" w:after="0"/>
        <w:ind w:hanging="357" w:left="357"/>
        <w:contextualSpacing/>
        <w:jc w:val="both"/>
        <w:outlineLvl w:val="1"/>
        <w:rPr>
          <w:b/>
          <w:bCs/>
          <w:sz w:val="28"/>
          <w:szCs w:val="28"/>
        </w:rPr>
      </w:pPr>
      <w:r>
        <w:rPr>
          <w:sz w:val="28"/>
          <w:szCs w:val="28"/>
        </w:rPr>
        <w:t xml:space="preserve">Údaje o skupine účtovných jednotiek: </w:t>
      </w:r>
    </w:p>
    <w:p>
      <w:pPr>
        <w:pStyle w:val="ListParagraph"/>
        <w:keepNext w:val="true"/>
        <w:numPr>
          <w:ilvl w:val="0"/>
          <w:numId w:val="0"/>
        </w:numPr>
        <w:spacing w:lineRule="auto" w:line="240" w:before="0" w:after="0"/>
        <w:ind w:hanging="0" w:left="0"/>
        <w:contextualSpacing/>
        <w:jc w:val="both"/>
        <w:outlineLvl w:val="1"/>
        <w:rPr>
          <w:rFonts w:ascii="Times New Roman" w:hAnsi="Times New Roman"/>
          <w:b/>
          <w:bCs/>
          <w:sz w:val="28"/>
          <w:szCs w:val="28"/>
        </w:rPr>
      </w:pPr>
      <w:r>
        <w:rPr>
          <w:sz w:val="28"/>
          <w:szCs w:val="28"/>
        </w:rPr>
        <w:t xml:space="preserve">      </w:t>
      </w:r>
      <w:r>
        <w:rPr>
          <w:rFonts w:ascii="Times New Roman" w:hAnsi="Times New Roman"/>
          <w:b/>
          <w:sz w:val="28"/>
          <w:szCs w:val="28"/>
        </w:rPr>
        <w:t>spoločnosť nie je súčasťou  žiadnej skupiny,</w:t>
      </w:r>
    </w:p>
    <w:p>
      <w:pPr>
        <w:pStyle w:val="Normal"/>
        <w:keepNext w:val="true"/>
        <w:numPr>
          <w:ilvl w:val="0"/>
          <w:numId w:val="0"/>
        </w:numPr>
        <w:spacing w:lineRule="auto" w:line="240" w:before="0" w:after="0"/>
        <w:ind w:hanging="0" w:left="0"/>
        <w:jc w:val="both"/>
        <w:outlineLvl w:val="1"/>
        <w:rPr>
          <w:sz w:val="28"/>
          <w:szCs w:val="28"/>
        </w:rPr>
      </w:pPr>
      <w:r>
        <w:rPr>
          <w:sz w:val="28"/>
          <w:szCs w:val="28"/>
        </w:rPr>
      </w:r>
    </w:p>
    <w:p>
      <w:pPr>
        <w:pStyle w:val="ListParagraph"/>
        <w:keepNext w:val="true"/>
        <w:numPr>
          <w:ilvl w:val="0"/>
          <w:numId w:val="6"/>
        </w:numPr>
        <w:spacing w:lineRule="auto" w:line="240" w:before="0" w:after="0"/>
        <w:ind w:hanging="357" w:left="357"/>
        <w:contextualSpacing/>
        <w:jc w:val="both"/>
        <w:outlineLvl w:val="1"/>
        <w:rPr>
          <w:sz w:val="28"/>
          <w:szCs w:val="28"/>
        </w:rPr>
      </w:pPr>
      <w:r>
        <w:rPr>
          <w:sz w:val="28"/>
          <w:szCs w:val="28"/>
        </w:rPr>
        <w:t>Priemerný prepočítaný počet zamestnancov účtovnej jednotky: 18,</w:t>
      </w:r>
      <w:r>
        <w:rPr>
          <w:sz w:val="28"/>
          <w:szCs w:val="28"/>
        </w:rPr>
        <w:t>67</w:t>
      </w:r>
    </w:p>
    <w:p>
      <w:pPr>
        <w:pStyle w:val="ListParagraph"/>
        <w:keepNext w:val="true"/>
        <w:numPr>
          <w:ilvl w:val="0"/>
          <w:numId w:val="0"/>
        </w:numPr>
        <w:spacing w:lineRule="auto" w:line="240" w:before="0" w:after="0"/>
        <w:ind w:hanging="0" w:left="0"/>
        <w:contextualSpacing/>
        <w:jc w:val="both"/>
        <w:outlineLvl w:val="1"/>
        <w:rPr>
          <w:sz w:val="28"/>
          <w:szCs w:val="28"/>
        </w:rPr>
      </w:pPr>
      <w:r>
        <w:rPr>
          <w:sz w:val="28"/>
          <w:szCs w:val="28"/>
        </w:rPr>
        <w:t xml:space="preserve">      </w:t>
      </w:r>
    </w:p>
    <w:p>
      <w:pPr>
        <w:pStyle w:val="ListParagraph"/>
        <w:keepNext w:val="true"/>
        <w:numPr>
          <w:ilvl w:val="0"/>
          <w:numId w:val="0"/>
        </w:numPr>
        <w:spacing w:lineRule="auto" w:line="240" w:before="0" w:after="0"/>
        <w:ind w:hanging="0" w:left="0"/>
        <w:contextualSpacing/>
        <w:jc w:val="center"/>
        <w:outlineLvl w:val="1"/>
        <w:rPr>
          <w:sz w:val="28"/>
          <w:szCs w:val="28"/>
        </w:rPr>
      </w:pPr>
      <w:r>
        <w:rPr>
          <w:sz w:val="28"/>
          <w:szCs w:val="28"/>
        </w:rPr>
      </w:r>
    </w:p>
    <w:p>
      <w:pPr>
        <w:pStyle w:val="Normal"/>
        <w:tabs>
          <w:tab w:val="clear" w:pos="708"/>
          <w:tab w:val="left" w:pos="851" w:leader="none"/>
        </w:tabs>
        <w:spacing w:lineRule="auto" w:line="240" w:before="0" w:after="0"/>
        <w:jc w:val="center"/>
        <w:rPr>
          <w:b/>
          <w:sz w:val="28"/>
          <w:szCs w:val="28"/>
        </w:rPr>
      </w:pPr>
      <w:r>
        <w:rPr>
          <w:b/>
          <w:sz w:val="28"/>
          <w:szCs w:val="28"/>
        </w:rPr>
        <w:t>Čl. II</w:t>
      </w:r>
    </w:p>
    <w:p>
      <w:pPr>
        <w:pStyle w:val="Normal"/>
        <w:tabs>
          <w:tab w:val="clear" w:pos="708"/>
          <w:tab w:val="left" w:pos="851" w:leader="none"/>
        </w:tabs>
        <w:spacing w:lineRule="auto" w:line="240" w:before="0" w:after="0"/>
        <w:jc w:val="center"/>
        <w:rPr>
          <w:b/>
          <w:sz w:val="28"/>
          <w:szCs w:val="28"/>
        </w:rPr>
      </w:pPr>
      <w:r>
        <w:rPr>
          <w:b/>
          <w:sz w:val="28"/>
          <w:szCs w:val="28"/>
        </w:rPr>
        <w:t>Informácie o orgánoch spoločnosti</w:t>
      </w:r>
    </w:p>
    <w:p>
      <w:pPr>
        <w:pStyle w:val="Normal"/>
        <w:spacing w:lineRule="auto" w:line="240" w:before="0" w:after="0"/>
        <w:rPr>
          <w:sz w:val="28"/>
          <w:szCs w:val="28"/>
        </w:rPr>
      </w:pPr>
      <w:r>
        <w:rPr>
          <w:sz w:val="28"/>
          <w:szCs w:val="28"/>
        </w:rPr>
      </w:r>
    </w:p>
    <w:p>
      <w:pPr>
        <w:pStyle w:val="ListParagraph"/>
        <w:spacing w:lineRule="auto" w:line="240" w:before="0" w:after="0"/>
        <w:ind w:hanging="0" w:left="357"/>
        <w:contextualSpacing/>
        <w:jc w:val="both"/>
        <w:rPr>
          <w:sz w:val="28"/>
          <w:szCs w:val="28"/>
        </w:rPr>
      </w:pPr>
      <w:r>
        <w:rPr>
          <w:sz w:val="28"/>
          <w:szCs w:val="28"/>
        </w:rPr>
        <w:t>Informácie o orgánoch účtovnej jednotky, a to:</w:t>
      </w:r>
    </w:p>
    <w:p>
      <w:pPr>
        <w:pStyle w:val="ListParagraph"/>
        <w:numPr>
          <w:ilvl w:val="0"/>
          <w:numId w:val="13"/>
        </w:numPr>
        <w:spacing w:lineRule="auto" w:line="240" w:before="0" w:after="0"/>
        <w:ind w:hanging="284" w:left="641"/>
        <w:contextualSpacing/>
        <w:jc w:val="both"/>
        <w:rPr>
          <w:sz w:val="28"/>
          <w:szCs w:val="28"/>
        </w:rPr>
      </w:pPr>
      <w:r>
        <w:rPr>
          <w:sz w:val="28"/>
          <w:szCs w:val="28"/>
        </w:rPr>
        <w:t>výške jednotlivých druhov záruk alebo iných zabezpečení poskytnutých pre členov štatutárneho orgánu, dozorného orgánu a iného orgánu účtovnej jednotky, a to v členení za jednotlivé orgány,</w:t>
      </w:r>
    </w:p>
    <w:p>
      <w:pPr>
        <w:pStyle w:val="ListParagraph"/>
        <w:spacing w:lineRule="auto" w:line="240" w:before="0" w:after="0"/>
        <w:ind w:hanging="0" w:left="641"/>
        <w:contextualSpacing/>
        <w:jc w:val="both"/>
        <w:rPr>
          <w:rFonts w:ascii="Arial" w:hAnsi="Arial" w:cs="Arial"/>
          <w:sz w:val="28"/>
          <w:szCs w:val="28"/>
        </w:rPr>
      </w:pPr>
      <w:r>
        <w:rPr>
          <w:rFonts w:ascii="Times New Roman" w:hAnsi="Times New Roman"/>
          <w:b/>
          <w:sz w:val="28"/>
          <w:szCs w:val="28"/>
        </w:rPr>
        <w:t>Pre členov štatutárneho orgánu neboli poskytnuté žiadne záruky žiadne zabezpečenia a pôžičky.</w:t>
      </w:r>
      <w:r>
        <w:rPr>
          <w:rFonts w:cs="Arial" w:ascii="Arial" w:hAnsi="Arial"/>
          <w:sz w:val="28"/>
          <w:szCs w:val="28"/>
        </w:rPr>
        <w:t xml:space="preserve"> </w:t>
      </w:r>
    </w:p>
    <w:p>
      <w:pPr>
        <w:pStyle w:val="ListParagraph"/>
        <w:spacing w:lineRule="auto" w:line="240" w:before="0" w:after="0"/>
        <w:ind w:hanging="0" w:left="641"/>
        <w:contextualSpacing/>
        <w:jc w:val="both"/>
        <w:rPr>
          <w:rFonts w:ascii="Arial" w:hAnsi="Arial" w:cs="Arial"/>
          <w:sz w:val="18"/>
          <w:szCs w:val="18"/>
        </w:rPr>
      </w:pPr>
      <w:r>
        <w:rPr>
          <w:rFonts w:cs="Arial" w:ascii="Arial" w:hAnsi="Arial"/>
          <w:sz w:val="18"/>
          <w:szCs w:val="18"/>
        </w:rPr>
        <w:t xml:space="preserve"> </w:t>
      </w:r>
    </w:p>
    <w:p>
      <w:pPr>
        <w:pStyle w:val="ListParagraph"/>
        <w:spacing w:lineRule="auto" w:line="240" w:before="0" w:after="0"/>
        <w:ind w:hanging="0" w:left="357"/>
        <w:contextualSpacing/>
        <w:jc w:val="both"/>
        <w:rPr>
          <w:sz w:val="28"/>
          <w:szCs w:val="28"/>
        </w:rPr>
      </w:pPr>
      <w:r>
        <w:rPr>
          <w:sz w:val="28"/>
          <w:szCs w:val="28"/>
        </w:rPr>
      </w:r>
    </w:p>
    <w:p>
      <w:pPr>
        <w:pStyle w:val="Normal"/>
        <w:spacing w:lineRule="auto" w:line="240" w:before="0" w:after="0"/>
        <w:jc w:val="center"/>
        <w:rPr>
          <w:sz w:val="28"/>
          <w:szCs w:val="28"/>
        </w:rPr>
      </w:pPr>
      <w:r>
        <w:rPr>
          <w:sz w:val="28"/>
          <w:szCs w:val="28"/>
        </w:rPr>
      </w:r>
    </w:p>
    <w:p>
      <w:pPr>
        <w:pStyle w:val="Normal"/>
        <w:spacing w:lineRule="auto" w:line="240" w:before="0" w:after="0"/>
        <w:jc w:val="center"/>
        <w:rPr>
          <w:sz w:val="28"/>
          <w:szCs w:val="28"/>
        </w:rPr>
      </w:pPr>
      <w:r>
        <w:rPr>
          <w:sz w:val="28"/>
          <w:szCs w:val="28"/>
        </w:rPr>
      </w:r>
    </w:p>
    <w:p>
      <w:pPr>
        <w:pStyle w:val="Normal"/>
        <w:spacing w:lineRule="auto" w:line="240" w:before="0" w:after="0"/>
        <w:jc w:val="center"/>
        <w:rPr>
          <w:b/>
          <w:sz w:val="28"/>
          <w:szCs w:val="28"/>
        </w:rPr>
      </w:pPr>
      <w:r>
        <w:rPr>
          <w:b/>
          <w:sz w:val="28"/>
          <w:szCs w:val="28"/>
        </w:rPr>
      </w:r>
    </w:p>
    <w:p>
      <w:pPr>
        <w:pStyle w:val="Normal"/>
        <w:spacing w:lineRule="auto" w:line="240" w:before="0" w:after="0"/>
        <w:jc w:val="center"/>
        <w:rPr>
          <w:b/>
          <w:sz w:val="28"/>
          <w:szCs w:val="28"/>
        </w:rPr>
      </w:pPr>
      <w:r>
        <w:rPr>
          <w:b/>
          <w:sz w:val="28"/>
          <w:szCs w:val="28"/>
        </w:rPr>
        <w:t>Čl. III</w:t>
      </w:r>
    </w:p>
    <w:p>
      <w:pPr>
        <w:pStyle w:val="Normal"/>
        <w:spacing w:lineRule="auto" w:line="240" w:before="0" w:after="0"/>
        <w:jc w:val="center"/>
        <w:rPr>
          <w:b/>
          <w:sz w:val="28"/>
          <w:szCs w:val="28"/>
        </w:rPr>
      </w:pPr>
      <w:r>
        <w:rPr>
          <w:b/>
          <w:sz w:val="28"/>
          <w:szCs w:val="28"/>
        </w:rPr>
        <w:t>Informácie o prijatých postupoch</w:t>
      </w:r>
    </w:p>
    <w:p>
      <w:pPr>
        <w:pStyle w:val="ListParagraph"/>
        <w:numPr>
          <w:ilvl w:val="0"/>
          <w:numId w:val="7"/>
        </w:numPr>
        <w:spacing w:lineRule="auto" w:line="240" w:before="0" w:after="0"/>
        <w:ind w:hanging="357" w:left="357"/>
        <w:contextualSpacing/>
        <w:jc w:val="both"/>
        <w:rPr>
          <w:sz w:val="28"/>
          <w:szCs w:val="28"/>
        </w:rPr>
      </w:pPr>
      <w:r>
        <w:rPr>
          <w:sz w:val="28"/>
          <w:szCs w:val="28"/>
        </w:rPr>
        <w:t xml:space="preserve">Informácia, či je účtovná závierka zostavená za splnenia predpokladu, že účtovná jednotka bude nepretržite pokračovať vo svojej činnosti. Ak tento predpoklad nie je splnený, uvádza sa informácia o nesplnení predpokladu nepretržitého pokračovania </w:t>
      </w:r>
    </w:p>
    <w:p>
      <w:pPr>
        <w:pStyle w:val="ListParagraph"/>
        <w:spacing w:lineRule="auto" w:line="240" w:before="0" w:after="0"/>
        <w:ind w:hanging="0" w:left="0"/>
        <w:contextualSpacing/>
        <w:jc w:val="both"/>
        <w:rPr>
          <w:sz w:val="28"/>
          <w:szCs w:val="28"/>
        </w:rPr>
      </w:pPr>
      <w:r>
        <w:rPr>
          <w:sz w:val="28"/>
          <w:szCs w:val="28"/>
        </w:rPr>
        <w:t xml:space="preserve">     </w:t>
      </w:r>
      <w:r>
        <w:rPr>
          <w:sz w:val="28"/>
          <w:szCs w:val="28"/>
        </w:rPr>
        <w:t>vo svojej činnosti a k tomu zodpovedajúci  spôsob účtovania podľa § 7 ods. 4 zákona.</w:t>
      </w:r>
    </w:p>
    <w:p>
      <w:pPr>
        <w:pStyle w:val="ListParagraph"/>
        <w:spacing w:lineRule="auto" w:line="240" w:before="0" w:after="0"/>
        <w:ind w:hanging="0" w:left="357"/>
        <w:contextualSpacing/>
        <w:jc w:val="both"/>
        <w:rPr>
          <w:rFonts w:ascii="Times New Roman" w:hAnsi="Times New Roman"/>
          <w:b/>
          <w:sz w:val="28"/>
          <w:szCs w:val="28"/>
        </w:rPr>
      </w:pPr>
      <w:r>
        <w:rPr>
          <w:rFonts w:ascii="Times New Roman" w:hAnsi="Times New Roman"/>
          <w:b/>
          <w:sz w:val="28"/>
          <w:szCs w:val="28"/>
        </w:rPr>
        <w:t>Účtovná závierka:</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bola zostavená za predpokladu nepretržitého trvania spoločnosti,</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bola vypracovaná v súlade so zákonom č. 431/2002 Z.z.v znení neskorších predpisov, a opatrením MF SR č. 23054/2002-92, ktorým sa ustanovujú podrobnosti o postupoch účtovania pre podnikateľov,</w:t>
      </w:r>
    </w:p>
    <w:p>
      <w:pPr>
        <w:pStyle w:val="ListParagraph"/>
        <w:spacing w:lineRule="auto" w:line="240" w:before="0" w:after="0"/>
        <w:ind w:hanging="0" w:left="357"/>
        <w:contextualSpacing/>
        <w:jc w:val="both"/>
        <w:rPr>
          <w:rFonts w:ascii="Times New Roman" w:hAnsi="Times New Roman"/>
          <w:b/>
          <w:sz w:val="28"/>
          <w:szCs w:val="28"/>
          <w:highlight w:val="yellow"/>
        </w:rPr>
      </w:pPr>
      <w:r>
        <w:rPr>
          <w:rFonts w:ascii="Times New Roman" w:hAnsi="Times New Roman"/>
          <w:b/>
          <w:sz w:val="28"/>
          <w:szCs w:val="28"/>
          <w:highlight w:val="yellow"/>
        </w:rPr>
      </w:r>
    </w:p>
    <w:p>
      <w:pPr>
        <w:pStyle w:val="ListParagraph"/>
        <w:numPr>
          <w:ilvl w:val="0"/>
          <w:numId w:val="7"/>
        </w:numPr>
        <w:spacing w:lineRule="auto" w:line="240" w:before="0" w:after="0"/>
        <w:ind w:hanging="357" w:left="357"/>
        <w:contextualSpacing/>
        <w:jc w:val="both"/>
        <w:rPr>
          <w:sz w:val="28"/>
          <w:szCs w:val="28"/>
        </w:rPr>
      </w:pPr>
      <w:r>
        <w:rPr>
          <w:sz w:val="28"/>
          <w:szCs w:val="28"/>
        </w:rPr>
        <w:t xml:space="preserve">Informácia o aplikácií účtovných zásad a účtovných metód, ktoré sú dôležité na posúdenie majetku, záväzkov, finančnej situácie a výsledku hospodárenia. Informácia o zmenách účtovných zásad a zmenách účtovných metód, a to s uvedením dôvodu ich uplatnenia a ich vplyvu na hodnotu majetku, záväzkov, vlastného imania a výsledku hospodárenia účtovnej jednotky. </w:t>
      </w:r>
      <w:r>
        <w:rPr>
          <w:rFonts w:eastAsia="Times New Roman"/>
          <w:bCs/>
          <w:sz w:val="28"/>
          <w:szCs w:val="28"/>
          <w:lang w:eastAsia="sk-SK"/>
        </w:rPr>
        <w:t>Ak v dôsledku zmeny účtovných zásad a účtovných metód nie sú hodnoty za bezprostredne predchádzajúce účtovné obdobie v jednotlivých súčastiach účtovnej závierky porovnateľné, uvádza sa vysvetlenie o neporovnateľných hodnotách.</w:t>
      </w:r>
    </w:p>
    <w:p>
      <w:pPr>
        <w:pStyle w:val="ListParagraph"/>
        <w:spacing w:lineRule="auto" w:line="240" w:before="0" w:after="0"/>
        <w:ind w:hanging="0" w:left="357"/>
        <w:contextualSpacing/>
        <w:jc w:val="both"/>
        <w:rPr>
          <w:rFonts w:ascii="Times New Roman" w:hAnsi="Times New Roman"/>
          <w:b/>
          <w:sz w:val="28"/>
          <w:szCs w:val="28"/>
        </w:rPr>
      </w:pPr>
      <w:r>
        <w:rPr>
          <w:rFonts w:eastAsia="Times New Roman" w:ascii="Times New Roman" w:hAnsi="Times New Roman"/>
          <w:b/>
          <w:bCs/>
          <w:sz w:val="28"/>
          <w:szCs w:val="28"/>
          <w:lang w:eastAsia="sk-SK"/>
        </w:rPr>
        <w:t>Účtovné metódy a všeobecné účtovné zásady boli účtovnou jednotkou konzistentne aplikované.</w:t>
      </w:r>
    </w:p>
    <w:p>
      <w:pPr>
        <w:pStyle w:val="ListParagraph"/>
        <w:spacing w:lineRule="auto" w:line="240" w:before="0" w:after="0"/>
        <w:ind w:hanging="0" w:left="0"/>
        <w:contextualSpacing/>
        <w:jc w:val="both"/>
        <w:rPr>
          <w:sz w:val="28"/>
          <w:szCs w:val="28"/>
        </w:rPr>
      </w:pPr>
      <w:r>
        <w:rPr>
          <w:sz w:val="28"/>
          <w:szCs w:val="28"/>
        </w:rPr>
      </w:r>
    </w:p>
    <w:p>
      <w:pPr>
        <w:pStyle w:val="ListParagraph"/>
        <w:numPr>
          <w:ilvl w:val="0"/>
          <w:numId w:val="7"/>
        </w:numPr>
        <w:spacing w:lineRule="auto" w:line="240" w:before="0" w:after="0"/>
        <w:ind w:hanging="357" w:left="357"/>
        <w:contextualSpacing/>
        <w:jc w:val="both"/>
        <w:rPr>
          <w:sz w:val="28"/>
          <w:szCs w:val="28"/>
        </w:rPr>
      </w:pPr>
      <w:r>
        <w:rPr>
          <w:sz w:val="28"/>
          <w:szCs w:val="28"/>
        </w:rPr>
        <w:t>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t>
      </w:r>
    </w:p>
    <w:p>
      <w:pPr>
        <w:pStyle w:val="ListParagraph"/>
        <w:spacing w:lineRule="auto" w:line="240" w:before="0" w:after="0"/>
        <w:ind w:hanging="0" w:left="357"/>
        <w:contextualSpacing/>
        <w:jc w:val="both"/>
        <w:rPr>
          <w:rFonts w:ascii="Times New Roman" w:hAnsi="Times New Roman"/>
          <w:b/>
          <w:sz w:val="28"/>
          <w:szCs w:val="28"/>
        </w:rPr>
      </w:pPr>
      <w:r>
        <w:rPr>
          <w:rFonts w:ascii="Times New Roman" w:hAnsi="Times New Roman"/>
          <w:b/>
          <w:sz w:val="28"/>
          <w:szCs w:val="28"/>
        </w:rPr>
        <w:t xml:space="preserve">V účtovníctve sa nenachádzajú také transakcie. </w:t>
      </w:r>
    </w:p>
    <w:p>
      <w:pPr>
        <w:pStyle w:val="ListParagraph"/>
        <w:spacing w:lineRule="auto" w:line="240" w:before="0" w:after="0"/>
        <w:ind w:hanging="0" w:left="357"/>
        <w:contextualSpacing/>
        <w:jc w:val="both"/>
        <w:rPr>
          <w:sz w:val="28"/>
          <w:szCs w:val="28"/>
        </w:rPr>
      </w:pPr>
      <w:r>
        <w:rPr>
          <w:sz w:val="28"/>
          <w:szCs w:val="28"/>
        </w:rPr>
      </w:r>
    </w:p>
    <w:p>
      <w:pPr>
        <w:pStyle w:val="ListParagraph"/>
        <w:numPr>
          <w:ilvl w:val="0"/>
          <w:numId w:val="7"/>
        </w:numPr>
        <w:spacing w:lineRule="auto" w:line="240" w:before="0" w:after="0"/>
        <w:ind w:hanging="357" w:left="357"/>
        <w:contextualSpacing/>
        <w:jc w:val="both"/>
        <w:rPr>
          <w:sz w:val="28"/>
          <w:szCs w:val="28"/>
        </w:rPr>
      </w:pPr>
      <w:r>
        <w:rPr>
          <w:sz w:val="28"/>
          <w:szCs w:val="28"/>
        </w:rPr>
        <w:t>Spôsob a  určenie ocenenia majetku a záväzkov vrátane  určenia rozhodujúcich účtovných odhadov a predpokladov, pričom sa zohľadňuje zásada významnosti. Uvádza sa najmä</w:t>
      </w:r>
    </w:p>
    <w:p>
      <w:pPr>
        <w:pStyle w:val="ListParagraph"/>
        <w:numPr>
          <w:ilvl w:val="0"/>
          <w:numId w:val="8"/>
        </w:numPr>
        <w:spacing w:lineRule="auto" w:line="240" w:before="0" w:after="0"/>
        <w:ind w:hanging="284" w:left="641"/>
        <w:contextualSpacing/>
        <w:jc w:val="both"/>
        <w:rPr>
          <w:sz w:val="28"/>
          <w:szCs w:val="28"/>
        </w:rPr>
      </w:pPr>
      <w:r>
        <w:rPr>
          <w:sz w:val="28"/>
          <w:szCs w:val="28"/>
        </w:rPr>
        <w:t>obstarávacia cena, vlastné náklady, menovitá hodnota, reálna hodnota, hodnota zistená metódou vlastného imania, aktivovanie úrokov tvoriacich súčasť ocenenia majetku a záväzkov,</w:t>
      </w:r>
      <w:r>
        <w:rPr>
          <w:color w:val="FF0000"/>
          <w:sz w:val="28"/>
          <w:szCs w:val="28"/>
        </w:rPr>
        <w:t xml:space="preserve"> </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Dlhodobý majetok v účtovníctve je oceňovaný obstarávacou cenou., opravné položky k majetku -neaktuálne</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 xml:space="preserve">Nakupované zásoby sú oceňované obstarávacími cenami, náklady spojené s obstarávaním sú pripočítané k obstarávacej cene, vlastné výrobky sú oceňované vlastnými nákladmi,  </w:t>
      </w:r>
    </w:p>
    <w:p>
      <w:pPr>
        <w:pStyle w:val="ListParagraph"/>
        <w:spacing w:lineRule="auto" w:line="240" w:before="0" w:after="0"/>
        <w:ind w:hanging="0" w:left="717"/>
        <w:contextualSpacing/>
        <w:jc w:val="both"/>
        <w:rPr>
          <w:rFonts w:ascii="Times New Roman" w:hAnsi="Times New Roman"/>
          <w:b/>
          <w:sz w:val="28"/>
          <w:szCs w:val="28"/>
        </w:rPr>
      </w:pPr>
      <w:r>
        <w:rPr>
          <w:rFonts w:ascii="Times New Roman" w:hAnsi="Times New Roman"/>
          <w:b/>
          <w:sz w:val="28"/>
          <w:szCs w:val="28"/>
        </w:rPr>
        <w:t>opravné položky k zásobám - neaktuálne</w:t>
      </w:r>
    </w:p>
    <w:p>
      <w:pPr>
        <w:pStyle w:val="ListParagraph"/>
        <w:spacing w:lineRule="auto" w:line="240" w:before="0" w:after="0"/>
        <w:ind w:hanging="0" w:left="357"/>
        <w:contextualSpacing/>
        <w:jc w:val="both"/>
        <w:rPr>
          <w:rFonts w:ascii="Times New Roman" w:hAnsi="Times New Roman"/>
          <w:b/>
          <w:sz w:val="28"/>
          <w:szCs w:val="28"/>
        </w:rPr>
      </w:pPr>
      <w:r>
        <w:rPr>
          <w:rFonts w:ascii="Times New Roman" w:hAnsi="Times New Roman"/>
          <w:b/>
          <w:sz w:val="28"/>
          <w:szCs w:val="28"/>
        </w:rPr>
        <w:t xml:space="preserve">     </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Pohľadávky pri ich vzniku sa oceňujú ich menovitou hodnotou, opravná položka sa účtuje, ak existuje predpoklad, že účtovná jednotka nebude schopná zinkasovať všetky dlžné sumy v súlade pôvodnými podmienkami fakturácie. Výška opravnej položky stanovuje na základe vekovej štruktúry pohľadávok, resp. či je dlžník v konkurznom konaní. Pohľadávka je odpísaná ak je nevymožiteľná, opravné položky k pohľadávkam - 0 Eur</w:t>
      </w:r>
    </w:p>
    <w:p>
      <w:pPr>
        <w:pStyle w:val="ListParagraph"/>
        <w:numPr>
          <w:ilvl w:val="0"/>
          <w:numId w:val="0"/>
        </w:numPr>
        <w:spacing w:lineRule="auto" w:line="240" w:before="0" w:after="0"/>
        <w:ind w:hanging="0" w:left="717"/>
        <w:contextualSpacing/>
        <w:jc w:val="both"/>
        <w:rPr>
          <w:rFonts w:ascii="Times New Roman" w:hAnsi="Times New Roman"/>
          <w:b/>
          <w:sz w:val="28"/>
          <w:szCs w:val="28"/>
        </w:rPr>
      </w:pPr>
      <w:r>
        <w:rPr>
          <w:rFonts w:ascii="Times New Roman" w:hAnsi="Times New Roman"/>
          <w:b/>
          <w:sz w:val="28"/>
          <w:szCs w:val="28"/>
        </w:rPr>
        <w:t>Peňažné prostriedky a ceniny sa oceňujú ich menovitou hodnotou.</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 xml:space="preserve">Účtovná jednotka nevyužíva výnimku z časového rozlíšenie, časovo sú rozlíšené poistenia, </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 xml:space="preserve">Operatívny prenájom - nemá. </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 xml:space="preserve">Záväzky sú ocenené menovitou hodnotou pri ich vzniku. </w:t>
      </w:r>
    </w:p>
    <w:p>
      <w:pPr>
        <w:pStyle w:val="ListParagraph"/>
        <w:spacing w:lineRule="auto" w:line="240" w:before="0" w:after="0"/>
        <w:ind w:hanging="0" w:left="357"/>
        <w:contextualSpacing/>
        <w:jc w:val="both"/>
        <w:rPr>
          <w:rFonts w:ascii="Times New Roman" w:hAnsi="Times New Roman"/>
          <w:b/>
          <w:sz w:val="28"/>
          <w:szCs w:val="28"/>
        </w:rPr>
      </w:pPr>
      <w:r>
        <w:rPr>
          <w:rFonts w:ascii="Times New Roman" w:hAnsi="Times New Roman"/>
          <w:b/>
          <w:sz w:val="28"/>
          <w:szCs w:val="28"/>
        </w:rPr>
        <w:t xml:space="preserve">     </w:t>
      </w:r>
      <w:r>
        <w:rPr>
          <w:rFonts w:ascii="Times New Roman" w:hAnsi="Times New Roman"/>
          <w:b/>
          <w:sz w:val="28"/>
          <w:szCs w:val="28"/>
        </w:rPr>
        <w:t>Úvery, druh /krátk.dlhod/ finančné výpomoci, spôsob  zabezpečenia,</w:t>
      </w:r>
    </w:p>
    <w:p>
      <w:pPr>
        <w:pStyle w:val="ListParagraph"/>
        <w:spacing w:lineRule="auto" w:line="240" w:before="0" w:after="0"/>
        <w:ind w:hanging="0" w:left="357"/>
        <w:contextualSpacing/>
        <w:jc w:val="both"/>
        <w:rPr>
          <w:rFonts w:ascii="Times New Roman" w:hAnsi="Times New Roman"/>
          <w:b/>
          <w:sz w:val="28"/>
          <w:szCs w:val="28"/>
        </w:rPr>
      </w:pPr>
      <w:r>
        <w:rPr>
          <w:rFonts w:ascii="Times New Roman" w:hAnsi="Times New Roman"/>
          <w:b/>
          <w:sz w:val="28"/>
          <w:szCs w:val="28"/>
        </w:rPr>
        <w:t xml:space="preserve">     </w:t>
      </w:r>
      <w:r>
        <w:rPr>
          <w:rFonts w:ascii="Times New Roman" w:hAnsi="Times New Roman"/>
          <w:b/>
          <w:sz w:val="28"/>
          <w:szCs w:val="28"/>
        </w:rPr>
        <w:t xml:space="preserve">dlhodobé finančné výpomoci – dlh.bank.úver </w:t>
      </w:r>
      <w:r>
        <w:rPr>
          <w:rFonts w:ascii="Times New Roman" w:hAnsi="Times New Roman"/>
          <w:b/>
          <w:sz w:val="28"/>
          <w:szCs w:val="28"/>
        </w:rPr>
        <w:t>90468</w:t>
      </w:r>
      <w:r>
        <w:rPr>
          <w:rFonts w:ascii="Times New Roman" w:hAnsi="Times New Roman"/>
          <w:b/>
          <w:sz w:val="28"/>
          <w:szCs w:val="28"/>
        </w:rPr>
        <w:t xml:space="preserve"> eur</w:t>
      </w:r>
    </w:p>
    <w:p>
      <w:pPr>
        <w:pStyle w:val="ListParagraph"/>
        <w:spacing w:lineRule="auto" w:line="240" w:before="0" w:after="0"/>
        <w:ind w:hanging="0" w:left="357"/>
        <w:contextualSpacing/>
        <w:jc w:val="both"/>
        <w:rPr>
          <w:rFonts w:ascii="Times New Roman" w:hAnsi="Times New Roman"/>
          <w:b/>
          <w:sz w:val="28"/>
          <w:szCs w:val="28"/>
        </w:rPr>
      </w:pPr>
      <w:r>
        <w:rPr>
          <w:rFonts w:ascii="Times New Roman" w:hAnsi="Times New Roman"/>
          <w:b/>
          <w:sz w:val="28"/>
          <w:szCs w:val="28"/>
        </w:rPr>
        <w:t xml:space="preserve">      </w:t>
      </w:r>
      <w:r>
        <w:rPr>
          <w:rFonts w:ascii="Times New Roman" w:hAnsi="Times New Roman"/>
          <w:b/>
          <w:sz w:val="28"/>
          <w:szCs w:val="28"/>
        </w:rPr>
        <w:t xml:space="preserve">Rezervy boli tvorené na nevyčerpané dovolenky v sume </w:t>
      </w:r>
      <w:r>
        <w:rPr>
          <w:rFonts w:ascii="Times New Roman" w:hAnsi="Times New Roman"/>
          <w:b/>
          <w:sz w:val="28"/>
          <w:szCs w:val="28"/>
        </w:rPr>
        <w:t>7111</w:t>
      </w:r>
      <w:r>
        <w:rPr>
          <w:rFonts w:ascii="Times New Roman" w:hAnsi="Times New Roman"/>
          <w:b/>
          <w:sz w:val="28"/>
          <w:szCs w:val="28"/>
        </w:rPr>
        <w:t xml:space="preserve"> Eur. </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 xml:space="preserve">Výnosy, tržby sú znížené o bonusy. </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 xml:space="preserve">Účtovná jednotka v bežnom roku účtovala  dotácie  </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Účtovná jednotka v bežnom roku neúčtovala chyby minulých účtovných období .</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Účtovná jednotka svoje tržby dosahuje z činnosti predaja služieb ,</w:t>
      </w:r>
    </w:p>
    <w:p>
      <w:pPr>
        <w:pStyle w:val="ListParagraph"/>
        <w:spacing w:lineRule="auto" w:line="240" w:before="0" w:after="0"/>
        <w:ind w:hanging="0" w:left="717"/>
        <w:contextualSpacing/>
        <w:jc w:val="both"/>
        <w:rPr>
          <w:rFonts w:ascii="Times New Roman" w:hAnsi="Times New Roman"/>
          <w:b/>
          <w:sz w:val="28"/>
          <w:szCs w:val="28"/>
        </w:rPr>
      </w:pPr>
      <w:r>
        <w:rPr>
          <w:rFonts w:ascii="Times New Roman" w:hAnsi="Times New Roman"/>
          <w:b/>
          <w:sz w:val="28"/>
          <w:szCs w:val="28"/>
        </w:rPr>
        <w:t>vykázané náklady sú spojené so zabezpečovaním výnosov, významné položky reprezentujú napr.: spotr.mat., služby a mzdové náklady</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 xml:space="preserve">vlastné  akcie  účtovná jednotka nevlastní, </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 xml:space="preserve">členom štatutárnym orgánom neboli poskytnuté pôžičky, ani záruky ani iné zabezpečenia, </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 xml:space="preserve">povinnosti vyplývajúce z finančných povinností napr. z nájmu,  zmluva o úvere,  -  sú aktuálne </w:t>
      </w:r>
    </w:p>
    <w:p>
      <w:pPr>
        <w:pStyle w:val="ListParagraph"/>
        <w:numPr>
          <w:ilvl w:val="0"/>
          <w:numId w:val="21"/>
        </w:numPr>
        <w:spacing w:lineRule="auto" w:line="240" w:before="0" w:after="0"/>
        <w:contextualSpacing/>
        <w:jc w:val="both"/>
        <w:rPr>
          <w:rFonts w:ascii="Times New Roman" w:hAnsi="Times New Roman"/>
          <w:b/>
          <w:sz w:val="28"/>
          <w:szCs w:val="28"/>
        </w:rPr>
      </w:pPr>
      <w:r>
        <w:rPr>
          <w:rFonts w:ascii="Times New Roman" w:hAnsi="Times New Roman"/>
          <w:b/>
          <w:sz w:val="28"/>
          <w:szCs w:val="28"/>
        </w:rPr>
        <w:t xml:space="preserve">ručenie tretím osobám, neukončený súdny spor ak sa jedná o významnú sumu, ručenie za bankové úvery  - neaktuálne </w:t>
      </w:r>
    </w:p>
    <w:p>
      <w:pPr>
        <w:pStyle w:val="ListParagraph"/>
        <w:numPr>
          <w:ilvl w:val="0"/>
          <w:numId w:val="8"/>
        </w:numPr>
        <w:spacing w:lineRule="auto" w:line="240" w:before="0" w:after="0"/>
        <w:ind w:hanging="284" w:left="641"/>
        <w:contextualSpacing/>
        <w:jc w:val="both"/>
        <w:rPr>
          <w:sz w:val="28"/>
          <w:szCs w:val="28"/>
        </w:rPr>
      </w:pPr>
      <w:r>
        <w:rPr>
          <w:sz w:val="28"/>
          <w:szCs w:val="28"/>
        </w:rPr>
        <w:t xml:space="preserve"> </w:t>
      </w:r>
      <w:r>
        <w:rPr>
          <w:sz w:val="28"/>
          <w:szCs w:val="28"/>
        </w:rPr>
        <w:t>určenie odhadu zníženia hodnoty majetku a tvorba opravnej položky k majetku,</w:t>
      </w:r>
    </w:p>
    <w:p>
      <w:pPr>
        <w:pStyle w:val="ListParagraph"/>
        <w:spacing w:lineRule="auto" w:line="240" w:before="0" w:after="0"/>
        <w:ind w:hanging="0" w:left="641"/>
        <w:contextualSpacing/>
        <w:jc w:val="both"/>
        <w:rPr>
          <w:rFonts w:ascii="Times New Roman" w:hAnsi="Times New Roman"/>
          <w:b/>
          <w:sz w:val="28"/>
          <w:szCs w:val="28"/>
        </w:rPr>
      </w:pPr>
      <w:r>
        <w:rPr>
          <w:rFonts w:ascii="Times New Roman" w:hAnsi="Times New Roman"/>
          <w:b/>
          <w:sz w:val="28"/>
          <w:szCs w:val="28"/>
        </w:rPr>
      </w:r>
    </w:p>
    <w:p>
      <w:pPr>
        <w:pStyle w:val="ListParagraph"/>
        <w:spacing w:lineRule="auto" w:line="240" w:before="0" w:after="0"/>
        <w:ind w:hanging="0" w:left="641"/>
        <w:contextualSpacing/>
        <w:jc w:val="both"/>
        <w:rPr>
          <w:rFonts w:ascii="Times New Roman" w:hAnsi="Times New Roman"/>
          <w:b/>
          <w:sz w:val="28"/>
          <w:szCs w:val="28"/>
        </w:rPr>
      </w:pPr>
      <w:r>
        <w:rPr>
          <w:rFonts w:ascii="Times New Roman" w:hAnsi="Times New Roman"/>
          <w:b/>
          <w:sz w:val="28"/>
          <w:szCs w:val="28"/>
        </w:rPr>
        <w:t xml:space="preserve">Odpisy dlhodobého majetku sú stanovené vychádzajúc z predpokladanej doby jeho používania a predpokladaného opotrebenia, okrem odpisov zníženie hodnoty dlhodobého hmotného a nehmotného majetku nebolo zistené. </w:t>
      </w:r>
    </w:p>
    <w:p>
      <w:pPr>
        <w:pStyle w:val="ListParagraph"/>
        <w:numPr>
          <w:ilvl w:val="0"/>
          <w:numId w:val="8"/>
        </w:numPr>
        <w:spacing w:lineRule="auto" w:line="240" w:before="0" w:after="0"/>
        <w:ind w:hanging="284" w:left="641"/>
        <w:contextualSpacing/>
        <w:jc w:val="both"/>
        <w:rPr>
          <w:sz w:val="28"/>
          <w:szCs w:val="28"/>
        </w:rPr>
      </w:pPr>
      <w:r>
        <w:rPr>
          <w:sz w:val="28"/>
          <w:szCs w:val="28"/>
        </w:rPr>
        <w:t>určenie ocenenia záväzkov, stanovenie odhadu ocenenia rezerv,</w:t>
      </w:r>
    </w:p>
    <w:p>
      <w:pPr>
        <w:pStyle w:val="ListParagraph"/>
        <w:spacing w:lineRule="auto" w:line="240" w:before="0" w:after="0"/>
        <w:ind w:hanging="0" w:left="641"/>
        <w:contextualSpacing/>
        <w:jc w:val="both"/>
        <w:rPr>
          <w:rFonts w:ascii="Times New Roman" w:hAnsi="Times New Roman"/>
          <w:b/>
          <w:sz w:val="28"/>
          <w:szCs w:val="28"/>
        </w:rPr>
      </w:pPr>
      <w:r>
        <w:rPr>
          <w:rFonts w:ascii="Times New Roman" w:hAnsi="Times New Roman"/>
          <w:b/>
          <w:sz w:val="28"/>
          <w:szCs w:val="28"/>
        </w:rPr>
        <w:t xml:space="preserve">Krátkodobé rezervy sa účtujú predpokladanou dobou vyrovnania pri vzniku najviac jeden rok, ak je neurčité časové vymedzenie alebo výška záväzku. Dlhodobé rezervy sa účtujú predpokladanou dobou vyrovnania pri vzniku viac než jeden rok.  </w:t>
      </w:r>
    </w:p>
    <w:p>
      <w:pPr>
        <w:pStyle w:val="ListParagraph"/>
        <w:spacing w:lineRule="auto" w:line="240" w:before="0" w:after="0"/>
        <w:ind w:hanging="0" w:left="641"/>
        <w:contextualSpacing/>
        <w:jc w:val="both"/>
        <w:rPr>
          <w:rFonts w:ascii="Times New Roman" w:hAnsi="Times New Roman"/>
          <w:b/>
          <w:sz w:val="28"/>
          <w:szCs w:val="28"/>
        </w:rPr>
      </w:pPr>
      <w:r>
        <w:rPr>
          <w:rFonts w:ascii="Times New Roman" w:hAnsi="Times New Roman"/>
          <w:b/>
          <w:sz w:val="28"/>
          <w:szCs w:val="28"/>
        </w:rPr>
      </w:r>
    </w:p>
    <w:p>
      <w:pPr>
        <w:pStyle w:val="ListParagraph"/>
        <w:numPr>
          <w:ilvl w:val="0"/>
          <w:numId w:val="8"/>
        </w:numPr>
        <w:spacing w:lineRule="auto" w:line="240" w:before="0" w:after="0"/>
        <w:ind w:hanging="284" w:left="641"/>
        <w:contextualSpacing/>
        <w:jc w:val="both"/>
        <w:rPr>
          <w:sz w:val="28"/>
          <w:szCs w:val="28"/>
        </w:rPr>
      </w:pPr>
      <w:r>
        <w:rPr>
          <w:sz w:val="28"/>
          <w:szCs w:val="28"/>
        </w:rPr>
        <w:t>určenie ocenenia finančných nástrojov alebo majetku, ktorý nie je finančným nástrojom pri oceňovaní reálnou hodnotou, a to:</w:t>
      </w:r>
    </w:p>
    <w:p>
      <w:pPr>
        <w:pStyle w:val="ListParagraph"/>
        <w:numPr>
          <w:ilvl w:val="0"/>
          <w:numId w:val="14"/>
        </w:numPr>
        <w:spacing w:lineRule="auto" w:line="240" w:before="0" w:after="0"/>
        <w:ind w:hanging="357" w:left="1066"/>
        <w:contextualSpacing/>
        <w:jc w:val="both"/>
        <w:rPr>
          <w:sz w:val="28"/>
          <w:szCs w:val="28"/>
        </w:rPr>
      </w:pPr>
      <w:r>
        <w:rPr>
          <w:sz w:val="28"/>
          <w:szCs w:val="28"/>
        </w:rPr>
        <w:t>určenie  ocenenia reálnou hodnotou, pričom sa uvádza aplikácia reálnej hodnoty podľa zákona; pri kvalifikovanom odhade sa uvádza stanovenie významných predpokladov slúžiacich ako základ modelov a postupov ocenenia,</w:t>
      </w:r>
    </w:p>
    <w:p>
      <w:pPr>
        <w:pStyle w:val="ListParagraph"/>
        <w:spacing w:lineRule="auto" w:line="240" w:before="0" w:after="0"/>
        <w:ind w:hanging="0" w:left="1066"/>
        <w:contextualSpacing/>
        <w:jc w:val="both"/>
        <w:rPr>
          <w:b/>
          <w:sz w:val="28"/>
          <w:szCs w:val="28"/>
        </w:rPr>
      </w:pPr>
      <w:r>
        <w:rPr>
          <w:b/>
          <w:sz w:val="28"/>
          <w:szCs w:val="28"/>
        </w:rPr>
        <w:t xml:space="preserve">neaktuálne </w:t>
      </w:r>
    </w:p>
    <w:p>
      <w:pPr>
        <w:pStyle w:val="ListParagraph"/>
        <w:numPr>
          <w:ilvl w:val="0"/>
          <w:numId w:val="14"/>
        </w:numPr>
        <w:spacing w:lineRule="auto" w:line="240" w:before="0" w:after="0"/>
        <w:contextualSpacing/>
        <w:jc w:val="both"/>
        <w:rPr>
          <w:sz w:val="28"/>
          <w:szCs w:val="28"/>
        </w:rPr>
      </w:pPr>
      <w:r>
        <w:rPr>
          <w:sz w:val="28"/>
          <w:szCs w:val="28"/>
        </w:rPr>
        <w:t>pre každú kategóriu finančných nástrojov alebo majetku, ktorý nie je finančných nástrojom sa uvádza reálna hodnota a údaj o tom, v akej sume sa zmeny reálnej hodnoty zahrnuli do výkazu ziskov a strát a v akej sume sa zahrnuli vo vlastnom imaní ako oceňovacie rozdiely,</w:t>
      </w:r>
    </w:p>
    <w:p>
      <w:pPr>
        <w:pStyle w:val="ListParagraph"/>
        <w:spacing w:lineRule="auto" w:line="240" w:before="0" w:after="0"/>
        <w:ind w:hanging="0" w:left="1068"/>
        <w:contextualSpacing/>
        <w:jc w:val="both"/>
        <w:rPr>
          <w:rFonts w:ascii="Times New Roman" w:hAnsi="Times New Roman"/>
          <w:b/>
          <w:sz w:val="28"/>
          <w:szCs w:val="28"/>
        </w:rPr>
      </w:pPr>
      <w:r>
        <w:rPr>
          <w:rFonts w:ascii="Times New Roman" w:hAnsi="Times New Roman"/>
          <w:b/>
          <w:sz w:val="28"/>
          <w:szCs w:val="28"/>
        </w:rPr>
        <w:t>neaktuálne.</w:t>
      </w:r>
    </w:p>
    <w:p>
      <w:pPr>
        <w:pStyle w:val="ListParagraph"/>
        <w:numPr>
          <w:ilvl w:val="0"/>
          <w:numId w:val="14"/>
        </w:numPr>
        <w:spacing w:lineRule="auto" w:line="240" w:before="0" w:after="0"/>
        <w:contextualSpacing/>
        <w:jc w:val="both"/>
        <w:rPr>
          <w:sz w:val="28"/>
          <w:szCs w:val="28"/>
        </w:rPr>
      </w:pPr>
      <w:r>
        <w:rPr>
          <w:sz w:val="28"/>
          <w:szCs w:val="28"/>
        </w:rPr>
        <w:t xml:space="preserve">pre každý druh derivátových finančných nástrojov informácie o rozsahu a podstate týchto nástrojov vrátane hlavných podmienok a okolností, ktoré môžu ovplyvniť sumu, časový priebeh a mieru istoty budúcich peňažných tokov, </w:t>
      </w:r>
    </w:p>
    <w:p>
      <w:pPr>
        <w:pStyle w:val="ListParagraph"/>
        <w:spacing w:lineRule="auto" w:line="240" w:before="0" w:after="0"/>
        <w:ind w:hanging="0" w:left="1068"/>
        <w:contextualSpacing/>
        <w:jc w:val="both"/>
        <w:rPr>
          <w:rFonts w:ascii="Times New Roman" w:hAnsi="Times New Roman"/>
          <w:b/>
          <w:sz w:val="28"/>
          <w:szCs w:val="28"/>
        </w:rPr>
      </w:pPr>
      <w:r>
        <w:rPr>
          <w:rFonts w:ascii="Times New Roman" w:hAnsi="Times New Roman"/>
          <w:b/>
          <w:sz w:val="28"/>
          <w:szCs w:val="28"/>
        </w:rPr>
        <w:t>neaktuálne.</w:t>
      </w:r>
    </w:p>
    <w:p>
      <w:pPr>
        <w:pStyle w:val="ListParagraph"/>
        <w:numPr>
          <w:ilvl w:val="0"/>
          <w:numId w:val="8"/>
        </w:numPr>
        <w:spacing w:lineRule="auto" w:line="240" w:before="0" w:after="0"/>
        <w:ind w:hanging="284" w:left="641"/>
        <w:contextualSpacing/>
        <w:jc w:val="both"/>
        <w:rPr>
          <w:sz w:val="28"/>
          <w:szCs w:val="28"/>
        </w:rPr>
      </w:pPr>
      <w:r>
        <w:rPr>
          <w:sz w:val="28"/>
          <w:szCs w:val="28"/>
        </w:rPr>
        <w:t>určenie ocenenia finančných nástrojov alebo majetku, ktorý nie je finančným nástrojom pri oceňovaní obstarávacou cenou alebo vlastnými nákladmi, a to:</w:t>
      </w:r>
    </w:p>
    <w:p>
      <w:pPr>
        <w:pStyle w:val="ListParagraph"/>
        <w:numPr>
          <w:ilvl w:val="0"/>
          <w:numId w:val="15"/>
        </w:numPr>
        <w:spacing w:lineRule="auto" w:line="240" w:before="0" w:after="0"/>
        <w:ind w:hanging="357" w:left="1066"/>
        <w:contextualSpacing/>
        <w:jc w:val="both"/>
        <w:rPr>
          <w:sz w:val="28"/>
          <w:szCs w:val="28"/>
        </w:rPr>
      </w:pPr>
      <w:r>
        <w:rPr>
          <w:sz w:val="28"/>
          <w:szCs w:val="28"/>
        </w:rPr>
        <w:t>pre každý druh derivátových finančných nástrojov sa uvádza reálna hodnota týchto finančných nástrojov, ak sa môže spoľahlivo určiť ako trhová cena a informácia o rozsahu a charaktere týchto nástrojov,</w:t>
      </w:r>
    </w:p>
    <w:p>
      <w:pPr>
        <w:pStyle w:val="ListParagraph"/>
        <w:numPr>
          <w:ilvl w:val="0"/>
          <w:numId w:val="15"/>
        </w:numPr>
        <w:spacing w:lineRule="auto" w:line="240" w:before="0" w:after="0"/>
        <w:contextualSpacing/>
        <w:jc w:val="both"/>
        <w:rPr>
          <w:sz w:val="28"/>
          <w:szCs w:val="28"/>
        </w:rPr>
      </w:pPr>
      <w:r>
        <w:rPr>
          <w:sz w:val="28"/>
          <w:szCs w:val="28"/>
        </w:rPr>
        <w:t xml:space="preserve">pri dlhodobom finančnom majetku, ktorý sa vykazuje vo vyššej hodnote ako je jeho reálna hodnota, sa uvádza </w:t>
      </w:r>
    </w:p>
    <w:p>
      <w:pPr>
        <w:pStyle w:val="ListParagraph"/>
        <w:numPr>
          <w:ilvl w:val="0"/>
          <w:numId w:val="19"/>
        </w:numPr>
        <w:spacing w:lineRule="auto" w:line="240" w:before="0" w:after="0"/>
        <w:ind w:hanging="284" w:left="1418"/>
        <w:contextualSpacing/>
        <w:jc w:val="both"/>
        <w:rPr>
          <w:sz w:val="28"/>
          <w:szCs w:val="28"/>
        </w:rPr>
      </w:pPr>
      <w:r>
        <w:rPr>
          <w:sz w:val="28"/>
          <w:szCs w:val="28"/>
        </w:rPr>
        <w:t>účtovná hodnota a reálna hodnota za jednotlivé položky majetku alebo skupiny týchto jednotlivých položiek majetku,</w:t>
      </w:r>
    </w:p>
    <w:p>
      <w:pPr>
        <w:pStyle w:val="ListParagraph"/>
        <w:numPr>
          <w:ilvl w:val="0"/>
          <w:numId w:val="20"/>
        </w:numPr>
        <w:spacing w:lineRule="auto" w:line="240" w:before="0" w:after="0"/>
        <w:ind w:hanging="284" w:left="1418"/>
        <w:contextualSpacing/>
        <w:jc w:val="both"/>
        <w:rPr>
          <w:sz w:val="28"/>
          <w:szCs w:val="28"/>
        </w:rPr>
      </w:pPr>
      <w:r>
        <w:rPr>
          <w:sz w:val="28"/>
          <w:szCs w:val="28"/>
        </w:rPr>
        <w:t>dôvod pre nezníženie účtovnej hodnoty vrátane povahy dôkazov pre predpoklad, že sa účtovná hodnota opätovne dosiahne,</w:t>
      </w:r>
    </w:p>
    <w:p>
      <w:pPr>
        <w:pStyle w:val="ListParagraph"/>
        <w:numPr>
          <w:ilvl w:val="0"/>
          <w:numId w:val="8"/>
        </w:numPr>
        <w:spacing w:lineRule="auto" w:line="240" w:before="0" w:after="0"/>
        <w:ind w:hanging="284" w:left="641"/>
        <w:contextualSpacing/>
        <w:jc w:val="both"/>
        <w:rPr>
          <w:sz w:val="28"/>
          <w:szCs w:val="28"/>
        </w:rPr>
      </w:pPr>
      <w:r>
        <w:rPr>
          <w:sz w:val="28"/>
          <w:szCs w:val="28"/>
        </w:rPr>
        <w:t>stanovenie metódy vlastného imania,</w:t>
      </w:r>
    </w:p>
    <w:p>
      <w:pPr>
        <w:pStyle w:val="ListParagraph"/>
        <w:numPr>
          <w:ilvl w:val="0"/>
          <w:numId w:val="8"/>
        </w:numPr>
        <w:spacing w:lineRule="auto" w:line="240" w:before="0" w:after="0"/>
        <w:ind w:hanging="284" w:left="641"/>
        <w:contextualSpacing/>
        <w:jc w:val="both"/>
        <w:rPr>
          <w:sz w:val="28"/>
          <w:szCs w:val="28"/>
        </w:rPr>
      </w:pPr>
      <w:r>
        <w:rPr>
          <w:rFonts w:eastAsia="Times New Roman"/>
          <w:bCs/>
          <w:kern w:val="2"/>
          <w:sz w:val="28"/>
          <w:szCs w:val="28"/>
          <w:lang w:eastAsia="sk-SK"/>
        </w:rPr>
        <w:t>tvorba odpisového plánu pre dlhodobý majetok, pričom sa uvádza doba odpisovania, sadzby odpisov a odpisové metódy pre účtovné odpisy,</w:t>
      </w:r>
    </w:p>
    <w:p>
      <w:pPr>
        <w:pStyle w:val="ListParagraph"/>
        <w:spacing w:lineRule="auto" w:line="240" w:before="0" w:after="0"/>
        <w:ind w:hanging="0" w:left="641"/>
        <w:contextualSpacing/>
        <w:jc w:val="both"/>
        <w:rPr>
          <w:rFonts w:eastAsia="Times New Roman"/>
          <w:b/>
          <w:bCs/>
          <w:kern w:val="2"/>
          <w:sz w:val="28"/>
          <w:szCs w:val="28"/>
          <w:lang w:eastAsia="sk-SK"/>
        </w:rPr>
      </w:pPr>
      <w:r>
        <w:rPr>
          <w:rFonts w:eastAsia="Times New Roman"/>
          <w:b/>
          <w:bCs/>
          <w:kern w:val="2"/>
          <w:sz w:val="28"/>
          <w:szCs w:val="28"/>
          <w:lang w:eastAsia="sk-SK"/>
        </w:rPr>
        <w:t xml:space="preserve">doba a sadzby odpisovania dl.hmotného  a nehmotného majetku </w:t>
      </w:r>
    </w:p>
    <w:p>
      <w:pPr>
        <w:pStyle w:val="ListParagraph"/>
        <w:spacing w:lineRule="auto" w:line="240" w:before="0" w:after="0"/>
        <w:ind w:hanging="0" w:left="641"/>
        <w:contextualSpacing/>
        <w:jc w:val="both"/>
        <w:rPr>
          <w:rFonts w:eastAsia="Times New Roman"/>
          <w:b/>
          <w:bCs/>
          <w:kern w:val="2"/>
          <w:sz w:val="28"/>
          <w:szCs w:val="28"/>
          <w:lang w:eastAsia="sk-SK"/>
        </w:rPr>
      </w:pPr>
      <w:r>
        <w:rPr>
          <w:rFonts w:eastAsia="Times New Roman"/>
          <w:b/>
          <w:bCs/>
          <w:kern w:val="2"/>
          <w:sz w:val="28"/>
          <w:szCs w:val="28"/>
          <w:lang w:eastAsia="sk-SK"/>
        </w:rPr>
        <w:t xml:space="preserve">doba odpisovania pri autách  sú štyri roky </w:t>
      </w:r>
    </w:p>
    <w:p>
      <w:pPr>
        <w:pStyle w:val="ListParagraph"/>
        <w:spacing w:lineRule="auto" w:line="240" w:before="0" w:after="0"/>
        <w:ind w:hanging="0" w:left="641"/>
        <w:contextualSpacing/>
        <w:jc w:val="both"/>
        <w:rPr>
          <w:rFonts w:eastAsia="Times New Roman"/>
          <w:b/>
          <w:bCs/>
          <w:kern w:val="2"/>
          <w:sz w:val="28"/>
          <w:szCs w:val="28"/>
          <w:lang w:eastAsia="sk-SK"/>
        </w:rPr>
      </w:pPr>
      <w:r>
        <w:rPr>
          <w:rFonts w:eastAsia="Times New Roman"/>
          <w:b/>
          <w:bCs/>
          <w:kern w:val="2"/>
          <w:sz w:val="28"/>
          <w:szCs w:val="28"/>
          <w:lang w:eastAsia="sk-SK"/>
        </w:rPr>
        <w:tab/>
      </w:r>
    </w:p>
    <w:p>
      <w:pPr>
        <w:pStyle w:val="ListParagraph"/>
        <w:spacing w:lineRule="auto" w:line="240" w:before="0" w:after="0"/>
        <w:ind w:hanging="0" w:left="641"/>
        <w:contextualSpacing/>
        <w:jc w:val="both"/>
        <w:rPr>
          <w:b/>
          <w:sz w:val="28"/>
          <w:szCs w:val="28"/>
        </w:rPr>
      </w:pPr>
      <w:r>
        <w:rPr>
          <w:rFonts w:eastAsia="Times New Roman"/>
          <w:b/>
          <w:bCs/>
          <w:kern w:val="2"/>
          <w:sz w:val="28"/>
          <w:szCs w:val="28"/>
          <w:lang w:eastAsia="sk-SK"/>
        </w:rPr>
        <w:t xml:space="preserve"> </w:t>
      </w:r>
    </w:p>
    <w:p>
      <w:pPr>
        <w:pStyle w:val="ListParagraph"/>
        <w:numPr>
          <w:ilvl w:val="0"/>
          <w:numId w:val="8"/>
        </w:numPr>
        <w:spacing w:lineRule="auto" w:line="240" w:before="0" w:after="0"/>
        <w:ind w:hanging="284" w:left="641"/>
        <w:contextualSpacing/>
        <w:jc w:val="both"/>
        <w:rPr>
          <w:sz w:val="28"/>
          <w:szCs w:val="28"/>
        </w:rPr>
      </w:pPr>
      <w:r>
        <w:rPr>
          <w:rFonts w:eastAsia="Times New Roman"/>
          <w:sz w:val="28"/>
          <w:szCs w:val="28"/>
        </w:rPr>
        <w:t>informácia o poskytnutých dotáciách a pri dotáciách na obstaranie majetku sa uvedú zložky majetku a ich ocenenie.</w:t>
      </w:r>
    </w:p>
    <w:p>
      <w:pPr>
        <w:pStyle w:val="ListParagraph"/>
        <w:spacing w:lineRule="auto" w:line="240" w:before="0" w:after="0"/>
        <w:ind w:hanging="0" w:left="641"/>
        <w:contextualSpacing/>
        <w:jc w:val="both"/>
        <w:rPr>
          <w:rFonts w:ascii="Times New Roman" w:hAnsi="Times New Roman"/>
          <w:b/>
          <w:sz w:val="28"/>
          <w:szCs w:val="28"/>
        </w:rPr>
      </w:pPr>
      <w:r>
        <w:rPr>
          <w:rFonts w:ascii="Times New Roman" w:hAnsi="Times New Roman"/>
          <w:b/>
          <w:sz w:val="28"/>
          <w:szCs w:val="28"/>
        </w:rPr>
        <w:t>Neaktuálne.</w:t>
      </w:r>
    </w:p>
    <w:p>
      <w:pPr>
        <w:pStyle w:val="ListParagraph"/>
        <w:spacing w:lineRule="auto" w:line="240" w:before="0" w:after="0"/>
        <w:ind w:hanging="0" w:left="0"/>
        <w:contextualSpacing/>
        <w:jc w:val="both"/>
        <w:rPr>
          <w:sz w:val="28"/>
          <w:szCs w:val="28"/>
        </w:rPr>
      </w:pPr>
      <w:r>
        <w:rPr>
          <w:sz w:val="28"/>
          <w:szCs w:val="28"/>
        </w:rPr>
      </w:r>
    </w:p>
    <w:p>
      <w:pPr>
        <w:pStyle w:val="ListParagraph"/>
        <w:numPr>
          <w:ilvl w:val="0"/>
          <w:numId w:val="7"/>
        </w:numPr>
        <w:spacing w:lineRule="auto" w:line="240" w:before="0" w:after="0"/>
        <w:ind w:hanging="357" w:left="357"/>
        <w:contextualSpacing/>
        <w:jc w:val="both"/>
        <w:rPr>
          <w:sz w:val="28"/>
          <w:szCs w:val="28"/>
        </w:rPr>
      </w:pPr>
      <w:r>
        <w:rPr>
          <w:sz w:val="28"/>
          <w:szCs w:val="28"/>
        </w:rPr>
        <w:t xml:space="preserve">V poznámkach sa uvádza informácia o </w:t>
      </w:r>
      <w:r>
        <w:rPr>
          <w:rFonts w:eastAsia="Times New Roman"/>
          <w:sz w:val="28"/>
          <w:szCs w:val="28"/>
          <w:lang w:eastAsia="sk-SK"/>
        </w:rPr>
        <w:t>oprave významných chýb minulých účtovných období účtovaných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w:t>
      </w:r>
    </w:p>
    <w:p>
      <w:pPr>
        <w:pStyle w:val="ListParagraph"/>
        <w:spacing w:lineRule="auto" w:line="240" w:before="0" w:after="0"/>
        <w:ind w:hanging="0" w:left="357"/>
        <w:contextualSpacing/>
        <w:jc w:val="both"/>
        <w:rPr>
          <w:rFonts w:ascii="Times New Roman" w:hAnsi="Times New Roman"/>
          <w:b/>
          <w:sz w:val="28"/>
          <w:szCs w:val="28"/>
        </w:rPr>
      </w:pPr>
      <w:r>
        <w:rPr>
          <w:rFonts w:ascii="Times New Roman" w:hAnsi="Times New Roman"/>
          <w:b/>
          <w:sz w:val="28"/>
          <w:szCs w:val="28"/>
        </w:rPr>
        <w:t>Neaktuálne.</w:t>
      </w:r>
    </w:p>
    <w:p>
      <w:pPr>
        <w:pStyle w:val="ListParagraph"/>
        <w:spacing w:lineRule="auto" w:line="240" w:before="0" w:after="0"/>
        <w:ind w:hanging="0" w:left="862"/>
        <w:contextualSpacing/>
        <w:rPr>
          <w:sz w:val="28"/>
          <w:szCs w:val="28"/>
        </w:rPr>
      </w:pPr>
      <w:r>
        <w:rPr>
          <w:sz w:val="28"/>
          <w:szCs w:val="28"/>
        </w:rPr>
      </w:r>
    </w:p>
    <w:p>
      <w:pPr>
        <w:pStyle w:val="ListParagraph"/>
        <w:spacing w:lineRule="auto" w:line="240" w:before="0" w:after="0"/>
        <w:ind w:hanging="0" w:left="862"/>
        <w:contextualSpacing/>
        <w:rPr>
          <w:sz w:val="28"/>
          <w:szCs w:val="28"/>
        </w:rPr>
      </w:pPr>
      <w:r>
        <w:rPr>
          <w:sz w:val="28"/>
          <w:szCs w:val="28"/>
        </w:rPr>
      </w:r>
    </w:p>
    <w:p>
      <w:pPr>
        <w:pStyle w:val="ListParagraph"/>
        <w:spacing w:lineRule="auto" w:line="240" w:before="0" w:after="0"/>
        <w:ind w:hanging="0" w:left="0"/>
        <w:contextualSpacing/>
        <w:jc w:val="center"/>
        <w:rPr>
          <w:b/>
          <w:sz w:val="28"/>
          <w:szCs w:val="28"/>
        </w:rPr>
      </w:pPr>
      <w:r>
        <w:rPr>
          <w:b/>
          <w:sz w:val="28"/>
          <w:szCs w:val="28"/>
        </w:rPr>
        <w:t>Čl. IV</w:t>
      </w:r>
    </w:p>
    <w:p>
      <w:pPr>
        <w:pStyle w:val="ListParagraph"/>
        <w:spacing w:lineRule="auto" w:line="240" w:before="0" w:after="0"/>
        <w:ind w:hanging="0" w:left="0"/>
        <w:contextualSpacing/>
        <w:jc w:val="center"/>
        <w:rPr>
          <w:b/>
          <w:sz w:val="28"/>
          <w:szCs w:val="28"/>
        </w:rPr>
      </w:pPr>
      <w:r>
        <w:rPr>
          <w:b/>
          <w:sz w:val="28"/>
          <w:szCs w:val="28"/>
        </w:rPr>
        <w:t>Informácie, ktoré vysvetľujú a dopĺňajú súvahu a výkaz ziskov a strát</w:t>
      </w:r>
    </w:p>
    <w:p>
      <w:pPr>
        <w:pStyle w:val="ListParagraph"/>
        <w:spacing w:lineRule="auto" w:line="240" w:before="0" w:after="0"/>
        <w:contextualSpacing/>
        <w:rPr>
          <w:rFonts w:eastAsia="Times New Roman"/>
          <w:bCs/>
          <w:sz w:val="28"/>
          <w:szCs w:val="28"/>
          <w:lang w:eastAsia="sk-SK"/>
        </w:rPr>
      </w:pPr>
      <w:r>
        <w:rPr>
          <w:rFonts w:eastAsia="Times New Roman"/>
          <w:bCs/>
          <w:sz w:val="28"/>
          <w:szCs w:val="28"/>
          <w:lang w:eastAsia="sk-SK"/>
        </w:rPr>
      </w:r>
    </w:p>
    <w:p>
      <w:pPr>
        <w:pStyle w:val="Normal"/>
        <w:spacing w:lineRule="auto" w:line="240" w:before="0" w:after="0"/>
        <w:ind w:hanging="0" w:right="-468"/>
        <w:rPr>
          <w:rFonts w:eastAsia="Times New Roman"/>
          <w:b/>
          <w:bCs/>
          <w:sz w:val="28"/>
          <w:szCs w:val="28"/>
          <w:lang w:eastAsia="sk-SK"/>
        </w:rPr>
      </w:pPr>
      <w:r>
        <w:rPr>
          <w:rFonts w:eastAsia="Times New Roman"/>
          <w:b/>
          <w:bCs/>
          <w:sz w:val="28"/>
          <w:szCs w:val="28"/>
          <w:lang w:eastAsia="sk-SK"/>
        </w:rPr>
        <w:t xml:space="preserve">      </w:t>
      </w:r>
      <w:r>
        <w:rPr>
          <w:rFonts w:eastAsia="Times New Roman"/>
          <w:b/>
          <w:bCs/>
          <w:sz w:val="28"/>
          <w:szCs w:val="28"/>
          <w:lang w:eastAsia="sk-SK"/>
        </w:rPr>
        <w:t xml:space="preserve">Pre túto časť Poznámok účtovná jednotka nemá obsahovú náplň, </w:t>
      </w:r>
    </w:p>
    <w:p>
      <w:pPr>
        <w:pStyle w:val="Normal"/>
        <w:spacing w:lineRule="auto" w:line="240" w:before="0" w:after="0"/>
        <w:ind w:hanging="0" w:right="-468"/>
        <w:rPr>
          <w:rFonts w:eastAsia="Times New Roman"/>
          <w:b/>
          <w:bCs/>
          <w:sz w:val="28"/>
          <w:szCs w:val="28"/>
          <w:lang w:eastAsia="sk-SK"/>
        </w:rPr>
      </w:pPr>
      <w:r>
        <w:rPr>
          <w:rFonts w:eastAsia="Times New Roman"/>
          <w:b/>
          <w:bCs/>
          <w:sz w:val="28"/>
          <w:szCs w:val="28"/>
          <w:lang w:eastAsia="sk-SK"/>
        </w:rPr>
        <w:t xml:space="preserve">Okrem: </w:t>
      </w:r>
    </w:p>
    <w:p>
      <w:pPr>
        <w:pStyle w:val="ListParagraph"/>
        <w:numPr>
          <w:ilvl w:val="0"/>
          <w:numId w:val="9"/>
        </w:numPr>
        <w:spacing w:lineRule="auto" w:line="240" w:before="0" w:after="0"/>
        <w:ind w:hanging="357" w:left="357"/>
        <w:contextualSpacing/>
        <w:jc w:val="both"/>
        <w:rPr>
          <w:rFonts w:eastAsia="Times New Roman"/>
          <w:bCs/>
          <w:sz w:val="28"/>
          <w:szCs w:val="28"/>
          <w:lang w:eastAsia="sk-SK"/>
        </w:rPr>
      </w:pPr>
      <w:r>
        <w:rPr>
          <w:rFonts w:eastAsia="Times New Roman"/>
          <w:bCs/>
          <w:sz w:val="28"/>
          <w:szCs w:val="28"/>
          <w:lang w:eastAsia="sk-SK"/>
        </w:rPr>
        <w:t>Informácie o záväzkoch, a to o</w:t>
      </w:r>
    </w:p>
    <w:p>
      <w:pPr>
        <w:pStyle w:val="Normal"/>
        <w:numPr>
          <w:ilvl w:val="0"/>
          <w:numId w:val="11"/>
        </w:numPr>
        <w:spacing w:lineRule="auto" w:line="240" w:before="0" w:after="0"/>
        <w:jc w:val="both"/>
        <w:rPr>
          <w:rFonts w:eastAsia="Times New Roman"/>
          <w:bCs/>
          <w:color w:val="000000"/>
          <w:sz w:val="28"/>
          <w:szCs w:val="28"/>
          <w:lang w:eastAsia="sk-SK"/>
        </w:rPr>
      </w:pPr>
      <w:r>
        <w:rPr>
          <w:rFonts w:eastAsia="Times New Roman"/>
          <w:bCs/>
          <w:color w:val="000000"/>
          <w:sz w:val="28"/>
          <w:szCs w:val="28"/>
          <w:lang w:eastAsia="sk-SK"/>
        </w:rPr>
        <w:t>celkovej sume záväzkov so zostatkovou dobou splatnosti dlhšou ako päť rokov,</w:t>
      </w:r>
    </w:p>
    <w:p>
      <w:pPr>
        <w:pStyle w:val="Normal"/>
        <w:spacing w:lineRule="auto" w:line="240" w:before="0" w:after="0"/>
        <w:ind w:hanging="0" w:left="641"/>
        <w:jc w:val="both"/>
        <w:rPr>
          <w:rFonts w:eastAsia="Times New Roman"/>
          <w:b/>
          <w:bCs/>
          <w:color w:val="000000"/>
          <w:sz w:val="28"/>
          <w:szCs w:val="28"/>
          <w:lang w:eastAsia="sk-SK"/>
        </w:rPr>
      </w:pPr>
      <w:r>
        <w:rPr>
          <w:rFonts w:eastAsia="Times New Roman"/>
          <w:b/>
          <w:bCs/>
          <w:color w:val="000000"/>
          <w:sz w:val="28"/>
          <w:szCs w:val="28"/>
          <w:lang w:eastAsia="sk-SK"/>
        </w:rPr>
        <w:t>celková suma činí 0</w:t>
      </w:r>
    </w:p>
    <w:p>
      <w:pPr>
        <w:pStyle w:val="ListParagraph"/>
        <w:spacing w:lineRule="auto" w:line="240" w:before="0" w:after="0"/>
        <w:ind w:hanging="0" w:left="0"/>
        <w:contextualSpacing/>
        <w:rPr>
          <w:rFonts w:eastAsia="Times New Roman"/>
          <w:bCs/>
          <w:sz w:val="28"/>
          <w:szCs w:val="28"/>
          <w:lang w:eastAsia="sk-SK"/>
        </w:rPr>
      </w:pPr>
      <w:r>
        <w:rPr>
          <w:rFonts w:eastAsia="Times New Roman"/>
          <w:bCs/>
          <w:sz w:val="28"/>
          <w:szCs w:val="28"/>
          <w:lang w:eastAsia="sk-SK"/>
        </w:rPr>
        <w:t>______________________________________________________________________</w:t>
      </w:r>
    </w:p>
    <w:p>
      <w:pPr>
        <w:pStyle w:val="ListParagraph"/>
        <w:numPr>
          <w:ilvl w:val="0"/>
          <w:numId w:val="9"/>
        </w:numPr>
        <w:spacing w:lineRule="auto" w:line="240" w:before="0" w:after="0"/>
        <w:ind w:hanging="357" w:left="357"/>
        <w:contextualSpacing/>
        <w:jc w:val="both"/>
        <w:rPr>
          <w:rFonts w:eastAsia="Times New Roman"/>
          <w:bCs/>
          <w:sz w:val="28"/>
          <w:szCs w:val="28"/>
          <w:lang w:eastAsia="sk-SK"/>
        </w:rPr>
      </w:pPr>
      <w:r>
        <w:rPr>
          <w:rFonts w:eastAsia="Times New Roman"/>
          <w:bCs/>
          <w:sz w:val="28"/>
          <w:szCs w:val="28"/>
          <w:lang w:eastAsia="sk-SK"/>
        </w:rPr>
        <w:t xml:space="preserve">K dlhodobému nehmotnému majetku, ktorým je goodwill alebo záporný goodwill sa uvádza dôvod jeho vzniku, spôsob výpočtu a prehodnotenie opodstatnenosti jeho výšky a odpisu jeho hodnoty. </w:t>
      </w:r>
    </w:p>
    <w:p>
      <w:pPr>
        <w:pStyle w:val="ListParagraph"/>
        <w:spacing w:lineRule="auto" w:line="240" w:before="0" w:after="0"/>
        <w:ind w:hanging="0" w:left="357"/>
        <w:contextualSpacing/>
        <w:jc w:val="both"/>
        <w:rPr>
          <w:rFonts w:ascii="Times New Roman" w:hAnsi="Times New Roman" w:eastAsia="Times New Roman"/>
          <w:b/>
          <w:bCs/>
          <w:sz w:val="28"/>
          <w:szCs w:val="28"/>
          <w:lang w:eastAsia="sk-SK"/>
        </w:rPr>
      </w:pPr>
      <w:r>
        <w:rPr>
          <w:rFonts w:eastAsia="Times New Roman" w:ascii="Times New Roman" w:hAnsi="Times New Roman"/>
          <w:b/>
          <w:bCs/>
          <w:sz w:val="28"/>
          <w:szCs w:val="28"/>
          <w:lang w:eastAsia="sk-SK"/>
        </w:rPr>
        <w:t>Neaktuálne.</w:t>
      </w:r>
    </w:p>
    <w:p>
      <w:pPr>
        <w:pStyle w:val="Normal"/>
        <w:spacing w:lineRule="auto" w:line="240" w:before="0" w:after="0"/>
        <w:ind w:hanging="0" w:left="641"/>
        <w:jc w:val="both"/>
        <w:rPr>
          <w:rFonts w:eastAsia="Times New Roman"/>
          <w:bCs/>
          <w:color w:val="000000"/>
          <w:sz w:val="28"/>
          <w:szCs w:val="28"/>
          <w:lang w:eastAsia="sk-SK"/>
        </w:rPr>
      </w:pPr>
      <w:r>
        <w:rPr>
          <w:rFonts w:eastAsia="Times New Roman"/>
          <w:bCs/>
          <w:color w:val="000000"/>
          <w:sz w:val="28"/>
          <w:szCs w:val="28"/>
          <w:lang w:eastAsia="sk-SK"/>
        </w:rPr>
      </w:r>
    </w:p>
    <w:p>
      <w:pPr>
        <w:pStyle w:val="ListParagraph"/>
        <w:numPr>
          <w:ilvl w:val="0"/>
          <w:numId w:val="9"/>
        </w:numPr>
        <w:spacing w:lineRule="auto" w:line="240" w:before="0" w:after="0"/>
        <w:ind w:hanging="357" w:left="357"/>
        <w:contextualSpacing/>
        <w:jc w:val="both"/>
        <w:rPr>
          <w:rFonts w:eastAsia="Times New Roman"/>
          <w:bCs/>
          <w:sz w:val="28"/>
          <w:szCs w:val="28"/>
          <w:lang w:eastAsia="sk-SK"/>
        </w:rPr>
      </w:pPr>
      <w:r>
        <w:rPr>
          <w:rFonts w:eastAsia="Times New Roman"/>
          <w:bCs/>
          <w:sz w:val="28"/>
          <w:szCs w:val="28"/>
          <w:lang w:eastAsia="sk-SK"/>
        </w:rPr>
        <w:t>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t>
      </w:r>
    </w:p>
    <w:p>
      <w:pPr>
        <w:pStyle w:val="ListParagraph"/>
        <w:spacing w:lineRule="auto" w:line="240" w:before="0" w:after="0"/>
        <w:ind w:hanging="0" w:left="357"/>
        <w:contextualSpacing/>
        <w:jc w:val="both"/>
        <w:rPr>
          <w:rFonts w:ascii="Times New Roman" w:hAnsi="Times New Roman" w:eastAsia="Times New Roman"/>
          <w:b/>
          <w:bCs/>
          <w:sz w:val="28"/>
          <w:szCs w:val="28"/>
          <w:lang w:eastAsia="sk-SK"/>
        </w:rPr>
      </w:pPr>
      <w:r>
        <w:rPr>
          <w:rFonts w:eastAsia="Times New Roman" w:ascii="Times New Roman" w:hAnsi="Times New Roman"/>
          <w:b/>
          <w:bCs/>
          <w:sz w:val="28"/>
          <w:szCs w:val="28"/>
          <w:lang w:eastAsia="sk-SK"/>
        </w:rPr>
        <w:t>Neaktuálne.</w:t>
      </w:r>
    </w:p>
    <w:p>
      <w:pPr>
        <w:pStyle w:val="ListParagraph"/>
        <w:spacing w:lineRule="auto" w:line="240" w:before="0" w:after="0"/>
        <w:ind w:hanging="0" w:left="357"/>
        <w:contextualSpacing/>
        <w:jc w:val="both"/>
        <w:rPr>
          <w:rFonts w:eastAsia="Times New Roman"/>
          <w:bCs/>
          <w:sz w:val="28"/>
          <w:szCs w:val="28"/>
          <w:lang w:eastAsia="sk-SK"/>
        </w:rPr>
      </w:pPr>
      <w:r>
        <w:rPr>
          <w:rFonts w:eastAsia="Times New Roman"/>
          <w:bCs/>
          <w:sz w:val="28"/>
          <w:szCs w:val="28"/>
          <w:lang w:eastAsia="sk-SK"/>
        </w:rPr>
      </w:r>
    </w:p>
    <w:p>
      <w:pPr>
        <w:pStyle w:val="ListParagraph"/>
        <w:numPr>
          <w:ilvl w:val="0"/>
          <w:numId w:val="9"/>
        </w:numPr>
        <w:spacing w:lineRule="auto" w:line="240" w:before="0" w:after="0"/>
        <w:ind w:hanging="357" w:left="357"/>
        <w:contextualSpacing/>
        <w:jc w:val="both"/>
        <w:rPr>
          <w:rFonts w:eastAsia="Times New Roman"/>
          <w:bCs/>
          <w:sz w:val="28"/>
          <w:szCs w:val="28"/>
          <w:lang w:eastAsia="sk-SK"/>
        </w:rPr>
      </w:pPr>
      <w:r>
        <w:rPr>
          <w:rFonts w:eastAsia="Times New Roman"/>
          <w:bCs/>
          <w:sz w:val="28"/>
          <w:szCs w:val="28"/>
          <w:lang w:eastAsia="sk-SK"/>
        </w:rPr>
        <w:t>Informácie o záväzkoch, a to o</w:t>
      </w:r>
    </w:p>
    <w:p>
      <w:pPr>
        <w:pStyle w:val="Normal"/>
        <w:numPr>
          <w:ilvl w:val="0"/>
          <w:numId w:val="11"/>
        </w:numPr>
        <w:spacing w:lineRule="auto" w:line="240" w:before="0" w:after="0"/>
        <w:jc w:val="both"/>
        <w:rPr>
          <w:rFonts w:eastAsia="Times New Roman"/>
          <w:bCs/>
          <w:color w:val="000000"/>
          <w:sz w:val="28"/>
          <w:szCs w:val="28"/>
          <w:lang w:eastAsia="sk-SK"/>
        </w:rPr>
      </w:pPr>
      <w:r>
        <w:rPr>
          <w:rFonts w:eastAsia="Times New Roman"/>
          <w:bCs/>
          <w:color w:val="000000"/>
          <w:sz w:val="28"/>
          <w:szCs w:val="28"/>
          <w:lang w:eastAsia="sk-SK"/>
        </w:rPr>
        <w:t>celkovej sume záväzkov so zostatkovou dobou splatnosti dlhšou ako päť rokov,</w:t>
      </w:r>
    </w:p>
    <w:p>
      <w:pPr>
        <w:pStyle w:val="Normal"/>
        <w:spacing w:lineRule="auto" w:line="240" w:before="0" w:after="0"/>
        <w:ind w:hanging="0" w:left="641"/>
        <w:jc w:val="both"/>
        <w:rPr>
          <w:rFonts w:eastAsia="Times New Roman"/>
          <w:b/>
          <w:bCs/>
          <w:color w:val="000000"/>
          <w:sz w:val="28"/>
          <w:szCs w:val="28"/>
          <w:lang w:eastAsia="sk-SK"/>
        </w:rPr>
      </w:pPr>
      <w:r>
        <w:rPr>
          <w:rFonts w:eastAsia="Times New Roman"/>
          <w:b/>
          <w:bCs/>
          <w:color w:val="000000"/>
          <w:sz w:val="28"/>
          <w:szCs w:val="28"/>
          <w:lang w:eastAsia="sk-SK"/>
        </w:rPr>
        <w:t>celková suma činí 0</w:t>
      </w:r>
    </w:p>
    <w:p>
      <w:pPr>
        <w:pStyle w:val="Normal"/>
        <w:numPr>
          <w:ilvl w:val="0"/>
          <w:numId w:val="11"/>
        </w:numPr>
        <w:spacing w:lineRule="auto" w:line="240" w:before="0" w:after="0"/>
        <w:jc w:val="both"/>
        <w:rPr>
          <w:rFonts w:eastAsia="Times New Roman"/>
          <w:bCs/>
          <w:color w:val="000000"/>
          <w:sz w:val="28"/>
          <w:szCs w:val="28"/>
          <w:lang w:eastAsia="sk-SK"/>
        </w:rPr>
      </w:pPr>
      <w:r>
        <w:rPr>
          <w:rFonts w:eastAsia="Times New Roman"/>
          <w:bCs/>
          <w:sz w:val="28"/>
          <w:szCs w:val="28"/>
          <w:lang w:eastAsia="sk-SK"/>
        </w:rPr>
        <w:t>celkovej sume zabezpečených záväzkov, opise a spôsoboch zabezpečenia záväzkov.</w:t>
      </w:r>
    </w:p>
    <w:p>
      <w:pPr>
        <w:pStyle w:val="ListParagraph"/>
        <w:spacing w:lineRule="auto" w:line="240" w:before="0" w:after="0"/>
        <w:ind w:hanging="0" w:left="641"/>
        <w:contextualSpacing/>
        <w:jc w:val="both"/>
        <w:rPr>
          <w:rFonts w:eastAsia="Times New Roman"/>
          <w:b/>
          <w:bCs/>
          <w:sz w:val="28"/>
          <w:szCs w:val="28"/>
          <w:lang w:eastAsia="sk-SK"/>
        </w:rPr>
      </w:pPr>
      <w:r>
        <w:rPr>
          <w:rFonts w:eastAsia="Times New Roman"/>
          <w:b/>
          <w:bCs/>
          <w:sz w:val="28"/>
          <w:szCs w:val="28"/>
          <w:lang w:eastAsia="sk-SK"/>
        </w:rPr>
        <w:t>Neaktuálne.</w:t>
      </w:r>
    </w:p>
    <w:p>
      <w:pPr>
        <w:pStyle w:val="ListParagraph"/>
        <w:numPr>
          <w:ilvl w:val="0"/>
          <w:numId w:val="9"/>
        </w:numPr>
        <w:spacing w:lineRule="auto" w:line="240" w:before="0" w:after="0"/>
        <w:ind w:hanging="357" w:left="357"/>
        <w:contextualSpacing/>
        <w:jc w:val="both"/>
        <w:rPr>
          <w:rFonts w:eastAsia="Times New Roman"/>
          <w:bCs/>
          <w:sz w:val="28"/>
          <w:szCs w:val="28"/>
          <w:lang w:eastAsia="sk-SK"/>
        </w:rPr>
      </w:pPr>
      <w:r>
        <w:rPr>
          <w:rFonts w:eastAsia="Times New Roman"/>
          <w:bCs/>
          <w:sz w:val="28"/>
          <w:szCs w:val="28"/>
          <w:lang w:eastAsia="sk-SK"/>
        </w:rPr>
        <w:t>Informácie o vlastných akciách, a to o</w:t>
      </w:r>
    </w:p>
    <w:p>
      <w:pPr>
        <w:pStyle w:val="ListParagraph"/>
        <w:numPr>
          <w:ilvl w:val="0"/>
          <w:numId w:val="12"/>
        </w:numPr>
        <w:spacing w:lineRule="auto" w:line="240" w:before="0" w:after="0"/>
        <w:ind w:hanging="284" w:left="641"/>
        <w:contextualSpacing/>
        <w:jc w:val="both"/>
        <w:rPr>
          <w:rFonts w:eastAsia="Times New Roman"/>
          <w:bCs/>
          <w:sz w:val="28"/>
          <w:szCs w:val="28"/>
          <w:lang w:eastAsia="sk-SK"/>
        </w:rPr>
      </w:pPr>
      <w:r>
        <w:rPr>
          <w:rFonts w:eastAsia="Times New Roman"/>
          <w:bCs/>
          <w:sz w:val="28"/>
          <w:szCs w:val="28"/>
          <w:lang w:eastAsia="sk-SK"/>
        </w:rPr>
        <w:t>dôvode nadobudnutia vlastných akcií počas účtovného obdobia,</w:t>
      </w:r>
    </w:p>
    <w:p>
      <w:pPr>
        <w:pStyle w:val="ListParagraph"/>
        <w:numPr>
          <w:ilvl w:val="0"/>
          <w:numId w:val="12"/>
        </w:numPr>
        <w:spacing w:lineRule="auto" w:line="240" w:before="0" w:after="0"/>
        <w:ind w:hanging="284" w:left="641"/>
        <w:contextualSpacing/>
        <w:jc w:val="both"/>
        <w:rPr>
          <w:rFonts w:eastAsia="Times New Roman"/>
          <w:bCs/>
          <w:sz w:val="28"/>
          <w:szCs w:val="28"/>
          <w:lang w:eastAsia="sk-SK"/>
        </w:rPr>
      </w:pPr>
      <w:r>
        <w:rPr>
          <w:rFonts w:eastAsia="Times New Roman"/>
          <w:bCs/>
          <w:sz w:val="28"/>
          <w:szCs w:val="28"/>
          <w:lang w:eastAsia="sk-SK"/>
        </w:rPr>
        <w:t>informáciách, ktorými sú</w:t>
      </w:r>
    </w:p>
    <w:p>
      <w:pPr>
        <w:pStyle w:val="ListParagraph"/>
        <w:numPr>
          <w:ilvl w:val="0"/>
          <w:numId w:val="10"/>
        </w:numPr>
        <w:spacing w:lineRule="auto" w:line="240" w:before="0" w:after="0"/>
        <w:ind w:hanging="357" w:left="1077"/>
        <w:contextualSpacing/>
        <w:jc w:val="both"/>
        <w:rPr>
          <w:rFonts w:eastAsia="Times New Roman"/>
          <w:bCs/>
          <w:sz w:val="28"/>
          <w:szCs w:val="28"/>
          <w:lang w:eastAsia="sk-SK"/>
        </w:rPr>
      </w:pPr>
      <w:r>
        <w:rPr>
          <w:rFonts w:eastAsia="Times New Roman"/>
          <w:bCs/>
          <w:sz w:val="28"/>
          <w:szCs w:val="28"/>
          <w:lang w:eastAsia="sk-SK"/>
        </w:rPr>
        <w:t>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pPr>
        <w:pStyle w:val="ListParagraph"/>
        <w:numPr>
          <w:ilvl w:val="0"/>
          <w:numId w:val="10"/>
        </w:numPr>
        <w:spacing w:lineRule="auto" w:line="240" w:before="0" w:after="0"/>
        <w:ind w:hanging="357" w:left="1077"/>
        <w:contextualSpacing/>
        <w:jc w:val="both"/>
        <w:rPr>
          <w:rFonts w:eastAsia="Times New Roman"/>
          <w:bCs/>
          <w:sz w:val="28"/>
          <w:szCs w:val="28"/>
          <w:lang w:eastAsia="sk-SK"/>
        </w:rPr>
      </w:pPr>
      <w:r>
        <w:rPr>
          <w:rFonts w:eastAsia="Times New Roman"/>
          <w:bCs/>
          <w:sz w:val="28"/>
          <w:szCs w:val="28"/>
          <w:lang w:eastAsia="sk-SK"/>
        </w:rPr>
        <w:t>počet a protihodnota, za ktorú sa vlastné akcie počas účtovného obdobia nadobudli a počet a hodnota, za ktorú sa vlastné akcie počas účtovného obdobia previedli na inú osobu,</w:t>
      </w:r>
    </w:p>
    <w:p>
      <w:pPr>
        <w:pStyle w:val="ListParagraph"/>
        <w:numPr>
          <w:ilvl w:val="0"/>
          <w:numId w:val="12"/>
        </w:numPr>
        <w:spacing w:lineRule="auto" w:line="240" w:before="0" w:after="0"/>
        <w:ind w:hanging="284" w:left="641"/>
        <w:contextualSpacing/>
        <w:jc w:val="both"/>
        <w:rPr>
          <w:rFonts w:eastAsia="Times New Roman"/>
          <w:bCs/>
          <w:sz w:val="28"/>
          <w:szCs w:val="28"/>
          <w:lang w:eastAsia="sk-SK"/>
        </w:rPr>
      </w:pPr>
      <w:r>
        <w:rPr>
          <w:rFonts w:eastAsia="Times New Roman"/>
          <w:bCs/>
          <w:sz w:val="28"/>
          <w:szCs w:val="28"/>
          <w:lang w:eastAsia="sk-SK"/>
        </w:rPr>
        <w:t>počte, menovitej hodnote a protihodnote, za ktorú sa vlastné akcie nadobudli a ktoré účtovná jednotka má v držbe k poslednému dňu účtovného obdobia; uvádza sa aj ich percentuálny podiel na upísanom základnom imaní.</w:t>
      </w:r>
    </w:p>
    <w:p>
      <w:pPr>
        <w:pStyle w:val="ListParagraph"/>
        <w:spacing w:lineRule="auto" w:line="240" w:before="0" w:after="0"/>
        <w:ind w:hanging="0" w:left="641"/>
        <w:contextualSpacing/>
        <w:jc w:val="both"/>
        <w:rPr>
          <w:rFonts w:ascii="Times New Roman" w:hAnsi="Times New Roman" w:eastAsia="Times New Roman"/>
          <w:b/>
          <w:bCs/>
          <w:sz w:val="28"/>
          <w:szCs w:val="28"/>
          <w:lang w:eastAsia="sk-SK"/>
        </w:rPr>
      </w:pPr>
      <w:r>
        <w:rPr>
          <w:rFonts w:eastAsia="Times New Roman" w:ascii="Times New Roman" w:hAnsi="Times New Roman"/>
          <w:b/>
          <w:bCs/>
          <w:sz w:val="28"/>
          <w:szCs w:val="28"/>
          <w:lang w:eastAsia="sk-SK"/>
        </w:rPr>
        <w:t>Neaktuálne.</w:t>
      </w:r>
    </w:p>
    <w:p>
      <w:pPr>
        <w:pStyle w:val="ListParagraph"/>
        <w:numPr>
          <w:ilvl w:val="0"/>
          <w:numId w:val="9"/>
        </w:numPr>
        <w:spacing w:lineRule="auto" w:line="240" w:before="0" w:after="0"/>
        <w:ind w:hanging="357" w:left="357"/>
        <w:contextualSpacing/>
        <w:jc w:val="both"/>
        <w:rPr>
          <w:rFonts w:eastAsia="Times New Roman"/>
          <w:bCs/>
          <w:sz w:val="28"/>
          <w:szCs w:val="28"/>
          <w:lang w:eastAsia="sk-SK"/>
        </w:rPr>
      </w:pPr>
      <w:r>
        <w:rPr>
          <w:rFonts w:eastAsia="Times New Roman"/>
          <w:bCs/>
          <w:sz w:val="28"/>
          <w:szCs w:val="28"/>
          <w:lang w:eastAsia="sk-SK"/>
        </w:rPr>
        <w:t>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pPr>
        <w:pStyle w:val="ListParagraph"/>
        <w:spacing w:lineRule="auto" w:line="240" w:before="0" w:after="0"/>
        <w:ind w:hanging="0" w:left="357"/>
        <w:contextualSpacing/>
        <w:jc w:val="both"/>
        <w:rPr>
          <w:rFonts w:ascii="Times New Roman" w:hAnsi="Times New Roman" w:eastAsia="Times New Roman"/>
          <w:b/>
          <w:bCs/>
          <w:sz w:val="28"/>
          <w:szCs w:val="28"/>
          <w:lang w:eastAsia="sk-SK"/>
        </w:rPr>
      </w:pPr>
      <w:r>
        <w:rPr>
          <w:rFonts w:eastAsia="Times New Roman" w:ascii="Times New Roman" w:hAnsi="Times New Roman"/>
          <w:b/>
          <w:bCs/>
          <w:sz w:val="28"/>
          <w:szCs w:val="28"/>
          <w:lang w:eastAsia="sk-SK"/>
        </w:rPr>
        <w:t>Neaktuálne.</w:t>
      </w:r>
    </w:p>
    <w:p>
      <w:pPr>
        <w:pStyle w:val="ListParagraph"/>
        <w:spacing w:lineRule="auto" w:line="240" w:before="0" w:after="0"/>
        <w:ind w:hanging="0" w:left="502"/>
        <w:contextualSpacing/>
        <w:jc w:val="center"/>
        <w:rPr>
          <w:rFonts w:eastAsia="Times New Roman"/>
          <w:bCs/>
          <w:sz w:val="28"/>
          <w:szCs w:val="28"/>
          <w:lang w:eastAsia="sk-SK"/>
        </w:rPr>
      </w:pPr>
      <w:r>
        <w:rPr>
          <w:rFonts w:eastAsia="Times New Roman"/>
          <w:bCs/>
          <w:sz w:val="28"/>
          <w:szCs w:val="28"/>
          <w:lang w:eastAsia="sk-SK"/>
        </w:rPr>
      </w:r>
    </w:p>
    <w:p>
      <w:pPr>
        <w:pStyle w:val="ListParagraph"/>
        <w:spacing w:lineRule="auto" w:line="240" w:before="0" w:after="0"/>
        <w:ind w:hanging="0" w:left="0"/>
        <w:contextualSpacing/>
        <w:jc w:val="center"/>
        <w:rPr>
          <w:rFonts w:eastAsia="Times New Roman"/>
          <w:b/>
          <w:bCs/>
          <w:sz w:val="28"/>
          <w:szCs w:val="28"/>
          <w:lang w:eastAsia="sk-SK"/>
        </w:rPr>
      </w:pPr>
      <w:r>
        <w:rPr>
          <w:rFonts w:eastAsia="Times New Roman"/>
          <w:b/>
          <w:bCs/>
          <w:sz w:val="28"/>
          <w:szCs w:val="28"/>
          <w:lang w:eastAsia="sk-SK"/>
        </w:rPr>
        <w:t>Čl. V</w:t>
      </w:r>
    </w:p>
    <w:p>
      <w:pPr>
        <w:pStyle w:val="ListParagraph"/>
        <w:spacing w:lineRule="auto" w:line="240" w:before="0" w:after="0"/>
        <w:ind w:hanging="0" w:left="0"/>
        <w:contextualSpacing/>
        <w:jc w:val="center"/>
        <w:rPr>
          <w:rFonts w:eastAsia="Times New Roman"/>
          <w:b/>
          <w:bCs/>
          <w:sz w:val="28"/>
          <w:szCs w:val="28"/>
          <w:lang w:eastAsia="sk-SK"/>
        </w:rPr>
      </w:pPr>
      <w:r>
        <w:rPr>
          <w:rFonts w:eastAsia="Times New Roman"/>
          <w:b/>
          <w:bCs/>
          <w:sz w:val="28"/>
          <w:szCs w:val="28"/>
          <w:lang w:eastAsia="sk-SK"/>
        </w:rPr>
        <w:t>Informácie o iných aktívach a iných pasívach</w:t>
      </w:r>
    </w:p>
    <w:p>
      <w:pPr>
        <w:pStyle w:val="Normal"/>
        <w:spacing w:lineRule="auto" w:line="240" w:before="0" w:after="0"/>
        <w:ind w:hanging="0" w:right="-468"/>
        <w:jc w:val="center"/>
        <w:rPr>
          <w:rFonts w:eastAsia="Times New Roman"/>
          <w:bCs/>
          <w:sz w:val="28"/>
          <w:szCs w:val="28"/>
          <w:lang w:eastAsia="sk-SK"/>
        </w:rPr>
      </w:pPr>
      <w:r>
        <w:rPr>
          <w:rFonts w:eastAsia="Times New Roman"/>
          <w:bCs/>
          <w:sz w:val="28"/>
          <w:szCs w:val="28"/>
          <w:lang w:eastAsia="sk-SK"/>
        </w:rPr>
      </w:r>
    </w:p>
    <w:p>
      <w:pPr>
        <w:pStyle w:val="Normal"/>
        <w:numPr>
          <w:ilvl w:val="0"/>
          <w:numId w:val="21"/>
        </w:numPr>
        <w:spacing w:lineRule="auto" w:line="240" w:before="0" w:after="0"/>
        <w:ind w:hanging="360" w:left="717" w:right="-468"/>
        <w:jc w:val="both"/>
        <w:rPr>
          <w:rFonts w:eastAsia="Times New Roman"/>
          <w:b/>
          <w:bCs/>
          <w:sz w:val="28"/>
          <w:szCs w:val="28"/>
          <w:lang w:eastAsia="sk-SK"/>
        </w:rPr>
      </w:pPr>
      <w:r>
        <w:rPr>
          <w:rFonts w:eastAsia="Times New Roman"/>
          <w:b/>
          <w:bCs/>
          <w:sz w:val="28"/>
          <w:szCs w:val="28"/>
          <w:lang w:eastAsia="sk-SK"/>
        </w:rPr>
        <w:t>Účtovná jednotka neeviduje žiadne iné aktíva a pasíva okrem tých, ktoré sú uvedené v Súvahe,</w:t>
      </w:r>
    </w:p>
    <w:p>
      <w:pPr>
        <w:pStyle w:val="Normal"/>
        <w:numPr>
          <w:ilvl w:val="0"/>
          <w:numId w:val="21"/>
        </w:numPr>
        <w:spacing w:lineRule="auto" w:line="240" w:before="0" w:after="0"/>
        <w:ind w:hanging="360" w:left="717" w:right="-468"/>
        <w:jc w:val="both"/>
        <w:rPr>
          <w:rFonts w:eastAsia="Times New Roman"/>
          <w:b/>
          <w:bCs/>
          <w:sz w:val="28"/>
          <w:szCs w:val="28"/>
          <w:lang w:eastAsia="sk-SK"/>
        </w:rPr>
      </w:pPr>
      <w:r>
        <w:rPr>
          <w:rFonts w:eastAsia="Times New Roman"/>
          <w:b/>
          <w:bCs/>
          <w:sz w:val="28"/>
          <w:szCs w:val="28"/>
          <w:lang w:eastAsia="sk-SK"/>
        </w:rPr>
        <w:t xml:space="preserve">Účtovná jednotka nevykazuje žiadne iné finančné povinnosti okrem tých, ktoré sú vykázané v Súvahe. </w:t>
      </w:r>
    </w:p>
    <w:p>
      <w:pPr>
        <w:pStyle w:val="Normal"/>
        <w:spacing w:lineRule="auto" w:line="240" w:before="0" w:after="0"/>
        <w:ind w:hanging="0" w:right="-468"/>
        <w:jc w:val="both"/>
        <w:rPr>
          <w:rFonts w:eastAsia="Times New Roman"/>
          <w:b/>
          <w:bCs/>
          <w:sz w:val="28"/>
          <w:szCs w:val="28"/>
          <w:lang w:eastAsia="sk-SK"/>
        </w:rPr>
      </w:pPr>
      <w:r>
        <w:rPr>
          <w:rFonts w:eastAsia="Times New Roman"/>
          <w:b/>
          <w:bCs/>
          <w:sz w:val="28"/>
          <w:szCs w:val="28"/>
          <w:lang w:eastAsia="sk-SK"/>
        </w:rPr>
      </w:r>
    </w:p>
    <w:p>
      <w:pPr>
        <w:pStyle w:val="ListParagraph"/>
        <w:numPr>
          <w:ilvl w:val="0"/>
          <w:numId w:val="16"/>
        </w:numPr>
        <w:spacing w:lineRule="auto" w:line="240" w:before="0" w:after="0"/>
        <w:ind w:hanging="357" w:left="357"/>
        <w:contextualSpacing/>
        <w:jc w:val="both"/>
        <w:rPr>
          <w:rFonts w:eastAsia="Times New Roman"/>
          <w:bCs/>
          <w:sz w:val="28"/>
          <w:szCs w:val="28"/>
          <w:lang w:eastAsia="sk-SK"/>
        </w:rPr>
      </w:pPr>
      <w:r>
        <w:rPr>
          <w:rFonts w:eastAsia="Times New Roman"/>
          <w:bCs/>
          <w:sz w:val="28"/>
          <w:szCs w:val="28"/>
          <w:lang w:eastAsia="sk-SK"/>
        </w:rPr>
        <w:t>K iným aktívam a iným pasívam sa uvádzajú tieto informácie:</w:t>
      </w:r>
    </w:p>
    <w:p>
      <w:pPr>
        <w:pStyle w:val="ListParagraph"/>
        <w:numPr>
          <w:ilvl w:val="0"/>
          <w:numId w:val="17"/>
        </w:numPr>
        <w:spacing w:lineRule="auto" w:line="240" w:before="0" w:after="0"/>
        <w:ind w:hanging="284" w:left="641"/>
        <w:contextualSpacing/>
        <w:jc w:val="both"/>
        <w:rPr>
          <w:rFonts w:eastAsia="Times New Roman"/>
          <w:bCs/>
          <w:sz w:val="28"/>
          <w:szCs w:val="28"/>
          <w:lang w:eastAsia="sk-SK"/>
        </w:rPr>
      </w:pPr>
      <w:r>
        <w:rPr>
          <w:rFonts w:eastAsia="Times New Roman"/>
          <w:bCs/>
          <w:sz w:val="28"/>
          <w:szCs w:val="28"/>
          <w:lang w:eastAsia="sk-SK"/>
        </w:rPr>
        <w:t>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účtovnej jednotky; takýmto majetkom sú napríklad práva zo servisných zmlúv, poistných zmlúv, koncesionárskych zmlúv, licenčných zmlúv,</w:t>
      </w:r>
    </w:p>
    <w:p>
      <w:pPr>
        <w:pStyle w:val="ListParagraph"/>
        <w:spacing w:lineRule="auto" w:line="240" w:before="0" w:after="0"/>
        <w:ind w:hanging="0" w:left="641"/>
        <w:contextualSpacing/>
        <w:jc w:val="both"/>
        <w:rPr>
          <w:rFonts w:ascii="Times New Roman" w:hAnsi="Times New Roman" w:eastAsia="Times New Roman"/>
          <w:b/>
          <w:bCs/>
          <w:sz w:val="28"/>
          <w:szCs w:val="28"/>
          <w:lang w:eastAsia="sk-SK"/>
        </w:rPr>
      </w:pPr>
      <w:r>
        <w:rPr>
          <w:rFonts w:eastAsia="Times New Roman" w:ascii="Times New Roman" w:hAnsi="Times New Roman"/>
          <w:b/>
          <w:bCs/>
          <w:sz w:val="28"/>
          <w:szCs w:val="28"/>
          <w:lang w:eastAsia="sk-SK"/>
        </w:rPr>
        <w:t xml:space="preserve">neaktuálne. </w:t>
      </w:r>
    </w:p>
    <w:p>
      <w:pPr>
        <w:pStyle w:val="ListParagraph"/>
        <w:numPr>
          <w:ilvl w:val="0"/>
          <w:numId w:val="17"/>
        </w:numPr>
        <w:spacing w:lineRule="auto" w:line="240" w:before="0" w:after="0"/>
        <w:ind w:hanging="284" w:left="641"/>
        <w:contextualSpacing/>
        <w:jc w:val="both"/>
        <w:rPr>
          <w:rFonts w:eastAsia="Times New Roman"/>
          <w:bCs/>
          <w:sz w:val="28"/>
          <w:szCs w:val="28"/>
          <w:lang w:eastAsia="sk-SK"/>
        </w:rPr>
      </w:pPr>
      <w:r>
        <w:rPr>
          <w:rFonts w:eastAsia="Times New Roman"/>
          <w:bCs/>
          <w:sz w:val="28"/>
          <w:szCs w:val="28"/>
          <w:lang w:eastAsia="sk-SK"/>
        </w:rPr>
        <w:t>opis a hodnota podmienených záväzkov vyplývajúcich napríklad zo súdnych rozhodnutí, z poskytnutých záruk, zo všeobecne záväzných právnych predpisov, z ručenia podľa jednotlivých druhov ručenia; takýmito podmienenými záväzkami sú</w:t>
      </w:r>
    </w:p>
    <w:p>
      <w:pPr>
        <w:pStyle w:val="ListParagraph"/>
        <w:numPr>
          <w:ilvl w:val="0"/>
          <w:numId w:val="18"/>
        </w:numPr>
        <w:spacing w:lineRule="auto" w:line="240" w:before="0" w:after="0"/>
        <w:ind w:hanging="357" w:left="1077"/>
        <w:contextualSpacing/>
        <w:jc w:val="both"/>
        <w:rPr>
          <w:rFonts w:eastAsia="Times New Roman"/>
          <w:bCs/>
          <w:sz w:val="28"/>
          <w:szCs w:val="28"/>
          <w:lang w:eastAsia="sk-SK"/>
        </w:rPr>
      </w:pPr>
      <w:r>
        <w:rPr>
          <w:rFonts w:eastAsia="Times New Roman"/>
          <w:bCs/>
          <w:sz w:val="28"/>
          <w:szCs w:val="28"/>
          <w:lang w:eastAsia="sk-SK"/>
        </w:rPr>
        <w:t>možná povinnosť, ktorá vznikla ako dôsledok minulej udalosti a ktorej existencia závisí od toho, či nastane alebo nenastane jedna alebo viac neistých udalostí v budúcnosti, ktorých vznik nezávisí od účtovnej jednotky, alebo</w:t>
      </w:r>
    </w:p>
    <w:p>
      <w:pPr>
        <w:pStyle w:val="ListParagraph"/>
        <w:numPr>
          <w:ilvl w:val="0"/>
          <w:numId w:val="18"/>
        </w:numPr>
        <w:spacing w:lineRule="auto" w:line="240" w:before="0" w:after="0"/>
        <w:ind w:hanging="357" w:left="1077"/>
        <w:contextualSpacing/>
        <w:jc w:val="both"/>
        <w:rPr>
          <w:rFonts w:eastAsia="Times New Roman"/>
          <w:bCs/>
          <w:sz w:val="28"/>
          <w:szCs w:val="28"/>
          <w:lang w:eastAsia="sk-SK"/>
        </w:rPr>
      </w:pPr>
      <w:r>
        <w:rPr>
          <w:rFonts w:eastAsia="Times New Roman"/>
          <w:bCs/>
          <w:sz w:val="28"/>
          <w:szCs w:val="28"/>
          <w:lang w:eastAsia="sk-SK"/>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pPr>
        <w:pStyle w:val="ListParagraph"/>
        <w:spacing w:lineRule="auto" w:line="240" w:before="0" w:after="0"/>
        <w:ind w:hanging="0" w:left="1077"/>
        <w:contextualSpacing/>
        <w:jc w:val="both"/>
        <w:rPr>
          <w:rFonts w:ascii="Times New Roman" w:hAnsi="Times New Roman" w:eastAsia="Times New Roman"/>
          <w:b/>
          <w:bCs/>
          <w:sz w:val="28"/>
          <w:szCs w:val="28"/>
          <w:lang w:eastAsia="sk-SK"/>
        </w:rPr>
      </w:pPr>
      <w:r>
        <w:rPr>
          <w:rFonts w:eastAsia="Times New Roman" w:ascii="Times New Roman" w:hAnsi="Times New Roman"/>
          <w:b/>
          <w:bCs/>
          <w:sz w:val="28"/>
          <w:szCs w:val="28"/>
          <w:lang w:eastAsia="sk-SK"/>
        </w:rPr>
        <w:t>Neaktuálne.</w:t>
      </w:r>
    </w:p>
    <w:p>
      <w:pPr>
        <w:pStyle w:val="ListParagraph"/>
        <w:numPr>
          <w:ilvl w:val="0"/>
          <w:numId w:val="16"/>
        </w:numPr>
        <w:spacing w:lineRule="auto" w:line="240" w:before="0" w:after="0"/>
        <w:ind w:hanging="357" w:left="357"/>
        <w:contextualSpacing/>
        <w:jc w:val="both"/>
        <w:rPr>
          <w:rFonts w:eastAsia="Times New Roman"/>
          <w:bCs/>
          <w:sz w:val="28"/>
          <w:szCs w:val="28"/>
          <w:lang w:eastAsia="sk-SK"/>
        </w:rPr>
      </w:pPr>
      <w:r>
        <w:rPr>
          <w:rFonts w:eastAsia="Times New Roman"/>
          <w:bCs/>
          <w:sz w:val="28"/>
          <w:szCs w:val="28"/>
          <w:lang w:eastAsia="sk-SK"/>
        </w:rPr>
        <w:t>V poznámkach sa uvádzajú významné položky ostatných finančných povinností, ktoré sa nevykazujú v účtovných výkazoch, napríklad zákonná povinnosť alebo zmluvná povinnosť odobrať určité množstvo produktu, uskutočniť investície a  veľké opravy.</w:t>
      </w:r>
    </w:p>
    <w:p>
      <w:pPr>
        <w:pStyle w:val="ListParagraph"/>
        <w:spacing w:lineRule="auto" w:line="240" w:before="0" w:after="0"/>
        <w:ind w:hanging="0" w:left="357"/>
        <w:contextualSpacing/>
        <w:jc w:val="both"/>
        <w:rPr>
          <w:rFonts w:ascii="Times New Roman" w:hAnsi="Times New Roman" w:eastAsia="Times New Roman"/>
          <w:b/>
          <w:bCs/>
          <w:sz w:val="28"/>
          <w:szCs w:val="28"/>
          <w:lang w:eastAsia="sk-SK"/>
        </w:rPr>
      </w:pPr>
      <w:r>
        <w:rPr>
          <w:rFonts w:eastAsia="Times New Roman" w:ascii="Times New Roman" w:hAnsi="Times New Roman"/>
          <w:b/>
          <w:bCs/>
          <w:sz w:val="28"/>
          <w:szCs w:val="28"/>
          <w:lang w:eastAsia="sk-SK"/>
        </w:rPr>
        <w:t xml:space="preserve">Neaktuálne. </w:t>
      </w:r>
    </w:p>
    <w:p>
      <w:pPr>
        <w:pStyle w:val="ListParagraph"/>
        <w:spacing w:lineRule="auto" w:line="240" w:before="0" w:after="0"/>
        <w:ind w:hanging="0" w:left="357"/>
        <w:contextualSpacing/>
        <w:jc w:val="both"/>
        <w:rPr>
          <w:rFonts w:eastAsia="Times New Roman"/>
          <w:bCs/>
          <w:sz w:val="28"/>
          <w:szCs w:val="28"/>
          <w:lang w:eastAsia="sk-SK"/>
        </w:rPr>
      </w:pPr>
      <w:r>
        <w:rPr>
          <w:rFonts w:eastAsia="Times New Roman"/>
          <w:bCs/>
          <w:sz w:val="28"/>
          <w:szCs w:val="28"/>
          <w:lang w:eastAsia="sk-SK"/>
        </w:rPr>
      </w:r>
    </w:p>
    <w:p>
      <w:pPr>
        <w:pStyle w:val="ListParagraph"/>
        <w:numPr>
          <w:ilvl w:val="0"/>
          <w:numId w:val="16"/>
        </w:numPr>
        <w:spacing w:lineRule="auto" w:line="240" w:before="0" w:after="0"/>
        <w:ind w:hanging="357" w:left="357"/>
        <w:contextualSpacing/>
        <w:jc w:val="both"/>
        <w:rPr>
          <w:rFonts w:eastAsia="Times New Roman"/>
          <w:bCs/>
          <w:sz w:val="28"/>
          <w:szCs w:val="28"/>
          <w:lang w:eastAsia="sk-SK"/>
        </w:rPr>
      </w:pPr>
      <w:r>
        <w:rPr>
          <w:rFonts w:eastAsia="Times New Roman"/>
          <w:bCs/>
          <w:sz w:val="28"/>
          <w:szCs w:val="28"/>
          <w:lang w:eastAsia="sk-SK"/>
        </w:rPr>
        <w:t>Ku skutočnostiam sledovaným na podsúvahových účtoch sa v poznámkach uvádzajú informácie o významných položkách prenajatého majetku, majetku prijatého do úschovy, o pohľadávkach a záväzkoch z opcií, odpísaných pohľadávkach a podobne.</w:t>
      </w:r>
    </w:p>
    <w:p>
      <w:pPr>
        <w:pStyle w:val="ListParagraph"/>
        <w:spacing w:lineRule="auto" w:line="240" w:before="0" w:after="0"/>
        <w:ind w:hanging="0" w:left="357" w:right="-468"/>
        <w:contextualSpacing/>
        <w:jc w:val="both"/>
        <w:rPr>
          <w:rFonts w:ascii="Times New Roman" w:hAnsi="Times New Roman" w:eastAsia="Times New Roman"/>
          <w:b/>
          <w:bCs/>
          <w:sz w:val="28"/>
          <w:szCs w:val="28"/>
          <w:lang w:eastAsia="sk-SK"/>
        </w:rPr>
      </w:pPr>
      <w:r>
        <w:rPr>
          <w:rFonts w:eastAsia="Times New Roman" w:ascii="Times New Roman" w:hAnsi="Times New Roman"/>
          <w:b/>
          <w:bCs/>
          <w:sz w:val="28"/>
          <w:szCs w:val="28"/>
          <w:lang w:eastAsia="sk-SK"/>
        </w:rPr>
        <w:t>Podľa skutočnosti.</w:t>
      </w:r>
    </w:p>
    <w:p>
      <w:pPr>
        <w:pStyle w:val="Normal"/>
        <w:spacing w:lineRule="auto" w:line="240" w:before="0" w:after="0"/>
        <w:ind w:hanging="0" w:left="720" w:right="-468"/>
        <w:jc w:val="center"/>
        <w:rPr>
          <w:rFonts w:eastAsia="Times New Roman"/>
          <w:sz w:val="28"/>
          <w:szCs w:val="28"/>
        </w:rPr>
      </w:pPr>
      <w:r>
        <w:rPr>
          <w:rFonts w:eastAsia="Times New Roman"/>
          <w:sz w:val="28"/>
          <w:szCs w:val="28"/>
        </w:rPr>
      </w:r>
    </w:p>
    <w:p>
      <w:pPr>
        <w:pStyle w:val="Normal"/>
        <w:spacing w:lineRule="auto" w:line="240" w:before="0" w:after="0"/>
        <w:ind w:hanging="0" w:right="-468"/>
        <w:jc w:val="center"/>
        <w:rPr>
          <w:rFonts w:eastAsia="Times New Roman"/>
          <w:b/>
          <w:sz w:val="28"/>
          <w:szCs w:val="28"/>
        </w:rPr>
      </w:pPr>
      <w:r>
        <w:rPr>
          <w:rFonts w:eastAsia="Times New Roman"/>
          <w:b/>
          <w:sz w:val="28"/>
          <w:szCs w:val="28"/>
        </w:rPr>
        <w:t>Čl. VI</w:t>
      </w:r>
    </w:p>
    <w:p>
      <w:pPr>
        <w:pStyle w:val="Normal"/>
        <w:spacing w:lineRule="auto" w:line="240" w:before="0" w:after="0"/>
        <w:ind w:hanging="0" w:right="-468"/>
        <w:jc w:val="center"/>
        <w:rPr>
          <w:rFonts w:eastAsia="Times New Roman"/>
          <w:b/>
          <w:bCs/>
          <w:sz w:val="28"/>
          <w:szCs w:val="28"/>
          <w:lang w:eastAsia="sk-SK"/>
        </w:rPr>
      </w:pPr>
      <w:r>
        <w:rPr>
          <w:rFonts w:eastAsia="Times New Roman"/>
          <w:b/>
          <w:bCs/>
          <w:sz w:val="28"/>
          <w:szCs w:val="28"/>
          <w:lang w:eastAsia="sk-SK"/>
        </w:rPr>
        <w:t>Udalosti, ktoré nastali po dni, ku ktorému sa zostavuje účtovná závierka</w:t>
      </w:r>
    </w:p>
    <w:p>
      <w:pPr>
        <w:pStyle w:val="Normal"/>
        <w:spacing w:lineRule="auto" w:line="240" w:before="0" w:after="0"/>
        <w:ind w:hanging="0" w:right="-468"/>
        <w:jc w:val="both"/>
        <w:rPr>
          <w:rFonts w:eastAsia="Times New Roman"/>
          <w:b/>
          <w:bCs/>
          <w:sz w:val="28"/>
          <w:szCs w:val="28"/>
          <w:lang w:eastAsia="sk-SK"/>
        </w:rPr>
      </w:pPr>
      <w:r>
        <w:rPr>
          <w:rFonts w:eastAsia="Times New Roman"/>
          <w:b/>
          <w:bCs/>
          <w:sz w:val="28"/>
          <w:szCs w:val="28"/>
          <w:lang w:eastAsia="sk-SK"/>
        </w:rPr>
      </w:r>
    </w:p>
    <w:p>
      <w:pPr>
        <w:pStyle w:val="Normal"/>
        <w:spacing w:lineRule="auto" w:line="240" w:before="0" w:after="0"/>
        <w:ind w:hanging="0" w:left="641"/>
        <w:jc w:val="both"/>
        <w:rPr>
          <w:rFonts w:ascii="Times New Roman" w:hAnsi="Times New Roman" w:eastAsia="Times New Roman"/>
          <w:b/>
          <w:bCs/>
          <w:sz w:val="28"/>
          <w:szCs w:val="28"/>
          <w:lang w:eastAsia="sk-SK"/>
        </w:rPr>
      </w:pPr>
      <w:r>
        <w:rPr>
          <w:rFonts w:eastAsia="Times New Roman" w:ascii="Times New Roman" w:hAnsi="Times New Roman"/>
          <w:b/>
          <w:bCs/>
          <w:sz w:val="28"/>
          <w:szCs w:val="28"/>
          <w:lang w:eastAsia="sk-SK"/>
        </w:rPr>
        <w:t>Po dní 31.12.202</w:t>
      </w:r>
      <w:r>
        <w:rPr>
          <w:rFonts w:eastAsia="Times New Roman" w:ascii="Times New Roman" w:hAnsi="Times New Roman"/>
          <w:b/>
          <w:bCs/>
          <w:sz w:val="28"/>
          <w:szCs w:val="28"/>
          <w:lang w:eastAsia="sk-SK"/>
        </w:rPr>
        <w:t>5</w:t>
      </w:r>
      <w:r>
        <w:rPr>
          <w:rFonts w:eastAsia="Times New Roman" w:ascii="Times New Roman" w:hAnsi="Times New Roman"/>
          <w:b/>
          <w:bCs/>
          <w:sz w:val="28"/>
          <w:szCs w:val="28"/>
          <w:lang w:eastAsia="sk-SK"/>
        </w:rPr>
        <w:t xml:space="preserve"> do dňa zostavenia účtovnej závierky, nenastali žiadne udalosti, ktoré by významne ovplyvnili finančnú situáciu účtovnej jednotky. </w:t>
      </w:r>
    </w:p>
    <w:p>
      <w:pPr>
        <w:pStyle w:val="Normal"/>
        <w:spacing w:lineRule="auto" w:line="240" w:before="0" w:after="0"/>
        <w:ind w:hanging="0" w:right="-468"/>
        <w:jc w:val="both"/>
        <w:rPr>
          <w:rFonts w:eastAsia="Times New Roman"/>
          <w:b/>
          <w:bCs/>
          <w:sz w:val="28"/>
          <w:szCs w:val="28"/>
          <w:lang w:eastAsia="sk-SK"/>
        </w:rPr>
      </w:pPr>
      <w:r>
        <w:rPr>
          <w:rFonts w:eastAsia="Times New Roman"/>
          <w:b/>
          <w:bCs/>
          <w:sz w:val="28"/>
          <w:szCs w:val="28"/>
          <w:lang w:eastAsia="sk-SK"/>
        </w:rPr>
        <w:t>________________________________________________________________________</w:t>
      </w:r>
    </w:p>
    <w:p>
      <w:pPr>
        <w:pStyle w:val="ListParagraph"/>
        <w:spacing w:lineRule="auto" w:line="240" w:before="0" w:after="0"/>
        <w:ind w:hanging="0" w:left="0"/>
        <w:contextualSpacing/>
        <w:jc w:val="both"/>
        <w:rPr>
          <w:rFonts w:eastAsia="Times New Roman"/>
          <w:bCs/>
          <w:sz w:val="28"/>
          <w:szCs w:val="28"/>
          <w:lang w:eastAsia="sk-SK"/>
        </w:rPr>
      </w:pPr>
      <w:r>
        <w:rPr>
          <w:rFonts w:eastAsia="Times New Roman"/>
          <w:bCs/>
          <w:sz w:val="28"/>
          <w:szCs w:val="28"/>
          <w:lang w:eastAsia="sk-SK"/>
        </w:rPr>
        <w: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pPr>
        <w:pStyle w:val="Normal"/>
        <w:numPr>
          <w:ilvl w:val="0"/>
          <w:numId w:val="1"/>
        </w:numPr>
        <w:spacing w:lineRule="auto" w:line="240" w:before="0" w:after="0"/>
        <w:ind w:hanging="284" w:left="641"/>
        <w:jc w:val="both"/>
        <w:rPr>
          <w:rFonts w:eastAsia="Times New Roman"/>
          <w:bCs/>
          <w:sz w:val="28"/>
          <w:szCs w:val="28"/>
          <w:lang w:eastAsia="sk-SK"/>
        </w:rPr>
      </w:pPr>
      <w:r>
        <w:rPr>
          <w:rFonts w:eastAsia="Times New Roman"/>
          <w:bCs/>
          <w:sz w:val="28"/>
          <w:szCs w:val="28"/>
          <w:lang w:eastAsia="sk-SK"/>
        </w:rPr>
        <w:t>poklese alebo zvýšení trhovej ceny finančného majetku ako dôsledku udalostí, ktoré nastali po dni, ku ktorému sa zostavuje účtovná závierka do dňa zostavenia účtovnej závierky, s uvedením dôvodu týchto zmien,</w:t>
      </w:r>
    </w:p>
    <w:p>
      <w:pPr>
        <w:pStyle w:val="Normal"/>
        <w:numPr>
          <w:ilvl w:val="0"/>
          <w:numId w:val="1"/>
        </w:numPr>
        <w:spacing w:lineRule="auto" w:line="240" w:before="0" w:after="0"/>
        <w:ind w:hanging="284" w:left="641"/>
        <w:jc w:val="both"/>
        <w:rPr>
          <w:rFonts w:eastAsia="Times New Roman"/>
          <w:bCs/>
          <w:sz w:val="28"/>
          <w:szCs w:val="28"/>
          <w:lang w:eastAsia="sk-SK"/>
        </w:rPr>
      </w:pPr>
      <w:r>
        <w:rPr>
          <w:rFonts w:eastAsia="Times New Roman"/>
          <w:bCs/>
          <w:sz w:val="28"/>
          <w:szCs w:val="28"/>
          <w:lang w:eastAsia="sk-SK"/>
        </w:rPr>
        <w:t>dôvodoch pre zmenu výšky rezerv a opravných položiek, ktoré nastali v dôsledku udalostí po dni, ku ktorému sa zostavuje účtovná závierka do dňa zostavenia účtovnej závierky,</w:t>
      </w:r>
    </w:p>
    <w:p>
      <w:pPr>
        <w:pStyle w:val="Normal"/>
        <w:numPr>
          <w:ilvl w:val="0"/>
          <w:numId w:val="1"/>
        </w:numPr>
        <w:spacing w:lineRule="auto" w:line="240" w:before="0" w:after="0"/>
        <w:ind w:hanging="284" w:left="641"/>
        <w:jc w:val="both"/>
        <w:rPr>
          <w:rFonts w:eastAsia="Times New Roman"/>
          <w:bCs/>
          <w:sz w:val="28"/>
          <w:szCs w:val="28"/>
          <w:lang w:eastAsia="sk-SK"/>
        </w:rPr>
      </w:pPr>
      <w:r>
        <w:rPr>
          <w:rFonts w:eastAsia="Times New Roman"/>
          <w:bCs/>
          <w:sz w:val="28"/>
          <w:szCs w:val="28"/>
          <w:lang w:eastAsia="sk-SK"/>
        </w:rPr>
        <w:t>zmene spoločníkov účtovnej jednotky,</w:t>
      </w:r>
    </w:p>
    <w:p>
      <w:pPr>
        <w:pStyle w:val="Normal"/>
        <w:numPr>
          <w:ilvl w:val="0"/>
          <w:numId w:val="1"/>
        </w:numPr>
        <w:spacing w:lineRule="auto" w:line="240" w:before="0" w:after="0"/>
        <w:ind w:hanging="284" w:left="641"/>
        <w:jc w:val="both"/>
        <w:rPr>
          <w:rFonts w:eastAsia="Times New Roman"/>
          <w:bCs/>
          <w:sz w:val="28"/>
          <w:szCs w:val="28"/>
          <w:lang w:eastAsia="sk-SK"/>
        </w:rPr>
      </w:pPr>
      <w:r>
        <w:rPr>
          <w:rFonts w:eastAsia="Times New Roman"/>
          <w:bCs/>
          <w:sz w:val="28"/>
          <w:szCs w:val="28"/>
          <w:lang w:eastAsia="sk-SK"/>
        </w:rPr>
        <w:t>prijatí rozhodnutia o predaji účtovnej jednotky alebo jej časti,</w:t>
      </w:r>
    </w:p>
    <w:p>
      <w:pPr>
        <w:pStyle w:val="Normal"/>
        <w:numPr>
          <w:ilvl w:val="0"/>
          <w:numId w:val="1"/>
        </w:numPr>
        <w:spacing w:lineRule="auto" w:line="240" w:before="0" w:after="0"/>
        <w:ind w:hanging="284" w:left="641"/>
        <w:jc w:val="both"/>
        <w:rPr>
          <w:rFonts w:eastAsia="Times New Roman"/>
          <w:bCs/>
          <w:sz w:val="28"/>
          <w:szCs w:val="28"/>
          <w:lang w:eastAsia="sk-SK"/>
        </w:rPr>
      </w:pPr>
      <w:r>
        <w:rPr>
          <w:rFonts w:eastAsia="Times New Roman"/>
          <w:bCs/>
          <w:sz w:val="28"/>
          <w:szCs w:val="28"/>
          <w:lang w:eastAsia="sk-SK"/>
        </w:rPr>
        <w:t>zmenách významných položiek dlhodobého finančného majetku,</w:t>
      </w:r>
    </w:p>
    <w:p>
      <w:pPr>
        <w:pStyle w:val="Normal"/>
        <w:numPr>
          <w:ilvl w:val="0"/>
          <w:numId w:val="1"/>
        </w:numPr>
        <w:spacing w:lineRule="auto" w:line="240" w:before="0" w:after="0"/>
        <w:ind w:hanging="284" w:left="641"/>
        <w:jc w:val="both"/>
        <w:rPr>
          <w:rFonts w:eastAsia="Times New Roman"/>
          <w:bCs/>
          <w:sz w:val="28"/>
          <w:szCs w:val="28"/>
          <w:lang w:eastAsia="sk-SK"/>
        </w:rPr>
      </w:pPr>
      <w:r>
        <w:rPr>
          <w:rFonts w:eastAsia="Times New Roman"/>
          <w:bCs/>
          <w:sz w:val="28"/>
          <w:szCs w:val="28"/>
          <w:lang w:eastAsia="sk-SK"/>
        </w:rPr>
        <w:t>začatí alebo ukončení činnosti časti účtovnej jednotky, napríklad odštepného závodu, organizačnej zložky, prevádzkarne,</w:t>
      </w:r>
    </w:p>
    <w:p>
      <w:pPr>
        <w:pStyle w:val="Normal"/>
        <w:numPr>
          <w:ilvl w:val="0"/>
          <w:numId w:val="1"/>
        </w:numPr>
        <w:spacing w:lineRule="auto" w:line="240" w:before="0" w:after="0"/>
        <w:ind w:hanging="284" w:left="641"/>
        <w:jc w:val="both"/>
        <w:rPr>
          <w:rFonts w:eastAsia="Times New Roman"/>
          <w:bCs/>
          <w:sz w:val="28"/>
          <w:szCs w:val="28"/>
          <w:lang w:eastAsia="sk-SK"/>
        </w:rPr>
      </w:pPr>
      <w:r>
        <w:rPr>
          <w:rFonts w:eastAsia="Times New Roman"/>
          <w:bCs/>
          <w:sz w:val="28"/>
          <w:szCs w:val="28"/>
          <w:lang w:eastAsia="sk-SK"/>
        </w:rPr>
        <w:t>vydaných dlhopisoch a iných cenných papieroch,</w:t>
      </w:r>
    </w:p>
    <w:p>
      <w:pPr>
        <w:pStyle w:val="Normal"/>
        <w:numPr>
          <w:ilvl w:val="0"/>
          <w:numId w:val="1"/>
        </w:numPr>
        <w:spacing w:lineRule="auto" w:line="240" w:before="0" w:after="0"/>
        <w:ind w:hanging="284" w:left="641"/>
        <w:jc w:val="both"/>
        <w:rPr>
          <w:rFonts w:eastAsia="Times New Roman"/>
          <w:bCs/>
          <w:sz w:val="28"/>
          <w:szCs w:val="28"/>
          <w:lang w:eastAsia="sk-SK"/>
        </w:rPr>
      </w:pPr>
      <w:r>
        <w:rPr>
          <w:rFonts w:eastAsia="Times New Roman"/>
          <w:bCs/>
          <w:sz w:val="28"/>
          <w:szCs w:val="28"/>
          <w:lang w:eastAsia="sk-SK"/>
        </w:rPr>
        <w:t>zlúčení, splynutí, rozdelení a zmene právnej formy účtovnej jednotky,</w:t>
      </w:r>
    </w:p>
    <w:p>
      <w:pPr>
        <w:pStyle w:val="Normal"/>
        <w:numPr>
          <w:ilvl w:val="0"/>
          <w:numId w:val="1"/>
        </w:numPr>
        <w:spacing w:lineRule="auto" w:line="240" w:before="0" w:after="0"/>
        <w:ind w:hanging="284" w:left="641"/>
        <w:jc w:val="both"/>
        <w:rPr>
          <w:rFonts w:eastAsia="Times New Roman"/>
          <w:bCs/>
          <w:sz w:val="28"/>
          <w:szCs w:val="28"/>
          <w:lang w:eastAsia="sk-SK"/>
        </w:rPr>
      </w:pPr>
      <w:r>
        <w:rPr>
          <w:rFonts w:eastAsia="Times New Roman"/>
          <w:bCs/>
          <w:sz w:val="28"/>
          <w:szCs w:val="28"/>
          <w:lang w:eastAsia="sk-SK"/>
        </w:rPr>
        <w:t>mimoriadnych udalostiach, ak majú vplyv na hospodárenie účtovnej jednotky, napríklad o živelnej  pohrome,</w:t>
      </w:r>
    </w:p>
    <w:p>
      <w:pPr>
        <w:pStyle w:val="Normal"/>
        <w:numPr>
          <w:ilvl w:val="0"/>
          <w:numId w:val="1"/>
        </w:numPr>
        <w:spacing w:lineRule="auto" w:line="240" w:before="0" w:after="0"/>
        <w:ind w:hanging="284" w:left="641"/>
        <w:jc w:val="both"/>
        <w:rPr>
          <w:rFonts w:eastAsia="Times New Roman"/>
          <w:bCs/>
          <w:sz w:val="28"/>
          <w:szCs w:val="28"/>
          <w:lang w:eastAsia="sk-SK"/>
        </w:rPr>
      </w:pPr>
      <w:r>
        <w:rPr>
          <w:rFonts w:eastAsia="Times New Roman"/>
          <w:bCs/>
          <w:sz w:val="28"/>
          <w:szCs w:val="28"/>
          <w:lang w:eastAsia="sk-SK"/>
        </w:rPr>
        <w:t>získaní alebo odobratí licencií alebo iných povolení významných pre činnosť účtovnej jednotky a podobne.</w:t>
      </w:r>
    </w:p>
    <w:p>
      <w:pPr>
        <w:pStyle w:val="Normal"/>
        <w:spacing w:lineRule="auto" w:line="240" w:before="0" w:after="0"/>
        <w:ind w:hanging="0" w:left="641"/>
        <w:jc w:val="both"/>
        <w:rPr>
          <w:rFonts w:ascii="Times New Roman" w:hAnsi="Times New Roman" w:eastAsia="Times New Roman"/>
          <w:b/>
          <w:bCs/>
          <w:sz w:val="28"/>
          <w:szCs w:val="28"/>
          <w:lang w:eastAsia="sk-SK"/>
        </w:rPr>
      </w:pPr>
      <w:r>
        <w:rPr>
          <w:rFonts w:eastAsia="Times New Roman" w:ascii="Times New Roman" w:hAnsi="Times New Roman"/>
          <w:b/>
          <w:bCs/>
          <w:sz w:val="28"/>
          <w:szCs w:val="28"/>
          <w:lang w:eastAsia="sk-SK"/>
        </w:rPr>
        <w:t xml:space="preserve">Podľa aktuality. </w:t>
      </w:r>
    </w:p>
    <w:p>
      <w:pPr>
        <w:pStyle w:val="Normal"/>
        <w:spacing w:lineRule="auto" w:line="240" w:before="0" w:after="0"/>
        <w:ind w:hanging="0" w:left="720"/>
        <w:contextualSpacing/>
        <w:jc w:val="both"/>
        <w:rPr>
          <w:rFonts w:eastAsia="Times New Roman"/>
          <w:sz w:val="28"/>
          <w:szCs w:val="28"/>
          <w:lang w:eastAsia="sk-SK"/>
        </w:rPr>
      </w:pPr>
      <w:r>
        <w:rPr>
          <w:rFonts w:eastAsia="Times New Roman"/>
          <w:sz w:val="28"/>
          <w:szCs w:val="28"/>
          <w:lang w:eastAsia="sk-SK"/>
        </w:rPr>
      </w:r>
    </w:p>
    <w:p>
      <w:pPr>
        <w:pStyle w:val="Normal"/>
        <w:spacing w:lineRule="auto" w:line="240" w:before="0" w:after="0"/>
        <w:contextualSpacing/>
        <w:jc w:val="both"/>
        <w:rPr>
          <w:rFonts w:eastAsia="Times New Roman"/>
          <w:bCs/>
          <w:sz w:val="28"/>
          <w:szCs w:val="28"/>
          <w:lang w:eastAsia="sk-SK"/>
        </w:rPr>
      </w:pPr>
      <w:r>
        <w:rPr>
          <w:rFonts w:eastAsia="Times New Roman"/>
          <w:sz w:val="28"/>
          <w:szCs w:val="28"/>
          <w:lang w:eastAsia="sk-SK"/>
        </w:rPr>
        <w:tab/>
        <w:tab/>
        <w:tab/>
        <w:tab/>
        <w:tab/>
      </w:r>
    </w:p>
    <w:p>
      <w:pPr>
        <w:pStyle w:val="ListParagraph"/>
        <w:spacing w:lineRule="auto" w:line="240" w:before="0" w:after="0"/>
        <w:ind w:hanging="0" w:left="0" w:right="-468"/>
        <w:contextualSpacing/>
        <w:jc w:val="center"/>
        <w:rPr>
          <w:rFonts w:eastAsia="Times New Roman"/>
          <w:b/>
          <w:bCs/>
          <w:sz w:val="28"/>
          <w:szCs w:val="28"/>
          <w:lang w:eastAsia="sk-SK"/>
        </w:rPr>
      </w:pPr>
      <w:r>
        <w:rPr>
          <w:rFonts w:eastAsia="Times New Roman"/>
          <w:b/>
          <w:bCs/>
          <w:sz w:val="28"/>
          <w:szCs w:val="28"/>
          <w:lang w:eastAsia="sk-SK"/>
        </w:rPr>
        <w:t>Čl. VII</w:t>
      </w:r>
    </w:p>
    <w:p>
      <w:pPr>
        <w:pStyle w:val="Normal"/>
        <w:spacing w:lineRule="auto" w:line="240" w:before="0" w:after="0"/>
        <w:ind w:hanging="0" w:right="-468"/>
        <w:jc w:val="center"/>
        <w:rPr>
          <w:rFonts w:eastAsia="Times New Roman"/>
          <w:b/>
          <w:bCs/>
          <w:sz w:val="28"/>
          <w:szCs w:val="28"/>
          <w:lang w:eastAsia="sk-SK"/>
        </w:rPr>
      </w:pPr>
      <w:r>
        <w:rPr>
          <w:rFonts w:eastAsia="Times New Roman"/>
          <w:b/>
          <w:bCs/>
          <w:sz w:val="28"/>
          <w:szCs w:val="28"/>
          <w:lang w:eastAsia="sk-SK"/>
        </w:rPr>
        <w:t>Ostatné informácie</w:t>
      </w:r>
    </w:p>
    <w:p>
      <w:pPr>
        <w:pStyle w:val="Normal"/>
        <w:spacing w:lineRule="auto" w:line="240" w:before="0" w:after="0"/>
        <w:ind w:hanging="0" w:right="-468"/>
        <w:rPr>
          <w:rFonts w:eastAsia="Times New Roman"/>
          <w:b/>
          <w:bCs/>
          <w:sz w:val="28"/>
          <w:szCs w:val="28"/>
          <w:lang w:eastAsia="sk-SK"/>
        </w:rPr>
      </w:pPr>
      <w:r>
        <w:rPr>
          <w:rFonts w:eastAsia="Times New Roman"/>
          <w:b/>
          <w:bCs/>
          <w:sz w:val="28"/>
          <w:szCs w:val="28"/>
          <w:lang w:eastAsia="sk-SK"/>
        </w:rPr>
      </w:r>
    </w:p>
    <w:p>
      <w:pPr>
        <w:pStyle w:val="Normal"/>
        <w:spacing w:lineRule="auto" w:line="240" w:before="0" w:after="0"/>
        <w:ind w:hanging="0" w:right="-468"/>
        <w:rPr>
          <w:rFonts w:eastAsia="Times New Roman"/>
          <w:b/>
          <w:bCs/>
          <w:sz w:val="28"/>
          <w:szCs w:val="28"/>
          <w:lang w:eastAsia="sk-SK"/>
        </w:rPr>
      </w:pPr>
      <w:r>
        <w:rPr>
          <w:rFonts w:eastAsia="Times New Roman"/>
          <w:b/>
          <w:bCs/>
          <w:sz w:val="28"/>
          <w:szCs w:val="28"/>
          <w:lang w:eastAsia="sk-SK"/>
        </w:rPr>
        <w:t xml:space="preserve">      </w:t>
      </w:r>
      <w:r>
        <w:rPr>
          <w:rFonts w:eastAsia="Times New Roman"/>
          <w:b/>
          <w:bCs/>
          <w:sz w:val="28"/>
          <w:szCs w:val="28"/>
          <w:lang w:eastAsia="sk-SK"/>
        </w:rPr>
        <w:t>Pre túto časť Poznámok účtovná jednotka nemá obsahovú náplň.</w:t>
      </w:r>
    </w:p>
    <w:p>
      <w:pPr>
        <w:pStyle w:val="Normal"/>
        <w:spacing w:lineRule="auto" w:line="240" w:before="0" w:after="0"/>
        <w:ind w:hanging="0" w:right="-468"/>
        <w:rPr>
          <w:rFonts w:eastAsia="Times New Roman"/>
          <w:bCs/>
          <w:sz w:val="28"/>
          <w:szCs w:val="28"/>
          <w:lang w:eastAsia="sk-SK"/>
        </w:rPr>
      </w:pPr>
      <w:r>
        <w:rPr>
          <w:rFonts w:eastAsia="Times New Roman"/>
          <w:bCs/>
          <w:sz w:val="28"/>
          <w:szCs w:val="28"/>
          <w:lang w:eastAsia="sk-SK"/>
        </w:rPr>
        <w:t>_____________________________________________________________________</w:t>
      </w:r>
    </w:p>
    <w:p>
      <w:pPr>
        <w:pStyle w:val="Normal"/>
        <w:numPr>
          <w:ilvl w:val="0"/>
          <w:numId w:val="4"/>
        </w:numPr>
        <w:spacing w:lineRule="auto" w:line="240" w:before="0" w:after="0"/>
        <w:ind w:hanging="357" w:left="357"/>
        <w:jc w:val="both"/>
        <w:rPr>
          <w:sz w:val="28"/>
          <w:szCs w:val="28"/>
        </w:rPr>
      </w:pPr>
      <w:r>
        <w:rPr>
          <w:sz w:val="28"/>
          <w:szCs w:val="28"/>
        </w:rPr>
        <w:t>V poznámkach sa uvádza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w:t>
      </w:r>
    </w:p>
    <w:p>
      <w:pPr>
        <w:pStyle w:val="Normal"/>
        <w:numPr>
          <w:ilvl w:val="0"/>
          <w:numId w:val="5"/>
        </w:numPr>
        <w:spacing w:lineRule="auto" w:line="240" w:before="0" w:after="0"/>
        <w:ind w:hanging="284" w:left="641"/>
        <w:jc w:val="both"/>
        <w:rPr>
          <w:sz w:val="28"/>
          <w:szCs w:val="28"/>
        </w:rPr>
      </w:pPr>
      <w:r>
        <w:rPr>
          <w:sz w:val="28"/>
          <w:szCs w:val="28"/>
        </w:rPr>
        <w:t>všetkých formách prijatej náhrady,</w:t>
      </w:r>
    </w:p>
    <w:p>
      <w:pPr>
        <w:pStyle w:val="Normal"/>
        <w:numPr>
          <w:ilvl w:val="0"/>
          <w:numId w:val="5"/>
        </w:numPr>
        <w:spacing w:lineRule="auto" w:line="240" w:before="0" w:after="0"/>
        <w:ind w:hanging="284" w:left="641"/>
        <w:jc w:val="both"/>
        <w:rPr>
          <w:sz w:val="28"/>
          <w:szCs w:val="28"/>
        </w:rPr>
      </w:pPr>
      <w:r>
        <w:rPr>
          <w:sz w:val="28"/>
          <w:szCs w:val="28"/>
        </w:rPr>
        <w:t>účtovných zásadách použitých pri prideľovaní nákladov a výnosov,</w:t>
      </w:r>
    </w:p>
    <w:p>
      <w:pPr>
        <w:pStyle w:val="Normal"/>
        <w:numPr>
          <w:ilvl w:val="0"/>
          <w:numId w:val="5"/>
        </w:numPr>
        <w:spacing w:lineRule="auto" w:line="240" w:before="0" w:after="0"/>
        <w:ind w:hanging="284" w:left="641"/>
        <w:jc w:val="both"/>
        <w:rPr>
          <w:sz w:val="28"/>
          <w:szCs w:val="28"/>
        </w:rPr>
      </w:pPr>
      <w:r>
        <w:rPr>
          <w:sz w:val="28"/>
          <w:szCs w:val="28"/>
        </w:rPr>
        <w:t>všetkých druhoch činností účtovnej jednotky.</w:t>
      </w:r>
    </w:p>
    <w:p>
      <w:pPr>
        <w:pStyle w:val="Normal"/>
        <w:spacing w:lineRule="auto" w:line="240" w:before="0" w:after="0"/>
        <w:ind w:hanging="0" w:left="357"/>
        <w:jc w:val="both"/>
        <w:rPr>
          <w:rFonts w:ascii="Times New Roman" w:hAnsi="Times New Roman"/>
          <w:b/>
          <w:sz w:val="28"/>
          <w:szCs w:val="28"/>
        </w:rPr>
      </w:pPr>
      <w:r>
        <w:rPr>
          <w:rFonts w:ascii="Times New Roman" w:hAnsi="Times New Roman"/>
          <w:b/>
          <w:sz w:val="28"/>
          <w:szCs w:val="28"/>
        </w:rPr>
        <w:t>Neaktuálne.</w:t>
      </w:r>
    </w:p>
    <w:p>
      <w:pPr>
        <w:pStyle w:val="Normal"/>
        <w:spacing w:lineRule="auto" w:line="240" w:before="0" w:after="0"/>
        <w:ind w:hanging="0" w:left="641"/>
        <w:jc w:val="both"/>
        <w:rPr>
          <w:sz w:val="28"/>
          <w:szCs w:val="28"/>
        </w:rPr>
      </w:pPr>
      <w:r>
        <w:rPr>
          <w:sz w:val="28"/>
          <w:szCs w:val="28"/>
        </w:rPr>
      </w:r>
    </w:p>
    <w:p>
      <w:pPr>
        <w:pStyle w:val="Normal"/>
        <w:numPr>
          <w:ilvl w:val="0"/>
          <w:numId w:val="4"/>
        </w:numPr>
        <w:spacing w:lineRule="auto" w:line="240" w:before="0" w:after="0"/>
        <w:ind w:hanging="357" w:left="357"/>
        <w:jc w:val="both"/>
        <w:rPr>
          <w:sz w:val="28"/>
          <w:szCs w:val="28"/>
        </w:rPr>
      </w:pPr>
      <w:r>
        <w:rPr>
          <w:sz w:val="28"/>
          <w:szCs w:val="28"/>
        </w:rPr>
        <w:t>V poznámkach účtovnej jednotky, na ktorú sa vzťahuje</w:t>
      </w:r>
      <w:r>
        <w:rPr>
          <w:rFonts w:cs="Arial"/>
          <w:sz w:val="28"/>
          <w:szCs w:val="28"/>
        </w:rPr>
        <w:t xml:space="preserve"> § 23d ods. 6 zákona, ktorej činnosť je zaradená do kategórie priemyselnej výroby podľa osobitného predpisu</w:t>
      </w:r>
      <w:r>
        <w:rPr>
          <w:rStyle w:val="FootnoteReference"/>
          <w:rFonts w:cs="Arial"/>
          <w:color w:val="FFFFFF"/>
          <w:sz w:val="28"/>
          <w:szCs w:val="28"/>
        </w:rPr>
        <w:footnoteReference w:id="2"/>
      </w:r>
      <w:r>
        <w:rPr>
          <w:rFonts w:cs="Arial"/>
          <w:sz w:val="28"/>
          <w:szCs w:val="28"/>
          <w:vertAlign w:val="superscript"/>
        </w:rPr>
        <w:t xml:space="preserve">3) </w:t>
      </w:r>
      <w:r>
        <w:rPr>
          <w:rFonts w:cs="Arial"/>
          <w:sz w:val="28"/>
          <w:szCs w:val="28"/>
        </w:rPr>
        <w:t xml:space="preserve">a ktorej čistý obrat za bezprostredne predchádzajúce účtovné obdobie bol väčší ako </w:t>
      </w:r>
      <w:r>
        <w:rPr>
          <w:rFonts w:cs="Arial"/>
          <w:b/>
          <w:sz w:val="28"/>
          <w:szCs w:val="28"/>
        </w:rPr>
        <w:t>250 000 000 eur,  sa uvedú aj informácie o</w:t>
      </w:r>
    </w:p>
    <w:p>
      <w:pPr>
        <w:pStyle w:val="Normal"/>
        <w:numPr>
          <w:ilvl w:val="0"/>
          <w:numId w:val="2"/>
        </w:numPr>
        <w:tabs>
          <w:tab w:val="clear" w:pos="708"/>
          <w:tab w:val="left" w:pos="0" w:leader="none"/>
        </w:tabs>
        <w:spacing w:lineRule="auto" w:line="240" w:before="0" w:after="0"/>
        <w:ind w:hanging="284" w:left="641"/>
        <w:jc w:val="both"/>
        <w:rPr>
          <w:rFonts w:cs="Arial"/>
          <w:sz w:val="28"/>
          <w:szCs w:val="28"/>
        </w:rPr>
      </w:pPr>
      <w:r>
        <w:rPr>
          <w:rFonts w:cs="Arial"/>
          <w:sz w:val="28"/>
          <w:szCs w:val="2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pPr>
        <w:pStyle w:val="Normal"/>
        <w:numPr>
          <w:ilvl w:val="0"/>
          <w:numId w:val="2"/>
        </w:numPr>
        <w:tabs>
          <w:tab w:val="clear" w:pos="708"/>
          <w:tab w:val="left" w:pos="0" w:leader="none"/>
        </w:tabs>
        <w:spacing w:lineRule="auto" w:line="240" w:before="0" w:after="0"/>
        <w:ind w:hanging="284" w:left="641"/>
        <w:jc w:val="both"/>
        <w:rPr>
          <w:rFonts w:cs="Arial"/>
          <w:sz w:val="28"/>
          <w:szCs w:val="28"/>
        </w:rPr>
      </w:pPr>
      <w:r>
        <w:rPr>
          <w:rFonts w:cs="Arial"/>
          <w:sz w:val="28"/>
          <w:szCs w:val="28"/>
        </w:rPr>
        <w:t>cenných papieroch vo vlastníctve orgánov verejnej moci a iných osôb, v ktorých má orgán verejnej moci väčšinový podiel na hlasovacích právach, s ktorými je spojené právo na výmenu za akcie, napríklad konvertibilné dlhopisy,</w:t>
      </w:r>
    </w:p>
    <w:p>
      <w:pPr>
        <w:pStyle w:val="Normal"/>
        <w:numPr>
          <w:ilvl w:val="0"/>
          <w:numId w:val="2"/>
        </w:numPr>
        <w:tabs>
          <w:tab w:val="clear" w:pos="708"/>
          <w:tab w:val="left" w:pos="0" w:leader="none"/>
        </w:tabs>
        <w:spacing w:lineRule="auto" w:line="240" w:before="0" w:after="0"/>
        <w:ind w:hanging="284" w:left="641"/>
        <w:jc w:val="both"/>
        <w:rPr>
          <w:rFonts w:cs="Arial"/>
          <w:sz w:val="28"/>
          <w:szCs w:val="28"/>
        </w:rPr>
      </w:pPr>
      <w:r>
        <w:rPr>
          <w:rFonts w:cs="Arial"/>
          <w:sz w:val="28"/>
          <w:szCs w:val="28"/>
        </w:rPr>
        <w:t xml:space="preserve">výške dotácií a návratných finančných výpomocí, </w:t>
      </w:r>
    </w:p>
    <w:p>
      <w:pPr>
        <w:pStyle w:val="Normal"/>
        <w:numPr>
          <w:ilvl w:val="0"/>
          <w:numId w:val="2"/>
        </w:numPr>
        <w:tabs>
          <w:tab w:val="clear" w:pos="708"/>
          <w:tab w:val="left" w:pos="0" w:leader="none"/>
        </w:tabs>
        <w:spacing w:lineRule="auto" w:line="240" w:before="0" w:after="0"/>
        <w:ind w:hanging="284" w:left="641"/>
        <w:jc w:val="both"/>
        <w:rPr>
          <w:rFonts w:cs="Arial"/>
          <w:sz w:val="28"/>
          <w:szCs w:val="28"/>
        </w:rPr>
      </w:pPr>
      <w:r>
        <w:rPr>
          <w:rFonts w:cs="Arial"/>
          <w:sz w:val="28"/>
          <w:szCs w:val="28"/>
        </w:rPr>
        <w:t>prijatých úveroch, poskytnutých prečerpaniach úverov, prijatých kapitálových príspevkoch s uvedením úrokových sadzieb a o podmienkach poskytnutia úveru a zárukách poskytnutých účtovnou jednotkou,</w:t>
      </w:r>
    </w:p>
    <w:p>
      <w:pPr>
        <w:pStyle w:val="Normal"/>
        <w:numPr>
          <w:ilvl w:val="0"/>
          <w:numId w:val="2"/>
        </w:numPr>
        <w:tabs>
          <w:tab w:val="clear" w:pos="708"/>
          <w:tab w:val="left" w:pos="0" w:leader="none"/>
        </w:tabs>
        <w:spacing w:lineRule="auto" w:line="240" w:before="0" w:after="0"/>
        <w:ind w:hanging="284" w:left="641"/>
        <w:jc w:val="both"/>
        <w:rPr>
          <w:rFonts w:cs="Arial"/>
          <w:sz w:val="28"/>
          <w:szCs w:val="28"/>
        </w:rPr>
      </w:pPr>
      <w:r>
        <w:rPr>
          <w:rFonts w:cs="Arial"/>
          <w:sz w:val="28"/>
          <w:szCs w:val="28"/>
        </w:rPr>
        <w:t>zárukách poskytnutých orgánom verejnej moci a zárukách poskytnutých inou účtovnou jednotkou, v ktorej má orgán verejnej moci väčšinový podiel na hlasovacích právach, podmienkach ich poskytnutia a nákladoch na ich získanie,</w:t>
      </w:r>
    </w:p>
    <w:p>
      <w:pPr>
        <w:pStyle w:val="Normal"/>
        <w:numPr>
          <w:ilvl w:val="0"/>
          <w:numId w:val="2"/>
        </w:numPr>
        <w:tabs>
          <w:tab w:val="clear" w:pos="708"/>
          <w:tab w:val="left" w:pos="0" w:leader="none"/>
        </w:tabs>
        <w:spacing w:lineRule="auto" w:line="240" w:before="0" w:after="0"/>
        <w:ind w:hanging="284" w:left="641"/>
        <w:jc w:val="both"/>
        <w:rPr>
          <w:rFonts w:cs="Arial"/>
          <w:sz w:val="28"/>
          <w:szCs w:val="28"/>
        </w:rPr>
      </w:pPr>
      <w:r>
        <w:rPr>
          <w:rFonts w:cs="Arial"/>
          <w:sz w:val="28"/>
          <w:szCs w:val="28"/>
        </w:rPr>
        <w:t>vyplatených dividendách a výške nerozdeleného zisku,</w:t>
      </w:r>
    </w:p>
    <w:p>
      <w:pPr>
        <w:pStyle w:val="Normal"/>
        <w:numPr>
          <w:ilvl w:val="0"/>
          <w:numId w:val="2"/>
        </w:numPr>
        <w:tabs>
          <w:tab w:val="clear" w:pos="708"/>
          <w:tab w:val="left" w:pos="0" w:leader="none"/>
        </w:tabs>
        <w:spacing w:lineRule="auto" w:line="240" w:before="0" w:after="0"/>
        <w:ind w:hanging="284" w:left="641"/>
        <w:jc w:val="both"/>
        <w:rPr>
          <w:rFonts w:cs="Arial"/>
          <w:sz w:val="28"/>
          <w:szCs w:val="28"/>
        </w:rPr>
      </w:pPr>
      <w:r>
        <w:rPr>
          <w:rFonts w:cs="Arial"/>
          <w:sz w:val="28"/>
          <w:szCs w:val="28"/>
        </w:rPr>
        <w:t>iných formách prijatej štátnej pomoci, najmä odpustenie súm, ktoré účtovná jednotka dlhuje štátu alebo inému subjektu verejnej správy.</w:t>
      </w:r>
    </w:p>
    <w:p>
      <w:pPr>
        <w:pStyle w:val="Normal"/>
        <w:spacing w:lineRule="auto" w:line="240" w:before="0" w:after="0"/>
        <w:ind w:hanging="0" w:left="641"/>
        <w:jc w:val="both"/>
        <w:rPr>
          <w:rFonts w:ascii="Times New Roman" w:hAnsi="Times New Roman"/>
          <w:b/>
          <w:sz w:val="28"/>
          <w:szCs w:val="28"/>
        </w:rPr>
      </w:pPr>
      <w:r>
        <w:rPr>
          <w:rFonts w:ascii="Times New Roman" w:hAnsi="Times New Roman"/>
          <w:b/>
          <w:sz w:val="28"/>
          <w:szCs w:val="28"/>
        </w:rPr>
        <w:t>Neaktuálne.</w:t>
      </w:r>
    </w:p>
    <w:p>
      <w:pPr>
        <w:pStyle w:val="Normal"/>
        <w:numPr>
          <w:ilvl w:val="0"/>
          <w:numId w:val="4"/>
        </w:numPr>
        <w:spacing w:lineRule="auto" w:line="240" w:before="0" w:after="0"/>
        <w:ind w:hanging="357" w:left="357"/>
        <w:jc w:val="both"/>
        <w:rPr>
          <w:sz w:val="28"/>
          <w:szCs w:val="28"/>
        </w:rPr>
      </w:pPr>
      <w:r>
        <w:rPr>
          <w:sz w:val="28"/>
          <w:szCs w:val="28"/>
        </w:rPr>
        <w:t>V poznámkach účtovnej jednotky, na ktorú sa vzťahuje</w:t>
      </w:r>
      <w:r>
        <w:rPr>
          <w:rFonts w:cs="Arial"/>
          <w:sz w:val="28"/>
          <w:szCs w:val="28"/>
        </w:rPr>
        <w:t xml:space="preserve"> § 23d ods. 6 zákona sa uvedú aj informácie o finančných vzťahoch medzi orgánom verejnej moci a účtovnou jednotkou, a to o:</w:t>
      </w:r>
    </w:p>
    <w:p>
      <w:pPr>
        <w:pStyle w:val="Normal"/>
        <w:numPr>
          <w:ilvl w:val="0"/>
          <w:numId w:val="3"/>
        </w:numPr>
        <w:tabs>
          <w:tab w:val="clear" w:pos="708"/>
          <w:tab w:val="left" w:pos="0" w:leader="none"/>
        </w:tabs>
        <w:spacing w:lineRule="auto" w:line="240" w:before="0" w:after="0"/>
        <w:ind w:hanging="284" w:left="641"/>
        <w:jc w:val="both"/>
        <w:rPr>
          <w:rFonts w:cs="Arial"/>
          <w:sz w:val="28"/>
          <w:szCs w:val="28"/>
        </w:rPr>
      </w:pPr>
      <w:r>
        <w:rPr>
          <w:rFonts w:cs="Arial"/>
          <w:sz w:val="28"/>
          <w:szCs w:val="28"/>
        </w:rPr>
        <w:t>náhradách strát z hospodárskej činnosti účtovnej jednotky,</w:t>
      </w:r>
    </w:p>
    <w:p>
      <w:pPr>
        <w:pStyle w:val="Normal"/>
        <w:numPr>
          <w:ilvl w:val="0"/>
          <w:numId w:val="3"/>
        </w:numPr>
        <w:tabs>
          <w:tab w:val="clear" w:pos="708"/>
          <w:tab w:val="left" w:pos="0" w:leader="none"/>
        </w:tabs>
        <w:spacing w:lineRule="auto" w:line="240" w:before="0" w:after="0"/>
        <w:ind w:hanging="284" w:left="641"/>
        <w:jc w:val="both"/>
        <w:rPr>
          <w:rFonts w:cs="Arial"/>
          <w:sz w:val="28"/>
          <w:szCs w:val="28"/>
        </w:rPr>
      </w:pPr>
      <w:r>
        <w:rPr>
          <w:rFonts w:cs="Arial"/>
          <w:sz w:val="28"/>
          <w:szCs w:val="28"/>
        </w:rPr>
        <w:t xml:space="preserve">peňažných vkladoch a nepeňažných vkladoch, </w:t>
      </w:r>
    </w:p>
    <w:p>
      <w:pPr>
        <w:pStyle w:val="Normal"/>
        <w:numPr>
          <w:ilvl w:val="0"/>
          <w:numId w:val="3"/>
        </w:numPr>
        <w:tabs>
          <w:tab w:val="clear" w:pos="708"/>
          <w:tab w:val="left" w:pos="0" w:leader="none"/>
        </w:tabs>
        <w:spacing w:lineRule="auto" w:line="240" w:before="0" w:after="0"/>
        <w:ind w:hanging="284" w:left="641"/>
        <w:jc w:val="both"/>
        <w:rPr>
          <w:rFonts w:cs="Arial"/>
          <w:sz w:val="28"/>
          <w:szCs w:val="28"/>
        </w:rPr>
      </w:pPr>
      <w:r>
        <w:rPr>
          <w:rFonts w:cs="Arial"/>
          <w:sz w:val="28"/>
          <w:szCs w:val="28"/>
        </w:rPr>
        <w:t>nenávratných finančných príspevkoch alebo pôžičkách za zvýhodnených podmienok,</w:t>
      </w:r>
    </w:p>
    <w:p>
      <w:pPr>
        <w:pStyle w:val="Normal"/>
        <w:numPr>
          <w:ilvl w:val="0"/>
          <w:numId w:val="3"/>
        </w:numPr>
        <w:tabs>
          <w:tab w:val="clear" w:pos="708"/>
          <w:tab w:val="left" w:pos="0" w:leader="none"/>
        </w:tabs>
        <w:spacing w:lineRule="auto" w:line="240" w:before="0" w:after="0"/>
        <w:ind w:hanging="284" w:left="641"/>
        <w:jc w:val="both"/>
        <w:rPr>
          <w:rFonts w:cs="Arial"/>
          <w:sz w:val="28"/>
          <w:szCs w:val="28"/>
        </w:rPr>
      </w:pPr>
      <w:r>
        <w:rPr>
          <w:rFonts w:cs="Arial"/>
          <w:sz w:val="28"/>
          <w:szCs w:val="28"/>
        </w:rPr>
        <w:t xml:space="preserve">finančných výhodách, ktorými sú napríklad nevymáhanie pohľadávky voči účtovnej jednotke, </w:t>
      </w:r>
    </w:p>
    <w:p>
      <w:pPr>
        <w:pStyle w:val="Normal"/>
        <w:numPr>
          <w:ilvl w:val="0"/>
          <w:numId w:val="3"/>
        </w:numPr>
        <w:tabs>
          <w:tab w:val="clear" w:pos="708"/>
          <w:tab w:val="left" w:pos="0" w:leader="none"/>
        </w:tabs>
        <w:spacing w:lineRule="auto" w:line="240" w:before="0" w:after="0"/>
        <w:ind w:hanging="284" w:left="641"/>
        <w:jc w:val="both"/>
        <w:rPr>
          <w:rFonts w:cs="Arial"/>
          <w:sz w:val="28"/>
          <w:szCs w:val="28"/>
        </w:rPr>
      </w:pPr>
      <w:r>
        <w:rPr>
          <w:rFonts w:cs="Arial"/>
          <w:sz w:val="28"/>
          <w:szCs w:val="28"/>
        </w:rPr>
        <w:t xml:space="preserve">vzdaní sa dividend alebo podielov na zisku, </w:t>
      </w:r>
    </w:p>
    <w:p>
      <w:pPr>
        <w:pStyle w:val="Normal"/>
        <w:numPr>
          <w:ilvl w:val="0"/>
          <w:numId w:val="3"/>
        </w:numPr>
        <w:tabs>
          <w:tab w:val="clear" w:pos="708"/>
          <w:tab w:val="left" w:pos="0" w:leader="none"/>
        </w:tabs>
        <w:spacing w:lineRule="auto" w:line="240" w:before="0" w:after="0"/>
        <w:ind w:hanging="284" w:left="641"/>
        <w:jc w:val="both"/>
        <w:rPr>
          <w:rFonts w:cs="Arial"/>
          <w:sz w:val="28"/>
          <w:szCs w:val="28"/>
        </w:rPr>
      </w:pPr>
      <w:r>
        <w:rPr>
          <w:rFonts w:cs="Arial"/>
          <w:sz w:val="28"/>
          <w:szCs w:val="28"/>
        </w:rPr>
        <w:t>poskytnutých náhradách za finančné povinnosti uložené orgánom verejnej moci.</w:t>
      </w:r>
    </w:p>
    <w:p>
      <w:pPr>
        <w:pStyle w:val="Normal"/>
        <w:spacing w:lineRule="auto" w:line="240" w:before="0" w:after="0"/>
        <w:ind w:hanging="0" w:left="357"/>
        <w:jc w:val="both"/>
        <w:rPr>
          <w:rFonts w:ascii="Times New Roman" w:hAnsi="Times New Roman"/>
          <w:b/>
          <w:sz w:val="28"/>
          <w:szCs w:val="28"/>
        </w:rPr>
      </w:pPr>
      <w:r>
        <w:rPr>
          <w:rFonts w:ascii="Times New Roman" w:hAnsi="Times New Roman"/>
          <w:b/>
          <w:sz w:val="28"/>
          <w:szCs w:val="28"/>
        </w:rPr>
        <w:t xml:space="preserve">Neaktuálne. </w:t>
      </w:r>
    </w:p>
    <w:p>
      <w:pPr>
        <w:pStyle w:val="Normal"/>
        <w:spacing w:lineRule="auto" w:line="240" w:before="0" w:after="0"/>
        <w:jc w:val="both"/>
        <w:rPr>
          <w:rFonts w:cs="Arial"/>
          <w:sz w:val="28"/>
          <w:szCs w:val="28"/>
        </w:rPr>
      </w:pPr>
      <w:r>
        <w:rPr>
          <w:rFonts w:cs="Arial"/>
          <w:sz w:val="28"/>
          <w:szCs w:val="28"/>
        </w:rPr>
      </w:r>
    </w:p>
    <w:p>
      <w:pPr>
        <w:pStyle w:val="Normal"/>
        <w:spacing w:lineRule="auto" w:line="240" w:before="0" w:after="0"/>
        <w:jc w:val="both"/>
        <w:rPr>
          <w:rFonts w:cs="Arial"/>
          <w:sz w:val="28"/>
          <w:szCs w:val="28"/>
        </w:rPr>
      </w:pPr>
      <w:r>
        <w:rPr>
          <w:rFonts w:cs="Arial"/>
          <w:sz w:val="28"/>
          <w:szCs w:val="28"/>
        </w:rPr>
      </w:r>
    </w:p>
    <w:p>
      <w:pPr>
        <w:pStyle w:val="Normal"/>
        <w:spacing w:lineRule="auto" w:line="240" w:before="0" w:after="0"/>
        <w:jc w:val="both"/>
        <w:rPr>
          <w:rFonts w:cs="Arial"/>
          <w:sz w:val="28"/>
          <w:szCs w:val="28"/>
        </w:rPr>
      </w:pPr>
      <w:r>
        <w:rPr>
          <w:rFonts w:cs="Arial"/>
          <w:sz w:val="28"/>
          <w:szCs w:val="28"/>
        </w:rPr>
      </w:r>
    </w:p>
    <w:p>
      <w:pPr>
        <w:pStyle w:val="Normal"/>
        <w:spacing w:lineRule="auto" w:line="240" w:before="0" w:after="0"/>
        <w:jc w:val="both"/>
        <w:rPr>
          <w:rFonts w:cs="Arial"/>
          <w:sz w:val="28"/>
          <w:szCs w:val="28"/>
        </w:rPr>
      </w:pPr>
      <w:r>
        <w:rPr>
          <w:rFonts w:cs="Arial"/>
          <w:sz w:val="28"/>
          <w:szCs w:val="28"/>
        </w:rPr>
      </w:r>
    </w:p>
    <w:p>
      <w:pPr>
        <w:pStyle w:val="Normal"/>
        <w:spacing w:lineRule="auto" w:line="240" w:before="0" w:after="0"/>
        <w:jc w:val="both"/>
        <w:rPr>
          <w:rFonts w:cs="Arial"/>
          <w:szCs w:val="22"/>
        </w:rPr>
      </w:pPr>
      <w:r>
        <w:rPr>
          <w:rFonts w:cs="Arial"/>
          <w:szCs w:val="22"/>
        </w:rPr>
      </w:r>
    </w:p>
    <w:sectPr>
      <w:footerReference w:type="even" r:id="rId2"/>
      <w:footerReference w:type="default" r:id="rId3"/>
      <w:footerReference w:type="first" r:id="rId4"/>
      <w:footnotePr>
        <w:numFmt w:val="decimal"/>
      </w:footnotePr>
      <w:type w:val="nextPage"/>
      <w:pgSz w:w="11906" w:h="16838"/>
      <w:pgMar w:left="1417" w:right="1417" w:gutter="0" w:header="0" w:top="1417" w:footer="709" w:bottom="1417"/>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Arial Narrow">
    <w:charset w:val="ee"/>
    <w:family w:val="roman"/>
    <w:pitch w:val="variable"/>
  </w:font>
  <w:font w:name="Times New Roman">
    <w:charset w:val="ee"/>
    <w:family w:val="roman"/>
    <w:pitch w:val="variable"/>
  </w:font>
  <w:font w:name="Liberation Sans">
    <w:altName w:val="Arial"/>
    <w:charset w:val="ee"/>
    <w:family w:val="swiss"/>
    <w:pitch w:val="variable"/>
  </w:font>
  <w:font w:name="Liberation Sans">
    <w:altName w:val="Arial"/>
    <w:charset w:val="ee"/>
    <w:family w:val="roman"/>
    <w:pitch w:val="variable"/>
  </w:font>
  <w:font w:name="Arial">
    <w:charset w:val="ee"/>
    <w:family w:val="swiss"/>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spacing w:before="0" w:after="20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jc w:val="right"/>
      <w:rPr/>
    </w:pPr>
    <w:r>
      <w:rPr/>
      <w:fldChar w:fldCharType="begin"/>
    </w:r>
    <w:r>
      <w:rPr/>
      <w:instrText xml:space="preserve"> PAGE </w:instrText>
    </w:r>
    <w:r>
      <w:rPr/>
      <w:fldChar w:fldCharType="separate"/>
    </w:r>
    <w:r>
      <w:rPr/>
      <w:t>8</w:t>
    </w:r>
    <w:r>
      <w:rPr/>
      <w:fldChar w:fldCharType="end"/>
    </w:r>
  </w:p>
  <w:p>
    <w:pPr>
      <w:pStyle w:val="Footer"/>
      <w:spacing w:before="0" w:after="200"/>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jc w:val="right"/>
      <w:rPr/>
    </w:pPr>
    <w:r>
      <w:rPr/>
      <w:fldChar w:fldCharType="begin"/>
    </w:r>
    <w:r>
      <w:rPr/>
      <w:instrText xml:space="preserve"> PAGE </w:instrText>
    </w:r>
    <w:r>
      <w:rPr/>
      <w:fldChar w:fldCharType="separate"/>
    </w:r>
    <w:r>
      <w:rPr/>
      <w:t>8</w:t>
    </w:r>
    <w:r>
      <w:rPr/>
      <w:fldChar w:fldCharType="end"/>
    </w:r>
  </w:p>
  <w:p>
    <w:pPr>
      <w:pStyle w:val="Footer"/>
      <w:spacing w:before="0" w:after="200"/>
      <w:rPr/>
    </w:pPr>
    <w:r>
      <w:rPr/>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r>
        <w:separator/>
      </w:r>
    </w:p>
  </w:footnote>
  <w:footnote w:id="1" w:type="continuationSeparator">
    <w:p>
      <w:r>
        <w:continuationSeparator/>
      </w:r>
    </w:p>
  </w:footnote>
  <w:footnote w:id="2">
    <w:p>
      <w:pPr>
        <w:pStyle w:val="FootnoteText"/>
        <w:jc w:val="both"/>
        <w:rPr>
          <w:rFonts w:ascii="Arial Narrow" w:hAnsi="Arial Narrow"/>
          <w:sz w:val="22"/>
          <w:szCs w:val="22"/>
        </w:rPr>
      </w:pPr>
      <w:r>
        <w:rPr>
          <w:rStyle w:val="Znakyprepoznmkupodiarou"/>
        </w:rPr>
        <w:footnoteRef/>
      </w:r>
      <w:r>
        <w:rPr/>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lowerLetter"/>
      <w:lvlText w:val="%1)"/>
      <w:lvlJc w:val="left"/>
      <w:pPr>
        <w:tabs>
          <w:tab w:val="num" w:pos="153"/>
        </w:tabs>
        <w:ind w:left="1004" w:hanging="284"/>
      </w:pPr>
      <w:rPr/>
    </w:lvl>
    <w:lvl w:ilvl="1">
      <w:start w:val="1"/>
      <w:numFmt w:val="lowerLetter"/>
      <w:lvlText w:val="%2."/>
      <w:lvlJc w:val="left"/>
      <w:pPr>
        <w:tabs>
          <w:tab w:val="num" w:pos="1440"/>
        </w:tabs>
        <w:ind w:left="1440" w:hanging="360"/>
      </w:pPr>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2">
    <w:lvl w:ilvl="0">
      <w:start w:val="1"/>
      <w:numFmt w:val="lowerLetter"/>
      <w:lvlText w:val="%1)"/>
      <w:lvlJc w:val="left"/>
      <w:pPr>
        <w:tabs>
          <w:tab w:val="num" w:pos="1440"/>
        </w:tabs>
        <w:ind w:left="1440" w:hanging="360"/>
      </w:pPr>
      <w:rPr/>
    </w:lvl>
    <w:lvl w:ilvl="1">
      <w:start w:val="1"/>
      <w:numFmt w:val="lowerLetter"/>
      <w:lvlText w:val="%2."/>
      <w:lvlJc w:val="left"/>
      <w:pPr>
        <w:tabs>
          <w:tab w:val="num" w:pos="2160"/>
        </w:tabs>
        <w:ind w:left="2160" w:hanging="360"/>
      </w:pPr>
      <w:rPr/>
    </w:lvl>
    <w:lvl w:ilvl="2">
      <w:start w:val="1"/>
      <w:numFmt w:val="lowerRoman"/>
      <w:lvlText w:val="%3."/>
      <w:lvlJc w:val="right"/>
      <w:pPr>
        <w:tabs>
          <w:tab w:val="num" w:pos="2880"/>
        </w:tabs>
        <w:ind w:left="2880" w:hanging="180"/>
      </w:pPr>
      <w:rPr/>
    </w:lvl>
    <w:lvl w:ilvl="3">
      <w:start w:val="1"/>
      <w:numFmt w:val="decimal"/>
      <w:lvlText w:val="%4."/>
      <w:lvlJc w:val="left"/>
      <w:pPr>
        <w:tabs>
          <w:tab w:val="num" w:pos="3600"/>
        </w:tabs>
        <w:ind w:left="3600" w:hanging="360"/>
      </w:pPr>
      <w:rPr/>
    </w:lvl>
    <w:lvl w:ilvl="4">
      <w:start w:val="1"/>
      <w:numFmt w:val="lowerLetter"/>
      <w:lvlText w:val="%5."/>
      <w:lvlJc w:val="left"/>
      <w:pPr>
        <w:tabs>
          <w:tab w:val="num" w:pos="4320"/>
        </w:tabs>
        <w:ind w:left="4320" w:hanging="360"/>
      </w:pPr>
      <w:rPr/>
    </w:lvl>
    <w:lvl w:ilvl="5">
      <w:start w:val="1"/>
      <w:numFmt w:val="lowerRoman"/>
      <w:lvlText w:val="%6."/>
      <w:lvlJc w:val="right"/>
      <w:pPr>
        <w:tabs>
          <w:tab w:val="num" w:pos="5040"/>
        </w:tabs>
        <w:ind w:left="5040" w:hanging="180"/>
      </w:pPr>
      <w:rPr/>
    </w:lvl>
    <w:lvl w:ilvl="6">
      <w:start w:val="1"/>
      <w:numFmt w:val="decimal"/>
      <w:lvlText w:val="%7."/>
      <w:lvlJc w:val="left"/>
      <w:pPr>
        <w:tabs>
          <w:tab w:val="num" w:pos="5760"/>
        </w:tabs>
        <w:ind w:left="5760" w:hanging="360"/>
      </w:pPr>
      <w:rPr/>
    </w:lvl>
    <w:lvl w:ilvl="7">
      <w:start w:val="1"/>
      <w:numFmt w:val="lowerLetter"/>
      <w:lvlText w:val="%8."/>
      <w:lvlJc w:val="left"/>
      <w:pPr>
        <w:tabs>
          <w:tab w:val="num" w:pos="6480"/>
        </w:tabs>
        <w:ind w:left="6480" w:hanging="360"/>
      </w:pPr>
      <w:rPr/>
    </w:lvl>
    <w:lvl w:ilvl="8">
      <w:start w:val="1"/>
      <w:numFmt w:val="lowerRoman"/>
      <w:lvlText w:val="%9."/>
      <w:lvlJc w:val="right"/>
      <w:pPr>
        <w:tabs>
          <w:tab w:val="num" w:pos="7200"/>
        </w:tabs>
        <w:ind w:left="7200" w:hanging="180"/>
      </w:pPr>
      <w:rPr/>
    </w:lvl>
  </w:abstractNum>
  <w:abstractNum w:abstractNumId="3">
    <w:lvl w:ilvl="0">
      <w:start w:val="1"/>
      <w:numFmt w:val="lowerLetter"/>
      <w:lvlText w:val="%1)"/>
      <w:lvlJc w:val="left"/>
      <w:pPr>
        <w:tabs>
          <w:tab w:val="num" w:pos="1440"/>
        </w:tabs>
        <w:ind w:left="1440" w:hanging="360"/>
      </w:pPr>
      <w:rPr/>
    </w:lvl>
    <w:lvl w:ilvl="1">
      <w:start w:val="1"/>
      <w:numFmt w:val="lowerLetter"/>
      <w:lvlText w:val="%2."/>
      <w:lvlJc w:val="left"/>
      <w:pPr>
        <w:tabs>
          <w:tab w:val="num" w:pos="2160"/>
        </w:tabs>
        <w:ind w:left="2160" w:hanging="360"/>
      </w:pPr>
      <w:rPr/>
    </w:lvl>
    <w:lvl w:ilvl="2">
      <w:start w:val="1"/>
      <w:numFmt w:val="lowerRoman"/>
      <w:lvlText w:val="%3."/>
      <w:lvlJc w:val="right"/>
      <w:pPr>
        <w:tabs>
          <w:tab w:val="num" w:pos="2880"/>
        </w:tabs>
        <w:ind w:left="2880" w:hanging="180"/>
      </w:pPr>
      <w:rPr/>
    </w:lvl>
    <w:lvl w:ilvl="3">
      <w:start w:val="1"/>
      <w:numFmt w:val="decimal"/>
      <w:lvlText w:val="%4."/>
      <w:lvlJc w:val="left"/>
      <w:pPr>
        <w:tabs>
          <w:tab w:val="num" w:pos="3600"/>
        </w:tabs>
        <w:ind w:left="3600" w:hanging="360"/>
      </w:pPr>
      <w:rPr/>
    </w:lvl>
    <w:lvl w:ilvl="4">
      <w:start w:val="1"/>
      <w:numFmt w:val="lowerLetter"/>
      <w:lvlText w:val="%5."/>
      <w:lvlJc w:val="left"/>
      <w:pPr>
        <w:tabs>
          <w:tab w:val="num" w:pos="4320"/>
        </w:tabs>
        <w:ind w:left="4320" w:hanging="360"/>
      </w:pPr>
      <w:rPr/>
    </w:lvl>
    <w:lvl w:ilvl="5">
      <w:start w:val="1"/>
      <w:numFmt w:val="lowerRoman"/>
      <w:lvlText w:val="%6."/>
      <w:lvlJc w:val="right"/>
      <w:pPr>
        <w:tabs>
          <w:tab w:val="num" w:pos="5040"/>
        </w:tabs>
        <w:ind w:left="5040" w:hanging="180"/>
      </w:pPr>
      <w:rPr/>
    </w:lvl>
    <w:lvl w:ilvl="6">
      <w:start w:val="1"/>
      <w:numFmt w:val="decimal"/>
      <w:lvlText w:val="%7."/>
      <w:lvlJc w:val="left"/>
      <w:pPr>
        <w:tabs>
          <w:tab w:val="num" w:pos="5760"/>
        </w:tabs>
        <w:ind w:left="5760" w:hanging="360"/>
      </w:pPr>
      <w:rPr/>
    </w:lvl>
    <w:lvl w:ilvl="7">
      <w:start w:val="1"/>
      <w:numFmt w:val="lowerLetter"/>
      <w:lvlText w:val="%8."/>
      <w:lvlJc w:val="left"/>
      <w:pPr>
        <w:tabs>
          <w:tab w:val="num" w:pos="6480"/>
        </w:tabs>
        <w:ind w:left="6480" w:hanging="360"/>
      </w:pPr>
      <w:rPr/>
    </w:lvl>
    <w:lvl w:ilvl="8">
      <w:start w:val="1"/>
      <w:numFmt w:val="lowerRoman"/>
      <w:lvlText w:val="%9."/>
      <w:lvlJc w:val="right"/>
      <w:pPr>
        <w:tabs>
          <w:tab w:val="num" w:pos="7200"/>
        </w:tabs>
        <w:ind w:left="7200" w:hanging="180"/>
      </w:pPr>
      <w:rPr/>
    </w:lvl>
  </w:abstractNum>
  <w:abstractNum w:abstractNumId="4">
    <w:lvl w:ilvl="0">
      <w:start w:val="1"/>
      <w:numFmt w:val="decimal"/>
      <w:lvlText w:val="(%1)"/>
      <w:lvlJc w:val="left"/>
      <w:pPr>
        <w:tabs>
          <w:tab w:val="num" w:pos="0"/>
        </w:tabs>
        <w:ind w:left="1481" w:hanging="360"/>
      </w:pPr>
      <w:rPr>
        <w:rFonts w:ascii="Arial Narrow" w:hAnsi="Arial Narrow" w:cs="Times New Roman"/>
        <w:b w:val="false"/>
        <w:i w:val="false"/>
        <w:sz w:val="22"/>
        <w:szCs w:val="22"/>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
    <w:lvl w:ilvl="0">
      <w:start w:val="1"/>
      <w:numFmt w:val="lowerLetter"/>
      <w:lvlText w:val="%1)"/>
      <w:lvlJc w:val="left"/>
      <w:pPr>
        <w:tabs>
          <w:tab w:val="num" w:pos="0"/>
        </w:tabs>
        <w:ind w:left="1440" w:hanging="360"/>
      </w:pPr>
      <w:rPr>
        <w:rFonts w:ascii="Arial Narrow" w:hAnsi="Arial Narrow" w:cs="Times New Roman"/>
        <w:sz w:val="22"/>
        <w:szCs w:val="22"/>
      </w:rPr>
    </w:lvl>
    <w:lvl w:ilvl="1">
      <w:start w:val="1"/>
      <w:numFmt w:val="lowerLetter"/>
      <w:lvlText w:val="%2."/>
      <w:lvlJc w:val="left"/>
      <w:pPr>
        <w:tabs>
          <w:tab w:val="num" w:pos="0"/>
        </w:tabs>
        <w:ind w:left="2160" w:hanging="360"/>
      </w:pPr>
      <w:rPr/>
    </w:lvl>
    <w:lvl w:ilvl="2">
      <w:start w:val="1"/>
      <w:numFmt w:val="lowerRoman"/>
      <w:lvlText w:val="%3."/>
      <w:lvlJc w:val="right"/>
      <w:pPr>
        <w:tabs>
          <w:tab w:val="num" w:pos="0"/>
        </w:tabs>
        <w:ind w:left="2880" w:hanging="180"/>
      </w:pPr>
      <w:rPr/>
    </w:lvl>
    <w:lvl w:ilvl="3">
      <w:start w:val="1"/>
      <w:numFmt w:val="decimal"/>
      <w:lvlText w:val="%4."/>
      <w:lvlJc w:val="left"/>
      <w:pPr>
        <w:tabs>
          <w:tab w:val="num" w:pos="0"/>
        </w:tabs>
        <w:ind w:left="3600" w:hanging="360"/>
      </w:pPr>
      <w:rPr/>
    </w:lvl>
    <w:lvl w:ilvl="4">
      <w:start w:val="1"/>
      <w:numFmt w:val="lowerLetter"/>
      <w:lvlText w:val="%5."/>
      <w:lvlJc w:val="left"/>
      <w:pPr>
        <w:tabs>
          <w:tab w:val="num" w:pos="0"/>
        </w:tabs>
        <w:ind w:left="4320" w:hanging="360"/>
      </w:pPr>
      <w:rPr/>
    </w:lvl>
    <w:lvl w:ilvl="5">
      <w:start w:val="1"/>
      <w:numFmt w:val="lowerRoman"/>
      <w:lvlText w:val="%6."/>
      <w:lvlJc w:val="right"/>
      <w:pPr>
        <w:tabs>
          <w:tab w:val="num" w:pos="0"/>
        </w:tabs>
        <w:ind w:left="5040" w:hanging="180"/>
      </w:pPr>
      <w:rPr/>
    </w:lvl>
    <w:lvl w:ilvl="6">
      <w:start w:val="1"/>
      <w:numFmt w:val="decimal"/>
      <w:lvlText w:val="%7."/>
      <w:lvlJc w:val="left"/>
      <w:pPr>
        <w:tabs>
          <w:tab w:val="num" w:pos="0"/>
        </w:tabs>
        <w:ind w:left="5760" w:hanging="360"/>
      </w:pPr>
      <w:rPr/>
    </w:lvl>
    <w:lvl w:ilvl="7">
      <w:start w:val="1"/>
      <w:numFmt w:val="lowerLetter"/>
      <w:lvlText w:val="%8."/>
      <w:lvlJc w:val="left"/>
      <w:pPr>
        <w:tabs>
          <w:tab w:val="num" w:pos="0"/>
        </w:tabs>
        <w:ind w:left="6480" w:hanging="360"/>
      </w:pPr>
      <w:rPr/>
    </w:lvl>
    <w:lvl w:ilvl="8">
      <w:start w:val="1"/>
      <w:numFmt w:val="lowerRoman"/>
      <w:lvlText w:val="%9."/>
      <w:lvlJc w:val="right"/>
      <w:pPr>
        <w:tabs>
          <w:tab w:val="num" w:pos="0"/>
        </w:tabs>
        <w:ind w:left="7200" w:hanging="180"/>
      </w:pPr>
      <w:rPr/>
    </w:lvl>
  </w:abstractNum>
  <w:abstractNum w:abstractNumId="6">
    <w:lvl w:ilvl="0">
      <w:start w:val="1"/>
      <w:numFmt w:val="decimal"/>
      <w:lvlText w:val="(%1)"/>
      <w:lvlJc w:val="left"/>
      <w:pPr>
        <w:tabs>
          <w:tab w:val="num" w:pos="0"/>
        </w:tabs>
        <w:ind w:left="720"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7">
    <w:lvl w:ilvl="0">
      <w:start w:val="1"/>
      <w:numFmt w:val="decimal"/>
      <w:lvlText w:val="(%1)"/>
      <w:lvlJc w:val="left"/>
      <w:pPr>
        <w:tabs>
          <w:tab w:val="num" w:pos="0"/>
        </w:tabs>
        <w:ind w:left="502" w:hanging="360"/>
      </w:pPr>
      <w:rPr/>
    </w:lvl>
    <w:lvl w:ilvl="1">
      <w:start w:val="1"/>
      <w:numFmt w:val="lowerLetter"/>
      <w:lvlText w:val="%2."/>
      <w:lvlJc w:val="left"/>
      <w:pPr>
        <w:tabs>
          <w:tab w:val="num" w:pos="0"/>
        </w:tabs>
        <w:ind w:left="1222" w:hanging="360"/>
      </w:pPr>
      <w:rPr/>
    </w:lvl>
    <w:lvl w:ilvl="2">
      <w:start w:val="1"/>
      <w:numFmt w:val="lowerRoman"/>
      <w:lvlText w:val="%3."/>
      <w:lvlJc w:val="right"/>
      <w:pPr>
        <w:tabs>
          <w:tab w:val="num" w:pos="0"/>
        </w:tabs>
        <w:ind w:left="1942" w:hanging="180"/>
      </w:pPr>
      <w:rPr/>
    </w:lvl>
    <w:lvl w:ilvl="3">
      <w:start w:val="1"/>
      <w:numFmt w:val="decimal"/>
      <w:lvlText w:val="%4."/>
      <w:lvlJc w:val="left"/>
      <w:pPr>
        <w:tabs>
          <w:tab w:val="num" w:pos="0"/>
        </w:tabs>
        <w:ind w:left="2662" w:hanging="360"/>
      </w:pPr>
      <w:rPr/>
    </w:lvl>
    <w:lvl w:ilvl="4">
      <w:start w:val="1"/>
      <w:numFmt w:val="lowerLetter"/>
      <w:lvlText w:val="%5."/>
      <w:lvlJc w:val="left"/>
      <w:pPr>
        <w:tabs>
          <w:tab w:val="num" w:pos="0"/>
        </w:tabs>
        <w:ind w:left="3382" w:hanging="360"/>
      </w:pPr>
      <w:rPr/>
    </w:lvl>
    <w:lvl w:ilvl="5">
      <w:start w:val="1"/>
      <w:numFmt w:val="lowerRoman"/>
      <w:lvlText w:val="%6."/>
      <w:lvlJc w:val="right"/>
      <w:pPr>
        <w:tabs>
          <w:tab w:val="num" w:pos="0"/>
        </w:tabs>
        <w:ind w:left="4102" w:hanging="180"/>
      </w:pPr>
      <w:rPr/>
    </w:lvl>
    <w:lvl w:ilvl="6">
      <w:start w:val="1"/>
      <w:numFmt w:val="decimal"/>
      <w:lvlText w:val="%7."/>
      <w:lvlJc w:val="left"/>
      <w:pPr>
        <w:tabs>
          <w:tab w:val="num" w:pos="0"/>
        </w:tabs>
        <w:ind w:left="4822" w:hanging="360"/>
      </w:pPr>
      <w:rPr/>
    </w:lvl>
    <w:lvl w:ilvl="7">
      <w:start w:val="1"/>
      <w:numFmt w:val="lowerLetter"/>
      <w:lvlText w:val="%8."/>
      <w:lvlJc w:val="left"/>
      <w:pPr>
        <w:tabs>
          <w:tab w:val="num" w:pos="0"/>
        </w:tabs>
        <w:ind w:left="5542" w:hanging="360"/>
      </w:pPr>
      <w:rPr/>
    </w:lvl>
    <w:lvl w:ilvl="8">
      <w:start w:val="1"/>
      <w:numFmt w:val="lowerRoman"/>
      <w:lvlText w:val="%9."/>
      <w:lvlJc w:val="right"/>
      <w:pPr>
        <w:tabs>
          <w:tab w:val="num" w:pos="0"/>
        </w:tabs>
        <w:ind w:left="6262" w:hanging="180"/>
      </w:pPr>
      <w:rPr/>
    </w:lvl>
  </w:abstractNum>
  <w:abstractNum w:abstractNumId="8">
    <w:lvl w:ilvl="0">
      <w:start w:val="1"/>
      <w:numFmt w:val="lowerLetter"/>
      <w:lvlText w:val="%1)"/>
      <w:lvlJc w:val="left"/>
      <w:pPr>
        <w:tabs>
          <w:tab w:val="num" w:pos="0"/>
        </w:tabs>
        <w:ind w:left="862" w:hanging="360"/>
      </w:pPr>
      <w:rPr>
        <w:rFonts w:ascii="Arial Narrow" w:hAnsi="Arial Narrow" w:cs="Times New Roman"/>
        <w:sz w:val="22"/>
      </w:rPr>
    </w:lvl>
    <w:lvl w:ilvl="1">
      <w:start w:val="1"/>
      <w:numFmt w:val="lowerLetter"/>
      <w:lvlText w:val="%2."/>
      <w:lvlJc w:val="left"/>
      <w:pPr>
        <w:tabs>
          <w:tab w:val="num" w:pos="0"/>
        </w:tabs>
        <w:ind w:left="1582" w:hanging="360"/>
      </w:pPr>
      <w:rPr/>
    </w:lvl>
    <w:lvl w:ilvl="2">
      <w:start w:val="1"/>
      <w:numFmt w:val="lowerRoman"/>
      <w:lvlText w:val="%3."/>
      <w:lvlJc w:val="right"/>
      <w:pPr>
        <w:tabs>
          <w:tab w:val="num" w:pos="0"/>
        </w:tabs>
        <w:ind w:left="2302" w:hanging="180"/>
      </w:pPr>
      <w:rPr/>
    </w:lvl>
    <w:lvl w:ilvl="3">
      <w:start w:val="1"/>
      <w:numFmt w:val="decimal"/>
      <w:lvlText w:val="%4."/>
      <w:lvlJc w:val="left"/>
      <w:pPr>
        <w:tabs>
          <w:tab w:val="num" w:pos="0"/>
        </w:tabs>
        <w:ind w:left="3022" w:hanging="360"/>
      </w:pPr>
      <w:rPr/>
    </w:lvl>
    <w:lvl w:ilvl="4">
      <w:start w:val="1"/>
      <w:numFmt w:val="lowerLetter"/>
      <w:lvlText w:val="%5."/>
      <w:lvlJc w:val="left"/>
      <w:pPr>
        <w:tabs>
          <w:tab w:val="num" w:pos="0"/>
        </w:tabs>
        <w:ind w:left="3742" w:hanging="360"/>
      </w:pPr>
      <w:rPr/>
    </w:lvl>
    <w:lvl w:ilvl="5">
      <w:start w:val="1"/>
      <w:numFmt w:val="lowerRoman"/>
      <w:lvlText w:val="%6."/>
      <w:lvlJc w:val="right"/>
      <w:pPr>
        <w:tabs>
          <w:tab w:val="num" w:pos="0"/>
        </w:tabs>
        <w:ind w:left="4462" w:hanging="180"/>
      </w:pPr>
      <w:rPr/>
    </w:lvl>
    <w:lvl w:ilvl="6">
      <w:start w:val="1"/>
      <w:numFmt w:val="decimal"/>
      <w:lvlText w:val="%7."/>
      <w:lvlJc w:val="left"/>
      <w:pPr>
        <w:tabs>
          <w:tab w:val="num" w:pos="0"/>
        </w:tabs>
        <w:ind w:left="5182" w:hanging="360"/>
      </w:pPr>
      <w:rPr/>
    </w:lvl>
    <w:lvl w:ilvl="7">
      <w:start w:val="1"/>
      <w:numFmt w:val="lowerLetter"/>
      <w:lvlText w:val="%8."/>
      <w:lvlJc w:val="left"/>
      <w:pPr>
        <w:tabs>
          <w:tab w:val="num" w:pos="0"/>
        </w:tabs>
        <w:ind w:left="5902" w:hanging="360"/>
      </w:pPr>
      <w:rPr/>
    </w:lvl>
    <w:lvl w:ilvl="8">
      <w:start w:val="1"/>
      <w:numFmt w:val="lowerRoman"/>
      <w:lvlText w:val="%9."/>
      <w:lvlJc w:val="right"/>
      <w:pPr>
        <w:tabs>
          <w:tab w:val="num" w:pos="0"/>
        </w:tabs>
        <w:ind w:left="6622" w:hanging="180"/>
      </w:pPr>
      <w:rPr/>
    </w:lvl>
  </w:abstractNum>
  <w:abstractNum w:abstractNumId="9">
    <w:lvl w:ilvl="0">
      <w:start w:val="1"/>
      <w:numFmt w:val="decimal"/>
      <w:lvlText w:val="(%1)"/>
      <w:lvlJc w:val="left"/>
      <w:pPr>
        <w:tabs>
          <w:tab w:val="num" w:pos="0"/>
        </w:tabs>
        <w:ind w:left="1637"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0">
    <w:lvl w:ilvl="0">
      <w:start w:val="1"/>
      <w:numFmt w:val="decimal"/>
      <w:lvlText w:val="%1."/>
      <w:lvlJc w:val="left"/>
      <w:pPr>
        <w:tabs>
          <w:tab w:val="num" w:pos="0"/>
        </w:tabs>
        <w:ind w:left="1068" w:hanging="360"/>
      </w:pPr>
      <w:rPr/>
    </w:lvl>
    <w:lvl w:ilvl="1">
      <w:start w:val="1"/>
      <w:numFmt w:val="lowerLetter"/>
      <w:lvlText w:val="%2."/>
      <w:lvlJc w:val="left"/>
      <w:pPr>
        <w:tabs>
          <w:tab w:val="num" w:pos="0"/>
        </w:tabs>
        <w:ind w:left="1788" w:hanging="360"/>
      </w:pPr>
      <w:rPr/>
    </w:lvl>
    <w:lvl w:ilvl="2">
      <w:start w:val="1"/>
      <w:numFmt w:val="lowerRoman"/>
      <w:lvlText w:val="%3."/>
      <w:lvlJc w:val="right"/>
      <w:pPr>
        <w:tabs>
          <w:tab w:val="num" w:pos="0"/>
        </w:tabs>
        <w:ind w:left="2508" w:hanging="180"/>
      </w:pPr>
      <w:rPr/>
    </w:lvl>
    <w:lvl w:ilvl="3">
      <w:start w:val="1"/>
      <w:numFmt w:val="decimal"/>
      <w:lvlText w:val="%4."/>
      <w:lvlJc w:val="left"/>
      <w:pPr>
        <w:tabs>
          <w:tab w:val="num" w:pos="0"/>
        </w:tabs>
        <w:ind w:left="3228" w:hanging="360"/>
      </w:pPr>
      <w:rPr/>
    </w:lvl>
    <w:lvl w:ilvl="4">
      <w:start w:val="1"/>
      <w:numFmt w:val="lowerLetter"/>
      <w:lvlText w:val="%5."/>
      <w:lvlJc w:val="left"/>
      <w:pPr>
        <w:tabs>
          <w:tab w:val="num" w:pos="0"/>
        </w:tabs>
        <w:ind w:left="3948" w:hanging="360"/>
      </w:pPr>
      <w:rPr/>
    </w:lvl>
    <w:lvl w:ilvl="5">
      <w:start w:val="1"/>
      <w:numFmt w:val="lowerRoman"/>
      <w:lvlText w:val="%6."/>
      <w:lvlJc w:val="right"/>
      <w:pPr>
        <w:tabs>
          <w:tab w:val="num" w:pos="0"/>
        </w:tabs>
        <w:ind w:left="4668" w:hanging="180"/>
      </w:pPr>
      <w:rPr/>
    </w:lvl>
    <w:lvl w:ilvl="6">
      <w:start w:val="1"/>
      <w:numFmt w:val="decimal"/>
      <w:lvlText w:val="%7."/>
      <w:lvlJc w:val="left"/>
      <w:pPr>
        <w:tabs>
          <w:tab w:val="num" w:pos="0"/>
        </w:tabs>
        <w:ind w:left="5388" w:hanging="360"/>
      </w:pPr>
      <w:rPr/>
    </w:lvl>
    <w:lvl w:ilvl="7">
      <w:start w:val="1"/>
      <w:numFmt w:val="lowerLetter"/>
      <w:lvlText w:val="%8."/>
      <w:lvlJc w:val="left"/>
      <w:pPr>
        <w:tabs>
          <w:tab w:val="num" w:pos="0"/>
        </w:tabs>
        <w:ind w:left="6108" w:hanging="360"/>
      </w:pPr>
      <w:rPr/>
    </w:lvl>
    <w:lvl w:ilvl="8">
      <w:start w:val="1"/>
      <w:numFmt w:val="lowerRoman"/>
      <w:lvlText w:val="%9."/>
      <w:lvlJc w:val="right"/>
      <w:pPr>
        <w:tabs>
          <w:tab w:val="num" w:pos="0"/>
        </w:tabs>
        <w:ind w:left="6828" w:hanging="180"/>
      </w:pPr>
      <w:rPr/>
    </w:lvl>
  </w:abstractNum>
  <w:abstractNum w:abstractNumId="11">
    <w:lvl w:ilvl="0">
      <w:start w:val="1"/>
      <w:numFmt w:val="lowerLetter"/>
      <w:lvlText w:val="%1)"/>
      <w:lvlJc w:val="left"/>
      <w:pPr>
        <w:tabs>
          <w:tab w:val="num" w:pos="0"/>
        </w:tabs>
        <w:ind w:left="641" w:hanging="284"/>
      </w:pPr>
      <w:rPr/>
    </w:lvl>
    <w:lvl w:ilvl="1">
      <w:start w:val="1"/>
      <w:numFmt w:val="lowerLetter"/>
      <w:lvlText w:val="%2."/>
      <w:lvlJc w:val="left"/>
      <w:pPr>
        <w:tabs>
          <w:tab w:val="num" w:pos="0"/>
        </w:tabs>
        <w:ind w:left="1077" w:hanging="360"/>
      </w:pPr>
      <w:rPr/>
    </w:lvl>
    <w:lvl w:ilvl="2">
      <w:start w:val="1"/>
      <w:numFmt w:val="lowerRoman"/>
      <w:lvlText w:val="%3."/>
      <w:lvlJc w:val="right"/>
      <w:pPr>
        <w:tabs>
          <w:tab w:val="num" w:pos="0"/>
        </w:tabs>
        <w:ind w:left="1797" w:hanging="180"/>
      </w:pPr>
      <w:rPr/>
    </w:lvl>
    <w:lvl w:ilvl="3">
      <w:start w:val="1"/>
      <w:numFmt w:val="decimal"/>
      <w:lvlText w:val="%4."/>
      <w:lvlJc w:val="left"/>
      <w:pPr>
        <w:tabs>
          <w:tab w:val="num" w:pos="0"/>
        </w:tabs>
        <w:ind w:left="2517" w:hanging="360"/>
      </w:pPr>
      <w:rPr/>
    </w:lvl>
    <w:lvl w:ilvl="4">
      <w:start w:val="1"/>
      <w:numFmt w:val="lowerLetter"/>
      <w:lvlText w:val="%5."/>
      <w:lvlJc w:val="left"/>
      <w:pPr>
        <w:tabs>
          <w:tab w:val="num" w:pos="0"/>
        </w:tabs>
        <w:ind w:left="3237" w:hanging="360"/>
      </w:pPr>
      <w:rPr/>
    </w:lvl>
    <w:lvl w:ilvl="5">
      <w:start w:val="1"/>
      <w:numFmt w:val="lowerRoman"/>
      <w:lvlText w:val="%6."/>
      <w:lvlJc w:val="right"/>
      <w:pPr>
        <w:tabs>
          <w:tab w:val="num" w:pos="0"/>
        </w:tabs>
        <w:ind w:left="3957" w:hanging="180"/>
      </w:pPr>
      <w:rPr/>
    </w:lvl>
    <w:lvl w:ilvl="6">
      <w:start w:val="1"/>
      <w:numFmt w:val="decimal"/>
      <w:lvlText w:val="%7."/>
      <w:lvlJc w:val="left"/>
      <w:pPr>
        <w:tabs>
          <w:tab w:val="num" w:pos="0"/>
        </w:tabs>
        <w:ind w:left="4677" w:hanging="360"/>
      </w:pPr>
      <w:rPr/>
    </w:lvl>
    <w:lvl w:ilvl="7">
      <w:start w:val="1"/>
      <w:numFmt w:val="lowerLetter"/>
      <w:lvlText w:val="%8."/>
      <w:lvlJc w:val="left"/>
      <w:pPr>
        <w:tabs>
          <w:tab w:val="num" w:pos="0"/>
        </w:tabs>
        <w:ind w:left="5397" w:hanging="360"/>
      </w:pPr>
      <w:rPr/>
    </w:lvl>
    <w:lvl w:ilvl="8">
      <w:start w:val="1"/>
      <w:numFmt w:val="lowerRoman"/>
      <w:lvlText w:val="%9."/>
      <w:lvlJc w:val="right"/>
      <w:pPr>
        <w:tabs>
          <w:tab w:val="num" w:pos="0"/>
        </w:tabs>
        <w:ind w:left="6117" w:hanging="180"/>
      </w:pPr>
      <w:rPr/>
    </w:lvl>
  </w:abstractNum>
  <w:abstractNum w:abstractNumId="12">
    <w:lvl w:ilvl="0">
      <w:start w:val="1"/>
      <w:numFmt w:val="lowerLetter"/>
      <w:lvlText w:val="%1)"/>
      <w:lvlJc w:val="left"/>
      <w:pPr>
        <w:tabs>
          <w:tab w:val="num" w:pos="0"/>
        </w:tabs>
        <w:ind w:left="862" w:hanging="360"/>
      </w:pPr>
      <w:rPr/>
    </w:lvl>
    <w:lvl w:ilvl="1">
      <w:start w:val="1"/>
      <w:numFmt w:val="lowerLetter"/>
      <w:lvlText w:val="%2."/>
      <w:lvlJc w:val="left"/>
      <w:pPr>
        <w:tabs>
          <w:tab w:val="num" w:pos="0"/>
        </w:tabs>
        <w:ind w:left="1582" w:hanging="360"/>
      </w:pPr>
      <w:rPr/>
    </w:lvl>
    <w:lvl w:ilvl="2">
      <w:start w:val="1"/>
      <w:numFmt w:val="lowerRoman"/>
      <w:lvlText w:val="%3."/>
      <w:lvlJc w:val="right"/>
      <w:pPr>
        <w:tabs>
          <w:tab w:val="num" w:pos="0"/>
        </w:tabs>
        <w:ind w:left="2302" w:hanging="180"/>
      </w:pPr>
      <w:rPr/>
    </w:lvl>
    <w:lvl w:ilvl="3">
      <w:start w:val="1"/>
      <w:numFmt w:val="decimal"/>
      <w:lvlText w:val="%4."/>
      <w:lvlJc w:val="left"/>
      <w:pPr>
        <w:tabs>
          <w:tab w:val="num" w:pos="0"/>
        </w:tabs>
        <w:ind w:left="3022" w:hanging="360"/>
      </w:pPr>
      <w:rPr/>
    </w:lvl>
    <w:lvl w:ilvl="4">
      <w:start w:val="1"/>
      <w:numFmt w:val="lowerLetter"/>
      <w:lvlText w:val="%5."/>
      <w:lvlJc w:val="left"/>
      <w:pPr>
        <w:tabs>
          <w:tab w:val="num" w:pos="0"/>
        </w:tabs>
        <w:ind w:left="3742" w:hanging="360"/>
      </w:pPr>
      <w:rPr/>
    </w:lvl>
    <w:lvl w:ilvl="5">
      <w:start w:val="1"/>
      <w:numFmt w:val="lowerRoman"/>
      <w:lvlText w:val="%6."/>
      <w:lvlJc w:val="right"/>
      <w:pPr>
        <w:tabs>
          <w:tab w:val="num" w:pos="0"/>
        </w:tabs>
        <w:ind w:left="4462" w:hanging="180"/>
      </w:pPr>
      <w:rPr/>
    </w:lvl>
    <w:lvl w:ilvl="6">
      <w:start w:val="1"/>
      <w:numFmt w:val="decimal"/>
      <w:lvlText w:val="%7."/>
      <w:lvlJc w:val="left"/>
      <w:pPr>
        <w:tabs>
          <w:tab w:val="num" w:pos="0"/>
        </w:tabs>
        <w:ind w:left="5182" w:hanging="360"/>
      </w:pPr>
      <w:rPr/>
    </w:lvl>
    <w:lvl w:ilvl="7">
      <w:start w:val="1"/>
      <w:numFmt w:val="lowerLetter"/>
      <w:lvlText w:val="%8."/>
      <w:lvlJc w:val="left"/>
      <w:pPr>
        <w:tabs>
          <w:tab w:val="num" w:pos="0"/>
        </w:tabs>
        <w:ind w:left="5902" w:hanging="360"/>
      </w:pPr>
      <w:rPr/>
    </w:lvl>
    <w:lvl w:ilvl="8">
      <w:start w:val="1"/>
      <w:numFmt w:val="lowerRoman"/>
      <w:lvlText w:val="%9."/>
      <w:lvlJc w:val="right"/>
      <w:pPr>
        <w:tabs>
          <w:tab w:val="num" w:pos="0"/>
        </w:tabs>
        <w:ind w:left="6622" w:hanging="180"/>
      </w:pPr>
      <w:rPr/>
    </w:lvl>
  </w:abstractNum>
  <w:abstractNum w:abstractNumId="13">
    <w:lvl w:ilvl="0">
      <w:start w:val="1"/>
      <w:numFmt w:val="lowerLetter"/>
      <w:lvlText w:val="%1)"/>
      <w:lvlJc w:val="left"/>
      <w:pPr>
        <w:tabs>
          <w:tab w:val="num" w:pos="0"/>
        </w:tabs>
        <w:ind w:left="1065" w:hanging="705"/>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4">
    <w:lvl w:ilvl="0">
      <w:start w:val="1"/>
      <w:numFmt w:val="decimal"/>
      <w:lvlText w:val="%1."/>
      <w:lvlJc w:val="left"/>
      <w:pPr>
        <w:tabs>
          <w:tab w:val="num" w:pos="0"/>
        </w:tabs>
        <w:ind w:left="1068" w:hanging="360"/>
      </w:pPr>
      <w:rPr/>
    </w:lvl>
    <w:lvl w:ilvl="1">
      <w:start w:val="1"/>
      <w:numFmt w:val="lowerLetter"/>
      <w:lvlText w:val="%2."/>
      <w:lvlJc w:val="left"/>
      <w:pPr>
        <w:tabs>
          <w:tab w:val="num" w:pos="0"/>
        </w:tabs>
        <w:ind w:left="1788" w:hanging="360"/>
      </w:pPr>
      <w:rPr/>
    </w:lvl>
    <w:lvl w:ilvl="2">
      <w:start w:val="1"/>
      <w:numFmt w:val="lowerRoman"/>
      <w:lvlText w:val="%3."/>
      <w:lvlJc w:val="right"/>
      <w:pPr>
        <w:tabs>
          <w:tab w:val="num" w:pos="0"/>
        </w:tabs>
        <w:ind w:left="2508" w:hanging="180"/>
      </w:pPr>
      <w:rPr/>
    </w:lvl>
    <w:lvl w:ilvl="3">
      <w:start w:val="1"/>
      <w:numFmt w:val="decimal"/>
      <w:lvlText w:val="%4."/>
      <w:lvlJc w:val="left"/>
      <w:pPr>
        <w:tabs>
          <w:tab w:val="num" w:pos="0"/>
        </w:tabs>
        <w:ind w:left="3228" w:hanging="360"/>
      </w:pPr>
      <w:rPr/>
    </w:lvl>
    <w:lvl w:ilvl="4">
      <w:start w:val="1"/>
      <w:numFmt w:val="lowerLetter"/>
      <w:lvlText w:val="%5."/>
      <w:lvlJc w:val="left"/>
      <w:pPr>
        <w:tabs>
          <w:tab w:val="num" w:pos="0"/>
        </w:tabs>
        <w:ind w:left="3948" w:hanging="360"/>
      </w:pPr>
      <w:rPr/>
    </w:lvl>
    <w:lvl w:ilvl="5">
      <w:start w:val="1"/>
      <w:numFmt w:val="lowerRoman"/>
      <w:lvlText w:val="%6."/>
      <w:lvlJc w:val="right"/>
      <w:pPr>
        <w:tabs>
          <w:tab w:val="num" w:pos="0"/>
        </w:tabs>
        <w:ind w:left="4668" w:hanging="180"/>
      </w:pPr>
      <w:rPr/>
    </w:lvl>
    <w:lvl w:ilvl="6">
      <w:start w:val="1"/>
      <w:numFmt w:val="decimal"/>
      <w:lvlText w:val="%7."/>
      <w:lvlJc w:val="left"/>
      <w:pPr>
        <w:tabs>
          <w:tab w:val="num" w:pos="0"/>
        </w:tabs>
        <w:ind w:left="5388" w:hanging="360"/>
      </w:pPr>
      <w:rPr/>
    </w:lvl>
    <w:lvl w:ilvl="7">
      <w:start w:val="1"/>
      <w:numFmt w:val="lowerLetter"/>
      <w:lvlText w:val="%8."/>
      <w:lvlJc w:val="left"/>
      <w:pPr>
        <w:tabs>
          <w:tab w:val="num" w:pos="0"/>
        </w:tabs>
        <w:ind w:left="6108" w:hanging="360"/>
      </w:pPr>
      <w:rPr/>
    </w:lvl>
    <w:lvl w:ilvl="8">
      <w:start w:val="1"/>
      <w:numFmt w:val="lowerRoman"/>
      <w:lvlText w:val="%9."/>
      <w:lvlJc w:val="right"/>
      <w:pPr>
        <w:tabs>
          <w:tab w:val="num" w:pos="0"/>
        </w:tabs>
        <w:ind w:left="6828" w:hanging="180"/>
      </w:pPr>
      <w:rPr/>
    </w:lvl>
  </w:abstractNum>
  <w:abstractNum w:abstractNumId="15">
    <w:lvl w:ilvl="0">
      <w:start w:val="1"/>
      <w:numFmt w:val="decimal"/>
      <w:lvlText w:val="%1."/>
      <w:lvlJc w:val="left"/>
      <w:pPr>
        <w:tabs>
          <w:tab w:val="num" w:pos="0"/>
        </w:tabs>
        <w:ind w:left="1068" w:hanging="360"/>
      </w:pPr>
      <w:rPr/>
    </w:lvl>
    <w:lvl w:ilvl="1">
      <w:start w:val="1"/>
      <w:numFmt w:val="lowerLetter"/>
      <w:lvlText w:val="%2."/>
      <w:lvlJc w:val="left"/>
      <w:pPr>
        <w:tabs>
          <w:tab w:val="num" w:pos="0"/>
        </w:tabs>
        <w:ind w:left="1788" w:hanging="360"/>
      </w:pPr>
      <w:rPr/>
    </w:lvl>
    <w:lvl w:ilvl="2">
      <w:start w:val="1"/>
      <w:numFmt w:val="lowerRoman"/>
      <w:lvlText w:val="%3."/>
      <w:lvlJc w:val="right"/>
      <w:pPr>
        <w:tabs>
          <w:tab w:val="num" w:pos="0"/>
        </w:tabs>
        <w:ind w:left="2508" w:hanging="180"/>
      </w:pPr>
      <w:rPr/>
    </w:lvl>
    <w:lvl w:ilvl="3">
      <w:start w:val="1"/>
      <w:numFmt w:val="decimal"/>
      <w:lvlText w:val="%4."/>
      <w:lvlJc w:val="left"/>
      <w:pPr>
        <w:tabs>
          <w:tab w:val="num" w:pos="0"/>
        </w:tabs>
        <w:ind w:left="3228" w:hanging="360"/>
      </w:pPr>
      <w:rPr/>
    </w:lvl>
    <w:lvl w:ilvl="4">
      <w:start w:val="1"/>
      <w:numFmt w:val="lowerLetter"/>
      <w:lvlText w:val="%5."/>
      <w:lvlJc w:val="left"/>
      <w:pPr>
        <w:tabs>
          <w:tab w:val="num" w:pos="0"/>
        </w:tabs>
        <w:ind w:left="3948" w:hanging="360"/>
      </w:pPr>
      <w:rPr/>
    </w:lvl>
    <w:lvl w:ilvl="5">
      <w:start w:val="1"/>
      <w:numFmt w:val="lowerRoman"/>
      <w:lvlText w:val="%6."/>
      <w:lvlJc w:val="right"/>
      <w:pPr>
        <w:tabs>
          <w:tab w:val="num" w:pos="0"/>
        </w:tabs>
        <w:ind w:left="4668" w:hanging="180"/>
      </w:pPr>
      <w:rPr/>
    </w:lvl>
    <w:lvl w:ilvl="6">
      <w:start w:val="1"/>
      <w:numFmt w:val="decimal"/>
      <w:lvlText w:val="%7."/>
      <w:lvlJc w:val="left"/>
      <w:pPr>
        <w:tabs>
          <w:tab w:val="num" w:pos="0"/>
        </w:tabs>
        <w:ind w:left="5388" w:hanging="360"/>
      </w:pPr>
      <w:rPr/>
    </w:lvl>
    <w:lvl w:ilvl="7">
      <w:start w:val="1"/>
      <w:numFmt w:val="lowerLetter"/>
      <w:lvlText w:val="%8."/>
      <w:lvlJc w:val="left"/>
      <w:pPr>
        <w:tabs>
          <w:tab w:val="num" w:pos="0"/>
        </w:tabs>
        <w:ind w:left="6108" w:hanging="360"/>
      </w:pPr>
      <w:rPr/>
    </w:lvl>
    <w:lvl w:ilvl="8">
      <w:start w:val="1"/>
      <w:numFmt w:val="lowerRoman"/>
      <w:lvlText w:val="%9."/>
      <w:lvlJc w:val="right"/>
      <w:pPr>
        <w:tabs>
          <w:tab w:val="num" w:pos="0"/>
        </w:tabs>
        <w:ind w:left="6828" w:hanging="180"/>
      </w:pPr>
      <w:rPr/>
    </w:lvl>
  </w:abstractNum>
  <w:abstractNum w:abstractNumId="16">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7">
    <w:lvl w:ilvl="0">
      <w:start w:val="1"/>
      <w:numFmt w:val="lowerLetter"/>
      <w:lvlText w:val="%1)"/>
      <w:lvlJc w:val="left"/>
      <w:pPr>
        <w:tabs>
          <w:tab w:val="num" w:pos="0"/>
        </w:tabs>
        <w:ind w:left="1080" w:hanging="360"/>
      </w:pPr>
      <w:rPr/>
    </w:lvl>
    <w:lvl w:ilvl="1">
      <w:start w:val="1"/>
      <w:numFmt w:val="lowerLetter"/>
      <w:lvlText w:val="%2."/>
      <w:lvlJc w:val="left"/>
      <w:pPr>
        <w:tabs>
          <w:tab w:val="num" w:pos="0"/>
        </w:tabs>
        <w:ind w:left="1800" w:hanging="360"/>
      </w:pPr>
      <w:rPr/>
    </w:lvl>
    <w:lvl w:ilvl="2">
      <w:start w:val="1"/>
      <w:numFmt w:val="lowerRoman"/>
      <w:lvlText w:val="%3."/>
      <w:lvlJc w:val="right"/>
      <w:pPr>
        <w:tabs>
          <w:tab w:val="num" w:pos="0"/>
        </w:tabs>
        <w:ind w:left="2520" w:hanging="180"/>
      </w:pPr>
      <w:rPr/>
    </w:lvl>
    <w:lvl w:ilvl="3">
      <w:start w:val="1"/>
      <w:numFmt w:val="decimal"/>
      <w:lvlText w:val="%4."/>
      <w:lvlJc w:val="left"/>
      <w:pPr>
        <w:tabs>
          <w:tab w:val="num" w:pos="0"/>
        </w:tabs>
        <w:ind w:left="3240" w:hanging="360"/>
      </w:pPr>
      <w:rPr/>
    </w:lvl>
    <w:lvl w:ilvl="4">
      <w:start w:val="1"/>
      <w:numFmt w:val="lowerLetter"/>
      <w:lvlText w:val="%5."/>
      <w:lvlJc w:val="left"/>
      <w:pPr>
        <w:tabs>
          <w:tab w:val="num" w:pos="0"/>
        </w:tabs>
        <w:ind w:left="3960" w:hanging="360"/>
      </w:pPr>
      <w:rPr/>
    </w:lvl>
    <w:lvl w:ilvl="5">
      <w:start w:val="1"/>
      <w:numFmt w:val="lowerRoman"/>
      <w:lvlText w:val="%6."/>
      <w:lvlJc w:val="right"/>
      <w:pPr>
        <w:tabs>
          <w:tab w:val="num" w:pos="0"/>
        </w:tabs>
        <w:ind w:left="4680" w:hanging="180"/>
      </w:pPr>
      <w:rPr/>
    </w:lvl>
    <w:lvl w:ilvl="6">
      <w:start w:val="1"/>
      <w:numFmt w:val="decimal"/>
      <w:lvlText w:val="%7."/>
      <w:lvlJc w:val="left"/>
      <w:pPr>
        <w:tabs>
          <w:tab w:val="num" w:pos="0"/>
        </w:tabs>
        <w:ind w:left="5400" w:hanging="360"/>
      </w:pPr>
      <w:rPr/>
    </w:lvl>
    <w:lvl w:ilvl="7">
      <w:start w:val="1"/>
      <w:numFmt w:val="lowerLetter"/>
      <w:lvlText w:val="%8."/>
      <w:lvlJc w:val="left"/>
      <w:pPr>
        <w:tabs>
          <w:tab w:val="num" w:pos="0"/>
        </w:tabs>
        <w:ind w:left="6120" w:hanging="360"/>
      </w:pPr>
      <w:rPr/>
    </w:lvl>
    <w:lvl w:ilvl="8">
      <w:start w:val="1"/>
      <w:numFmt w:val="lowerRoman"/>
      <w:lvlText w:val="%9."/>
      <w:lvlJc w:val="right"/>
      <w:pPr>
        <w:tabs>
          <w:tab w:val="num" w:pos="0"/>
        </w:tabs>
        <w:ind w:left="6840" w:hanging="180"/>
      </w:pPr>
      <w:rPr/>
    </w:lvl>
  </w:abstractNum>
  <w:abstractNum w:abstractNumId="18">
    <w:lvl w:ilvl="0">
      <w:start w:val="1"/>
      <w:numFmt w:val="decimal"/>
      <w:lvlText w:val="%1."/>
      <w:lvlJc w:val="left"/>
      <w:pPr>
        <w:tabs>
          <w:tab w:val="num" w:pos="0"/>
        </w:tabs>
        <w:ind w:left="1440" w:hanging="360"/>
      </w:pPr>
      <w:rPr/>
    </w:lvl>
    <w:lvl w:ilvl="1">
      <w:start w:val="1"/>
      <w:numFmt w:val="lowerLetter"/>
      <w:lvlText w:val="%2."/>
      <w:lvlJc w:val="left"/>
      <w:pPr>
        <w:tabs>
          <w:tab w:val="num" w:pos="0"/>
        </w:tabs>
        <w:ind w:left="2160" w:hanging="360"/>
      </w:pPr>
      <w:rPr/>
    </w:lvl>
    <w:lvl w:ilvl="2">
      <w:start w:val="1"/>
      <w:numFmt w:val="lowerRoman"/>
      <w:lvlText w:val="%3."/>
      <w:lvlJc w:val="right"/>
      <w:pPr>
        <w:tabs>
          <w:tab w:val="num" w:pos="0"/>
        </w:tabs>
        <w:ind w:left="2880" w:hanging="180"/>
      </w:pPr>
      <w:rPr/>
    </w:lvl>
    <w:lvl w:ilvl="3">
      <w:start w:val="1"/>
      <w:numFmt w:val="decimal"/>
      <w:lvlText w:val="%4."/>
      <w:lvlJc w:val="left"/>
      <w:pPr>
        <w:tabs>
          <w:tab w:val="num" w:pos="0"/>
        </w:tabs>
        <w:ind w:left="3600" w:hanging="360"/>
      </w:pPr>
      <w:rPr/>
    </w:lvl>
    <w:lvl w:ilvl="4">
      <w:start w:val="1"/>
      <w:numFmt w:val="lowerLetter"/>
      <w:lvlText w:val="%5."/>
      <w:lvlJc w:val="left"/>
      <w:pPr>
        <w:tabs>
          <w:tab w:val="num" w:pos="0"/>
        </w:tabs>
        <w:ind w:left="4320" w:hanging="360"/>
      </w:pPr>
      <w:rPr/>
    </w:lvl>
    <w:lvl w:ilvl="5">
      <w:start w:val="1"/>
      <w:numFmt w:val="lowerRoman"/>
      <w:lvlText w:val="%6."/>
      <w:lvlJc w:val="right"/>
      <w:pPr>
        <w:tabs>
          <w:tab w:val="num" w:pos="0"/>
        </w:tabs>
        <w:ind w:left="5040" w:hanging="180"/>
      </w:pPr>
      <w:rPr/>
    </w:lvl>
    <w:lvl w:ilvl="6">
      <w:start w:val="1"/>
      <w:numFmt w:val="decimal"/>
      <w:lvlText w:val="%7."/>
      <w:lvlJc w:val="left"/>
      <w:pPr>
        <w:tabs>
          <w:tab w:val="num" w:pos="0"/>
        </w:tabs>
        <w:ind w:left="5760" w:hanging="360"/>
      </w:pPr>
      <w:rPr/>
    </w:lvl>
    <w:lvl w:ilvl="7">
      <w:start w:val="1"/>
      <w:numFmt w:val="lowerLetter"/>
      <w:lvlText w:val="%8."/>
      <w:lvlJc w:val="left"/>
      <w:pPr>
        <w:tabs>
          <w:tab w:val="num" w:pos="0"/>
        </w:tabs>
        <w:ind w:left="6480" w:hanging="360"/>
      </w:pPr>
      <w:rPr/>
    </w:lvl>
    <w:lvl w:ilvl="8">
      <w:start w:val="1"/>
      <w:numFmt w:val="lowerRoman"/>
      <w:lvlText w:val="%9."/>
      <w:lvlJc w:val="right"/>
      <w:pPr>
        <w:tabs>
          <w:tab w:val="num" w:pos="0"/>
        </w:tabs>
        <w:ind w:left="7200" w:hanging="180"/>
      </w:pPr>
      <w:rPr/>
    </w:lvl>
  </w:abstractNum>
  <w:abstractNum w:abstractNumId="19">
    <w:lvl w:ilvl="0">
      <w:start w:val="2"/>
      <w:numFmt w:val="decimal"/>
      <w:lvlText w:val="%1a."/>
      <w:lvlJc w:val="left"/>
      <w:pPr>
        <w:tabs>
          <w:tab w:val="num" w:pos="0"/>
        </w:tabs>
        <w:ind w:left="1068"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0">
    <w:lvl w:ilvl="0">
      <w:start w:val="2"/>
      <w:numFmt w:val="decimal"/>
      <w:lvlText w:val="%1b."/>
      <w:lvlJc w:val="left"/>
      <w:pPr>
        <w:tabs>
          <w:tab w:val="num" w:pos="0"/>
        </w:tabs>
        <w:ind w:left="1068"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1">
    <w:lvl w:ilvl="0">
      <w:numFmt w:val="bullet"/>
      <w:lvlText w:val="-"/>
      <w:lvlJc w:val="left"/>
      <w:pPr>
        <w:tabs>
          <w:tab w:val="num" w:pos="717"/>
        </w:tabs>
        <w:ind w:left="717" w:hanging="360"/>
      </w:pPr>
      <w:rPr>
        <w:rFonts w:ascii="Times New Roman" w:hAnsi="Times New Roman" w:cs="Times New Roman" w:hint="default"/>
      </w:rPr>
    </w:lvl>
    <w:lvl w:ilvl="1">
      <w:start w:val="1"/>
      <w:numFmt w:val="bullet"/>
      <w:lvlText w:val="o"/>
      <w:lvlJc w:val="left"/>
      <w:pPr>
        <w:tabs>
          <w:tab w:val="num" w:pos="1437"/>
        </w:tabs>
        <w:ind w:left="1437" w:hanging="360"/>
      </w:pPr>
      <w:rPr>
        <w:rFonts w:ascii="Courier New" w:hAnsi="Courier New" w:cs="Courier New" w:hint="default"/>
      </w:rPr>
    </w:lvl>
    <w:lvl w:ilvl="2">
      <w:start w:val="1"/>
      <w:numFmt w:val="bullet"/>
      <w:lvlText w:val=""/>
      <w:lvlJc w:val="left"/>
      <w:pPr>
        <w:tabs>
          <w:tab w:val="num" w:pos="2157"/>
        </w:tabs>
        <w:ind w:left="2157" w:hanging="360"/>
      </w:pPr>
      <w:rPr>
        <w:rFonts w:ascii="Wingdings" w:hAnsi="Wingdings" w:cs="Wingdings" w:hint="default"/>
      </w:rPr>
    </w:lvl>
    <w:lvl w:ilvl="3">
      <w:start w:val="1"/>
      <w:numFmt w:val="bullet"/>
      <w:lvlText w:val=""/>
      <w:lvlJc w:val="left"/>
      <w:pPr>
        <w:tabs>
          <w:tab w:val="num" w:pos="2877"/>
        </w:tabs>
        <w:ind w:left="2877" w:hanging="360"/>
      </w:pPr>
      <w:rPr>
        <w:rFonts w:ascii="Symbol" w:hAnsi="Symbol" w:cs="Symbol" w:hint="default"/>
      </w:rPr>
    </w:lvl>
    <w:lvl w:ilvl="4">
      <w:start w:val="1"/>
      <w:numFmt w:val="bullet"/>
      <w:lvlText w:val="o"/>
      <w:lvlJc w:val="left"/>
      <w:pPr>
        <w:tabs>
          <w:tab w:val="num" w:pos="3597"/>
        </w:tabs>
        <w:ind w:left="3597" w:hanging="360"/>
      </w:pPr>
      <w:rPr>
        <w:rFonts w:ascii="Courier New" w:hAnsi="Courier New" w:cs="Courier New" w:hint="default"/>
      </w:rPr>
    </w:lvl>
    <w:lvl w:ilvl="5">
      <w:start w:val="1"/>
      <w:numFmt w:val="bullet"/>
      <w:lvlText w:val=""/>
      <w:lvlJc w:val="left"/>
      <w:pPr>
        <w:tabs>
          <w:tab w:val="num" w:pos="4317"/>
        </w:tabs>
        <w:ind w:left="4317" w:hanging="360"/>
      </w:pPr>
      <w:rPr>
        <w:rFonts w:ascii="Wingdings" w:hAnsi="Wingdings" w:cs="Wingdings" w:hint="default"/>
      </w:rPr>
    </w:lvl>
    <w:lvl w:ilvl="6">
      <w:start w:val="1"/>
      <w:numFmt w:val="bullet"/>
      <w:lvlText w:val=""/>
      <w:lvlJc w:val="left"/>
      <w:pPr>
        <w:tabs>
          <w:tab w:val="num" w:pos="5037"/>
        </w:tabs>
        <w:ind w:left="5037" w:hanging="360"/>
      </w:pPr>
      <w:rPr>
        <w:rFonts w:ascii="Symbol" w:hAnsi="Symbol" w:cs="Symbol" w:hint="default"/>
      </w:rPr>
    </w:lvl>
    <w:lvl w:ilvl="7">
      <w:start w:val="1"/>
      <w:numFmt w:val="bullet"/>
      <w:lvlText w:val="o"/>
      <w:lvlJc w:val="left"/>
      <w:pPr>
        <w:tabs>
          <w:tab w:val="num" w:pos="5757"/>
        </w:tabs>
        <w:ind w:left="5757" w:hanging="360"/>
      </w:pPr>
      <w:rPr>
        <w:rFonts w:ascii="Courier New" w:hAnsi="Courier New" w:cs="Courier New" w:hint="default"/>
      </w:rPr>
    </w:lvl>
    <w:lvl w:ilvl="8">
      <w:start w:val="1"/>
      <w:numFmt w:val="bullet"/>
      <w:lvlText w:val=""/>
      <w:lvlJc w:val="left"/>
      <w:pPr>
        <w:tabs>
          <w:tab w:val="num" w:pos="6477"/>
        </w:tabs>
        <w:ind w:left="6477" w:hanging="360"/>
      </w:pPr>
      <w:rPr>
        <w:rFonts w:ascii="Wingdings" w:hAnsi="Wingdings" w:cs="Wingdings" w:hint="default"/>
      </w:rPr>
    </w:lvl>
  </w:abstractNum>
  <w:abstractNum w:abstractNumId="2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bering>
</file>

<file path=word/settings.xml><?xml version="1.0" encoding="utf-8"?>
<w:settings xmlns:w="http://schemas.openxmlformats.org/wordprocessingml/2006/main">
  <w:zoom w:percent="150"/>
  <w:defaultTabStop w:val="708"/>
  <w:autoHyphenation w:val="true"/>
  <w:hyphenationZone w:val="360"/>
  <w:footnotePr>
    <w:numFmt w:val="decimal"/>
    <w:footnote w:id="0"/>
    <w:footnote w:id="1"/>
  </w:footnotePr>
  <w:compat>
    <w:compatSetting w:name="compatibilityMode" w:uri="http://schemas.microsoft.com/office/word" w:val="12"/>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Narrow" w:hAnsi="Arial Narrow" w:eastAsia="Calibri" w:cs="Times New Roman"/>
        <w:lang w:val="sk-SK" w:eastAsia="sk-SK"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85871"/>
    <w:pPr>
      <w:widowControl/>
      <w:suppressAutoHyphens w:val="true"/>
      <w:bidi w:val="0"/>
      <w:spacing w:lineRule="auto" w:line="276" w:before="0" w:after="200"/>
      <w:jc w:val="left"/>
    </w:pPr>
    <w:rPr>
      <w:rFonts w:ascii="Arial Narrow" w:hAnsi="Arial Narrow" w:eastAsia="Calibri" w:cs="Times New Roman"/>
      <w:color w:val="auto"/>
      <w:kern w:val="0"/>
      <w:sz w:val="22"/>
      <w:szCs w:val="36"/>
      <w:lang w:val="sk-SK" w:eastAsia="en-US" w:bidi="ar-SA"/>
    </w:rPr>
  </w:style>
  <w:style w:type="character" w:styleId="DefaultParagraphFont" w:default="1">
    <w:name w:val="Default Paragraph Font"/>
    <w:uiPriority w:val="1"/>
    <w:semiHidden/>
    <w:unhideWhenUsed/>
    <w:qFormat/>
    <w:rPr/>
  </w:style>
  <w:style w:type="character" w:styleId="TextpoznmkypodiarouChar" w:customStyle="1">
    <w:name w:val="Text poznámky pod čiarou Char"/>
    <w:uiPriority w:val="99"/>
    <w:semiHidden/>
    <w:qFormat/>
    <w:rsid w:val="00685871"/>
    <w:rPr>
      <w:rFonts w:ascii="Times New Roman" w:hAnsi="Times New Roman" w:eastAsia="Times New Roman" w:cs="Times New Roman"/>
      <w:sz w:val="20"/>
      <w:szCs w:val="20"/>
      <w:lang w:eastAsia="sk-SK"/>
    </w:rPr>
  </w:style>
  <w:style w:type="character" w:styleId="Znakyprepoznmkupodiarouuser">
    <w:name w:val="Znaky pre poznámku pod čiarou (user)"/>
    <w:uiPriority w:val="99"/>
    <w:semiHidden/>
    <w:qFormat/>
    <w:rsid w:val="00685871"/>
    <w:rPr>
      <w:vertAlign w:val="superscript"/>
    </w:rPr>
  </w:style>
  <w:style w:type="character" w:styleId="Znakyprepoznmkupodiarou">
    <w:name w:val="Znaky pre poznámku pod čiarou"/>
    <w:qFormat/>
    <w:rPr>
      <w:vertAlign w:val="superscript"/>
    </w:rPr>
  </w:style>
  <w:style w:type="character" w:styleId="FootnoteReference">
    <w:name w:val="footnote reference"/>
    <w:rPr>
      <w:vertAlign w:val="superscript"/>
    </w:rPr>
  </w:style>
  <w:style w:type="character" w:styleId="HlavikaChar" w:customStyle="1">
    <w:name w:val="Hlavička Char"/>
    <w:uiPriority w:val="99"/>
    <w:qFormat/>
    <w:rsid w:val="000735cd"/>
    <w:rPr>
      <w:sz w:val="22"/>
      <w:szCs w:val="36"/>
      <w:lang w:eastAsia="en-US"/>
    </w:rPr>
  </w:style>
  <w:style w:type="character" w:styleId="PtaChar" w:customStyle="1">
    <w:name w:val="Päta Char"/>
    <w:uiPriority w:val="99"/>
    <w:qFormat/>
    <w:rsid w:val="000735cd"/>
    <w:rPr>
      <w:sz w:val="22"/>
      <w:szCs w:val="36"/>
      <w:lang w:eastAsia="en-US"/>
    </w:rPr>
  </w:style>
  <w:style w:type="character" w:styleId="Znakyprekoncovpoznmkuuser">
    <w:name w:val="Znaky pre koncovú poznámku (user)"/>
    <w:qFormat/>
    <w:rPr>
      <w:vertAlign w:val="superscript"/>
    </w:rPr>
  </w:style>
  <w:style w:type="character" w:styleId="Znakyprekoncovpoznmku">
    <w:name w:val="Znaky pre koncovú poznámku"/>
    <w:qFormat/>
    <w:rPr>
      <w:vertAlign w:val="superscript"/>
    </w:rPr>
  </w:style>
  <w:style w:type="character" w:styleId="EndnoteReference">
    <w:name w:val="endnote reference"/>
    <w:rPr>
      <w:vertAlign w:val="superscript"/>
    </w:rPr>
  </w:style>
  <w:style w:type="paragraph" w:styleId="Nadpis">
    <w:name w:val="Nadpis"/>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Register">
    <w:name w:val="Register"/>
    <w:basedOn w:val="Normal"/>
    <w:qFormat/>
    <w:pPr>
      <w:suppressLineNumbers/>
    </w:pPr>
    <w:rPr>
      <w:rFonts w:cs="Arial"/>
    </w:rPr>
  </w:style>
  <w:style w:type="paragraph" w:styleId="Nadpisuser">
    <w:name w:val="Nadpis (user)"/>
    <w:basedOn w:val="Normal"/>
    <w:next w:val="BodyText"/>
    <w:qFormat/>
    <w:pPr>
      <w:keepNext w:val="true"/>
      <w:spacing w:before="240" w:after="120"/>
    </w:pPr>
    <w:rPr>
      <w:rFonts w:ascii="Liberation Sans" w:hAnsi="Liberation Sans" w:eastAsia="Microsoft YaHei" w:cs="Arial"/>
      <w:sz w:val="28"/>
      <w:szCs w:val="28"/>
    </w:rPr>
  </w:style>
  <w:style w:type="paragraph" w:styleId="ListParagraph">
    <w:name w:val="List Paragraph"/>
    <w:basedOn w:val="Normal"/>
    <w:uiPriority w:val="99"/>
    <w:qFormat/>
    <w:rsid w:val="00685871"/>
    <w:pPr>
      <w:spacing w:before="0" w:after="200"/>
      <w:ind w:hanging="0" w:left="720"/>
      <w:contextualSpacing/>
    </w:pPr>
    <w:rPr/>
  </w:style>
  <w:style w:type="paragraph" w:styleId="FootnoteText">
    <w:name w:val="footnote text"/>
    <w:basedOn w:val="Normal"/>
    <w:link w:val="TextpoznmkypodiarouChar"/>
    <w:uiPriority w:val="99"/>
    <w:semiHidden/>
    <w:rsid w:val="00685871"/>
    <w:pPr>
      <w:spacing w:lineRule="auto" w:line="240" w:before="0" w:after="0"/>
    </w:pPr>
    <w:rPr>
      <w:rFonts w:ascii="Times New Roman" w:hAnsi="Times New Roman" w:eastAsia="Times New Roman"/>
      <w:sz w:val="20"/>
      <w:szCs w:val="20"/>
      <w:lang w:eastAsia="sk-SK"/>
    </w:rPr>
  </w:style>
  <w:style w:type="paragraph" w:styleId="Hlavikaaptauser">
    <w:name w:val="Hlavička a päta (user)"/>
    <w:basedOn w:val="Normal"/>
    <w:qFormat/>
    <w:pPr/>
    <w:rPr/>
  </w:style>
  <w:style w:type="paragraph" w:styleId="Hlavikaapta">
    <w:name w:val="Hlavička a päta"/>
    <w:basedOn w:val="Normal"/>
    <w:qFormat/>
    <w:pPr/>
    <w:rPr/>
  </w:style>
  <w:style w:type="paragraph" w:styleId="Header">
    <w:name w:val="header"/>
    <w:basedOn w:val="Normal"/>
    <w:link w:val="HlavikaChar"/>
    <w:uiPriority w:val="99"/>
    <w:unhideWhenUsed/>
    <w:rsid w:val="000735cd"/>
    <w:pPr>
      <w:tabs>
        <w:tab w:val="clear" w:pos="708"/>
        <w:tab w:val="center" w:pos="4536" w:leader="none"/>
        <w:tab w:val="right" w:pos="9072" w:leader="none"/>
      </w:tabs>
    </w:pPr>
    <w:rPr/>
  </w:style>
  <w:style w:type="paragraph" w:styleId="Footer">
    <w:name w:val="footer"/>
    <w:basedOn w:val="Normal"/>
    <w:link w:val="PtaChar"/>
    <w:uiPriority w:val="99"/>
    <w:unhideWhenUsed/>
    <w:rsid w:val="000735cd"/>
    <w:pPr>
      <w:tabs>
        <w:tab w:val="clear" w:pos="708"/>
        <w:tab w:val="center" w:pos="4536" w:leader="none"/>
        <w:tab w:val="right" w:pos="9072" w:leader="none"/>
      </w:tabs>
    </w:pPr>
    <w:rPr/>
  </w:style>
  <w:style w:type="paragraph" w:styleId="TopHeader" w:customStyle="1">
    <w:name w:val="Top Header"/>
    <w:basedOn w:val="Normal"/>
    <w:qFormat/>
    <w:rsid w:val="00b625ec"/>
    <w:pPr>
      <w:spacing w:lineRule="auto" w:line="240" w:before="0" w:after="0"/>
      <w:jc w:val="center"/>
    </w:pPr>
    <w:rPr>
      <w:rFonts w:eastAsia="Times New Roman" w:cs="Arial Narrow"/>
      <w:b/>
      <w:bCs/>
      <w:szCs w:val="22"/>
    </w:rPr>
  </w:style>
  <w:style w:type="numbering" w:styleId="Bezzoznamu" w:default="1">
    <w:name w:val="Bez zoznamu"/>
    <w:uiPriority w:val="99"/>
    <w:semiHidden/>
    <w:unhideWhenUsed/>
    <w:qFormat/>
  </w:style>
  <w:style w:type="table" w:default="1" w:styleId="Normlnatabuka">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footnotes" Target="footnotes.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ív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2DE8C0-5DF7-4476-B2C1-2523B25DB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Application>LibreOffice/25.8.5.2$Windows_X86_64 LibreOffice_project/9c8b85f387cc00a89945a79c9e6239f32e450ac2</Application>
  <AppVersion>15.0000</AppVersion>
  <Pages>8</Pages>
  <Words>2375</Words>
  <Characters>14631</Characters>
  <CharactersWithSpaces>16893</CharactersWithSpaces>
  <Paragraphs>166</Paragraphs>
  <Company>MF SR</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2024-03-16T18:46:00Z</dcterms:created>
  <dc:creator>mhorvathova</dc:creator>
  <dc:description/>
  <dc:language>sk-SK</dc:language>
  <cp:lastModifiedBy/>
  <cp:lastPrinted>2026-03-21T18:29:52Z</cp:lastPrinted>
  <dcterms:modified xsi:type="dcterms:W3CDTF">2026-03-21T18:31:42Z</dcterms:modified>
  <cp:revision>6</cp:revision>
  <dc:subject/>
  <dc:title>Obsahová náplň poznámok</dc:title>
</cp:coreProperties>
</file>

<file path=docProps/custom.xml><?xml version="1.0" encoding="utf-8"?>
<Properties xmlns="http://schemas.openxmlformats.org/officeDocument/2006/custom-properties" xmlns:vt="http://schemas.openxmlformats.org/officeDocument/2006/docPropsVTypes"/>
</file>