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7451" w:rsidRDefault="0038726A">
      <w:pPr>
        <w:spacing w:before="128"/>
        <w:ind w:left="1178"/>
        <w:jc w:val="center"/>
        <w:rPr>
          <w:sz w:val="20"/>
          <w:szCs w:val="20"/>
        </w:rPr>
      </w:pPr>
      <ve:AlternateContent>
        <mc:Choice xmlns:mc="http://schemas.openxmlformats.org/markup-compatibility/2006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 Requires="wpg">
          <w:drawing>
            <wp:anchor allowOverlap="1" behindDoc="0" distB="0" distT="0" distL="0" distR="0" hidden="0" layoutInCell="1" locked="0" relativeHeight="0" simplePos="0">
              <wp:simplePos x="0" y="0"/>
              <wp:positionH relativeFrom="column">
                <wp:posOffset>63500</wp:posOffset>
              </wp:positionH>
              <wp:positionV relativeFrom="paragraph">
                <wp:posOffset>0</wp:posOffset>
              </wp:positionV>
              <wp:extent cx="1774825" cy="237276"/>
              <wp:effectExtent b="0" l="0" r="0" t="0"/>
              <wp:wrapNone/>
              <wp:docPr id="10" name=""/>
              <a:graphic>
                <a:graphicData uri="http://schemas.microsoft.com/office/word/2010/wordprocessingShape">
                  <wps:wsp>
                    <wps:cNvSpPr/>
                    <wps:cNvPr id="4" name="Shape 4"/>
                    <wps:spPr>
                      <a:xfrm>
                        <a:off x="4463350" y="3671733"/>
                        <a:ext cx="1765300" cy="216535"/>
                      </a:xfrm>
                      <a:prstGeom prst="rect">
                        <a:avLst/>
                      </a:prstGeom>
                      <a:noFill/>
                      <a:ln cap="flat" cmpd="sng" w="9525">
                        <a:solidFill>
                          <a:srgbClr val="000000"/>
                        </a:solidFill>
                        <a:prstDash val="solid"/>
                        <a:round/>
                        <a:headEnd len="sm" w="sm" type="none"/>
                        <a:tailEnd len="sm" w="sm" type="none"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98.99999618530273" w:line="240"/>
                            <w:ind w:left="64.00000095367432" w:right="0" w:firstLine="64.00000095367432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Times New Roman" w:cs="Times New Roman" w:eastAsia="Times New Roman" w:hAnsi="Times New Roman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20"/>
                              <w:vertAlign w:val="baseline"/>
                            </w:rPr>
                            <w:t xml:space="preserve">Poznámky Úč </w:t>
                          </w:r>
                          <w:r w:rsidDel="00000000" w:rsidR="00000000" w:rsidRPr="00000000">
                            <w:rPr>
                              <w:rFonts w:ascii="Times New Roman" w:cs="Times New Roman" w:eastAsia="Times New Roman" w:hAnsi="Times New Roman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20"/>
                              <w:vertAlign w:val="baseline"/>
                            </w:rPr>
                            <w:t xml:space="preserve">MUJ</w:t>
                          </w:r>
                          <w:r w:rsidDel="00000000" w:rsidR="00000000" w:rsidRPr="00000000">
                            <w:rPr>
                              <w:rFonts w:ascii="Times New Roman" w:cs="Times New Roman" w:eastAsia="Times New Roman" w:hAnsi="Times New Roman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20"/>
                              <w:vertAlign w:val="baseline"/>
                            </w:rPr>
                            <w:t xml:space="preserve"> 3 - 01</w:t>
                          </w:r>
                        </w:p>
                      </w:txbxContent>
                    </wps:txbx>
                    <wps:bodyPr anchorCtr="0" anchor="t" bIns="0" lIns="0" spcFirstLastPara="1" rIns="0" wrap="square" tIns="0">
                      <a:noAutofit/>
                    </wps:bodyPr>
                  </wps:wsp>
                </a:graphicData>
              </a:graphic>
            </wp:anchor>
          </w:drawing>
        </mc:Choice>
        <ve:Fallback>
          <w:r>
            <w:rPr>
              <w:noProof/>
            </w:rPr>
            <w:drawing>
              <wp:anchor distT="0" distB="0" distL="0" distR="0" simplePos="0" relativeHeight="251658240" behindDoc="0" locked="0" layoutInCell="1" allowOverlap="1">
                <wp:simplePos x="0" y="0"/>
                <wp:positionH relativeFrom="column">
                  <wp:posOffset>63500</wp:posOffset>
                </wp:positionH>
                <wp:positionV relativeFrom="paragraph">
                  <wp:posOffset>0</wp:posOffset>
                </wp:positionV>
                <wp:extent cx="1774825" cy="237276"/>
                <wp:effectExtent l="0" t="0" r="0" b="0"/>
                <wp:wrapNone/>
                <wp:docPr id="10" name="image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774825" cy="237276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ve:Fallback>
      </ve:AlternateContent>
    </w:p>
    <w:tbl>
      <w:tblPr>
        <w:tblStyle w:val="a"/>
        <w:tblpPr w:leftFromText="180" w:rightFromText="180" w:topFromText="180" w:bottomFromText="180" w:vertAnchor="text" w:tblpX="6885"/>
        <w:tblW w:w="2835" w:type="dxa"/>
        <w:tblInd w:w="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290"/>
        <w:gridCol w:w="290"/>
        <w:gridCol w:w="288"/>
        <w:gridCol w:w="290"/>
        <w:gridCol w:w="280"/>
        <w:gridCol w:w="280"/>
        <w:gridCol w:w="278"/>
        <w:gridCol w:w="280"/>
        <w:gridCol w:w="281"/>
        <w:gridCol w:w="278"/>
      </w:tblGrid>
      <w:tr w:rsidR="00F07451">
        <w:trPr>
          <w:cantSplit/>
          <w:trHeight w:val="330"/>
          <w:tblHeader/>
        </w:trPr>
        <w:tc>
          <w:tcPr>
            <w:tcW w:w="290" w:type="dxa"/>
          </w:tcPr>
          <w:p w:rsidR="00F07451" w:rsidRDefault="0038726A">
            <w:pPr>
              <w:spacing w:before="50"/>
              <w:ind w:left="6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90" w:type="dxa"/>
          </w:tcPr>
          <w:p w:rsidR="00F07451" w:rsidRDefault="00DC7FF4">
            <w:pPr>
              <w:spacing w:before="50"/>
              <w:ind w:left="6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8" w:type="dxa"/>
          </w:tcPr>
          <w:p w:rsidR="00F07451" w:rsidRDefault="0038726A">
            <w:pPr>
              <w:spacing w:before="50"/>
              <w:ind w:left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90" w:type="dxa"/>
          </w:tcPr>
          <w:p w:rsidR="00F07451" w:rsidRDefault="0038726A" w:rsidP="00DC7FF4">
            <w:pPr>
              <w:spacing w:before="5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DC7FF4">
              <w:rPr>
                <w:sz w:val="20"/>
                <w:szCs w:val="20"/>
              </w:rPr>
              <w:t xml:space="preserve"> 1</w:t>
            </w:r>
          </w:p>
        </w:tc>
        <w:tc>
          <w:tcPr>
            <w:tcW w:w="280" w:type="dxa"/>
          </w:tcPr>
          <w:p w:rsidR="00F07451" w:rsidRDefault="00DC7FF4" w:rsidP="0037796E">
            <w:pPr>
              <w:spacing w:before="5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37796E">
              <w:rPr>
                <w:sz w:val="20"/>
                <w:szCs w:val="20"/>
              </w:rPr>
              <w:t>2</w:t>
            </w:r>
          </w:p>
        </w:tc>
        <w:tc>
          <w:tcPr>
            <w:tcW w:w="280" w:type="dxa"/>
          </w:tcPr>
          <w:p w:rsidR="00F07451" w:rsidRDefault="00DC7FF4" w:rsidP="0037796E">
            <w:pPr>
              <w:spacing w:before="5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37796E">
              <w:rPr>
                <w:sz w:val="20"/>
                <w:szCs w:val="20"/>
              </w:rPr>
              <w:t>7</w:t>
            </w:r>
          </w:p>
        </w:tc>
        <w:tc>
          <w:tcPr>
            <w:tcW w:w="278" w:type="dxa"/>
          </w:tcPr>
          <w:p w:rsidR="00F07451" w:rsidRDefault="0037796E">
            <w:pPr>
              <w:spacing w:before="50"/>
              <w:ind w:left="9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0" w:type="dxa"/>
          </w:tcPr>
          <w:p w:rsidR="00F07451" w:rsidRDefault="0037796E" w:rsidP="00DC7FF4">
            <w:pPr>
              <w:spacing w:before="50"/>
              <w:ind w:left="94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1" w:type="dxa"/>
          </w:tcPr>
          <w:p w:rsidR="00F07451" w:rsidRDefault="0037796E">
            <w:pPr>
              <w:spacing w:before="50"/>
              <w:ind w:left="9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78" w:type="dxa"/>
          </w:tcPr>
          <w:p w:rsidR="00F07451" w:rsidRDefault="00DC7FF4">
            <w:pPr>
              <w:spacing w:before="50"/>
              <w:ind w:left="9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</w:tr>
    </w:tbl>
    <w:p w:rsidR="00F07451" w:rsidRDefault="0038726A">
      <w:pPr>
        <w:spacing w:before="128"/>
        <w:rPr>
          <w:color w:val="000000"/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DIČ       </w:t>
      </w:r>
    </w:p>
    <w:p w:rsidR="00F07451" w:rsidRDefault="00F07451">
      <w:pPr>
        <w:pBdr>
          <w:top w:val="nil"/>
          <w:left w:val="nil"/>
          <w:bottom w:val="nil"/>
          <w:right w:val="nil"/>
          <w:between w:val="nil"/>
        </w:pBdr>
        <w:spacing w:before="11"/>
        <w:rPr>
          <w:color w:val="000000"/>
          <w:sz w:val="20"/>
          <w:szCs w:val="20"/>
        </w:rPr>
      </w:pPr>
    </w:p>
    <w:p w:rsidR="00F07451" w:rsidRDefault="0038726A">
      <w:pPr>
        <w:pStyle w:val="Nzov"/>
        <w:ind w:firstLine="849"/>
      </w:pPr>
      <w:r>
        <w:t>Poznámky k účtovnej závierke zostavenej k : 31. decembru 202</w:t>
      </w:r>
      <w:r w:rsidR="00DC7FF4">
        <w:t>5</w:t>
      </w:r>
    </w:p>
    <w:p w:rsidR="00F07451" w:rsidRDefault="0038726A">
      <w:pPr>
        <w:pStyle w:val="Nadpis1"/>
        <w:numPr>
          <w:ilvl w:val="0"/>
          <w:numId w:val="1"/>
        </w:numPr>
        <w:tabs>
          <w:tab w:val="left" w:pos="1201"/>
        </w:tabs>
        <w:spacing w:before="275"/>
        <w:ind w:left="1201" w:hanging="352"/>
      </w:pPr>
      <w:r>
        <w:t>INFORMÁCIA O ÚČTOVNEJ JEDNOTKE</w:t>
      </w:r>
    </w:p>
    <w:p w:rsidR="00F07451" w:rsidRDefault="00F07451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</w:p>
    <w:p w:rsidR="00F07451" w:rsidRDefault="0038726A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9"/>
        </w:tabs>
        <w:ind w:left="1089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Založenie spoločnosti</w:t>
      </w:r>
    </w:p>
    <w:p w:rsidR="00F07451" w:rsidRDefault="0037796E">
      <w:pPr>
        <w:pBdr>
          <w:top w:val="nil"/>
          <w:left w:val="nil"/>
          <w:bottom w:val="nil"/>
          <w:right w:val="nil"/>
          <w:between w:val="nil"/>
        </w:pBdr>
        <w:ind w:left="1149"/>
        <w:rPr>
          <w:color w:val="000000"/>
          <w:sz w:val="24"/>
          <w:szCs w:val="24"/>
        </w:rPr>
      </w:pPr>
      <w:r>
        <w:rPr>
          <w:sz w:val="24"/>
          <w:szCs w:val="24"/>
        </w:rPr>
        <w:t>Pozemkové spoločenstvo Urbariát Nižné Slovinky</w:t>
      </w:r>
      <w:r w:rsidR="00DC7FF4">
        <w:rPr>
          <w:sz w:val="24"/>
          <w:szCs w:val="24"/>
        </w:rPr>
        <w:t>,  053 4</w:t>
      </w:r>
      <w:r>
        <w:rPr>
          <w:sz w:val="24"/>
          <w:szCs w:val="24"/>
        </w:rPr>
        <w:t>0 Slovinky 284</w:t>
      </w:r>
      <w:r w:rsidR="00DC7FF4">
        <w:rPr>
          <w:sz w:val="24"/>
          <w:szCs w:val="24"/>
        </w:rPr>
        <w:t>,</w:t>
      </w:r>
      <w:r w:rsidR="0038726A">
        <w:rPr>
          <w:sz w:val="24"/>
          <w:szCs w:val="24"/>
        </w:rPr>
        <w:t xml:space="preserve"> </w:t>
      </w:r>
      <w:r w:rsidR="0038726A">
        <w:rPr>
          <w:color w:val="000000"/>
          <w:sz w:val="24"/>
          <w:szCs w:val="24"/>
        </w:rPr>
        <w:t>bol</w:t>
      </w:r>
      <w:r>
        <w:rPr>
          <w:color w:val="000000"/>
          <w:sz w:val="24"/>
          <w:szCs w:val="24"/>
        </w:rPr>
        <w:t>o</w:t>
      </w:r>
      <w:r w:rsidR="0038726A">
        <w:rPr>
          <w:color w:val="000000"/>
          <w:sz w:val="24"/>
          <w:szCs w:val="24"/>
        </w:rPr>
        <w:t xml:space="preserve"> založen</w:t>
      </w:r>
      <w:r>
        <w:rPr>
          <w:color w:val="000000"/>
          <w:sz w:val="24"/>
          <w:szCs w:val="24"/>
        </w:rPr>
        <w:t>é</w:t>
      </w:r>
      <w:r w:rsidR="0038726A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v roku 199</w:t>
      </w:r>
      <w:r w:rsidR="00DC7FF4">
        <w:rPr>
          <w:color w:val="000000"/>
          <w:sz w:val="24"/>
          <w:szCs w:val="24"/>
        </w:rPr>
        <w:t>2</w:t>
      </w:r>
      <w:r w:rsidR="0038726A">
        <w:rPr>
          <w:sz w:val="24"/>
          <w:szCs w:val="24"/>
        </w:rPr>
        <w:t>.</w:t>
      </w:r>
    </w:p>
    <w:p w:rsidR="00F07451" w:rsidRDefault="00F0745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F07451" w:rsidRDefault="0038726A">
      <w:pPr>
        <w:pStyle w:val="Nadpis1"/>
        <w:numPr>
          <w:ilvl w:val="1"/>
          <w:numId w:val="1"/>
        </w:numPr>
        <w:tabs>
          <w:tab w:val="left" w:pos="1089"/>
        </w:tabs>
        <w:ind w:left="1089"/>
      </w:pPr>
      <w:r>
        <w:t>Hlavnou činnosťou Spoločnosti je:</w:t>
      </w:r>
    </w:p>
    <w:p w:rsidR="00F07451" w:rsidRDefault="00DC7FF4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227"/>
        </w:tabs>
        <w:ind w:left="1227" w:hanging="137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Lesné hospodárstvo a ostatné služby v lesníctve </w:t>
      </w:r>
    </w:p>
    <w:p w:rsidR="00F07451" w:rsidRDefault="0038726A">
      <w:pPr>
        <w:pStyle w:val="Nadpis1"/>
        <w:numPr>
          <w:ilvl w:val="1"/>
          <w:numId w:val="1"/>
        </w:numPr>
        <w:tabs>
          <w:tab w:val="left" w:pos="1089"/>
        </w:tabs>
        <w:spacing w:before="276"/>
        <w:ind w:left="1089"/>
      </w:pPr>
      <w:r>
        <w:t xml:space="preserve">Organizačná štruktúra spoločnosti </w:t>
      </w:r>
    </w:p>
    <w:p w:rsidR="00F07451" w:rsidRDefault="00DC7FF4">
      <w:pPr>
        <w:pBdr>
          <w:top w:val="nil"/>
          <w:left w:val="nil"/>
          <w:bottom w:val="nil"/>
          <w:right w:val="nil"/>
          <w:between w:val="nil"/>
        </w:pBdr>
        <w:ind w:left="1101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Predsedom spoločenstva je </w:t>
      </w:r>
      <w:r w:rsidR="0037796E">
        <w:rPr>
          <w:sz w:val="24"/>
          <w:szCs w:val="24"/>
        </w:rPr>
        <w:t>Michal Pačan</w:t>
      </w:r>
      <w:r>
        <w:rPr>
          <w:sz w:val="24"/>
          <w:szCs w:val="24"/>
        </w:rPr>
        <w:t>, 053 4</w:t>
      </w:r>
      <w:r w:rsidR="0037796E">
        <w:rPr>
          <w:sz w:val="24"/>
          <w:szCs w:val="24"/>
        </w:rPr>
        <w:t>0</w:t>
      </w:r>
      <w:r>
        <w:rPr>
          <w:sz w:val="24"/>
          <w:szCs w:val="24"/>
        </w:rPr>
        <w:t xml:space="preserve"> </w:t>
      </w:r>
      <w:r w:rsidR="0037796E">
        <w:rPr>
          <w:sz w:val="24"/>
          <w:szCs w:val="24"/>
        </w:rPr>
        <w:t xml:space="preserve"> Slovinky 217</w:t>
      </w:r>
      <w:r>
        <w:rPr>
          <w:sz w:val="24"/>
          <w:szCs w:val="24"/>
        </w:rPr>
        <w:t xml:space="preserve"> </w:t>
      </w:r>
    </w:p>
    <w:p w:rsidR="00F07451" w:rsidRDefault="0038726A">
      <w:pPr>
        <w:pStyle w:val="Nadpis1"/>
        <w:numPr>
          <w:ilvl w:val="1"/>
          <w:numId w:val="1"/>
        </w:numPr>
        <w:tabs>
          <w:tab w:val="left" w:pos="1089"/>
        </w:tabs>
        <w:spacing w:before="276"/>
        <w:ind w:left="1089"/>
      </w:pPr>
      <w:r>
        <w:t>Údaje o neobmedzenom ručení</w:t>
      </w:r>
    </w:p>
    <w:p w:rsidR="00F07451" w:rsidRDefault="0038726A">
      <w:pPr>
        <w:pBdr>
          <w:top w:val="nil"/>
          <w:left w:val="nil"/>
          <w:bottom w:val="nil"/>
          <w:right w:val="nil"/>
          <w:between w:val="nil"/>
        </w:pBdr>
        <w:ind w:left="1089" w:right="805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Spoločnosť nie je neobmedzene ručiacim spoločníkom v iných spoločnostiach podľa § 56 ods. 5 Obchodného zákonníka.</w:t>
      </w:r>
    </w:p>
    <w:p w:rsidR="00F07451" w:rsidRDefault="0038726A">
      <w:pPr>
        <w:pStyle w:val="Nadpis1"/>
        <w:numPr>
          <w:ilvl w:val="1"/>
          <w:numId w:val="1"/>
        </w:numPr>
        <w:tabs>
          <w:tab w:val="left" w:pos="1089"/>
        </w:tabs>
        <w:spacing w:before="276"/>
        <w:ind w:left="1089"/>
      </w:pPr>
      <w:r>
        <w:t>Právny dôvod na zostavenie účtovnej závierky</w:t>
      </w:r>
    </w:p>
    <w:p w:rsidR="00F07451" w:rsidRDefault="0038726A">
      <w:pPr>
        <w:pBdr>
          <w:top w:val="nil"/>
          <w:left w:val="nil"/>
          <w:bottom w:val="nil"/>
          <w:right w:val="nil"/>
          <w:between w:val="nil"/>
        </w:pBdr>
        <w:ind w:left="1089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závierka Spoločnosti k 31. decembru 202</w:t>
      </w:r>
      <w:r w:rsidR="00DC7FF4">
        <w:rPr>
          <w:color w:val="000000"/>
          <w:sz w:val="24"/>
          <w:szCs w:val="24"/>
        </w:rPr>
        <w:t>5</w:t>
      </w:r>
      <w:r>
        <w:rPr>
          <w:color w:val="000000"/>
          <w:sz w:val="24"/>
          <w:szCs w:val="24"/>
        </w:rPr>
        <w:t xml:space="preserve"> je zostavená ako riadna účtovná závierka podľa § 17 ods. 6 zákona NR SR č. 431/2002 Z. z. o účtovníctve za účtovné obdobie od 1. januára 202</w:t>
      </w:r>
      <w:r w:rsidR="00DC7FF4">
        <w:rPr>
          <w:color w:val="000000"/>
          <w:sz w:val="24"/>
          <w:szCs w:val="24"/>
        </w:rPr>
        <w:t>5</w:t>
      </w:r>
      <w:r>
        <w:rPr>
          <w:color w:val="000000"/>
          <w:sz w:val="24"/>
          <w:szCs w:val="24"/>
        </w:rPr>
        <w:t xml:space="preserve"> do 31. decembra 202</w:t>
      </w:r>
      <w:r w:rsidR="00DC7FF4">
        <w:rPr>
          <w:color w:val="000000"/>
          <w:sz w:val="24"/>
          <w:szCs w:val="24"/>
        </w:rPr>
        <w:t>5</w:t>
      </w:r>
      <w:r>
        <w:rPr>
          <w:color w:val="000000"/>
          <w:sz w:val="24"/>
          <w:szCs w:val="24"/>
        </w:rPr>
        <w:t>.</w:t>
      </w:r>
    </w:p>
    <w:p w:rsidR="00F07451" w:rsidRDefault="00F0745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F07451" w:rsidRDefault="0038726A">
      <w:pPr>
        <w:pStyle w:val="Nadpis1"/>
        <w:numPr>
          <w:ilvl w:val="1"/>
          <w:numId w:val="1"/>
        </w:numPr>
        <w:tabs>
          <w:tab w:val="left" w:pos="1089"/>
        </w:tabs>
        <w:ind w:left="1089"/>
      </w:pPr>
      <w:r>
        <w:t>Dátum schválenia účtovnej závierky za predchádzajúce účtovné obdobie</w:t>
      </w:r>
    </w:p>
    <w:p w:rsidR="00F07451" w:rsidRDefault="0038726A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227"/>
          <w:tab w:val="left" w:pos="4389"/>
        </w:tabs>
        <w:ind w:left="1227" w:hanging="13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schvaľujúci orgán</w:t>
      </w:r>
      <w:r>
        <w:rPr>
          <w:color w:val="000000"/>
          <w:sz w:val="24"/>
          <w:szCs w:val="24"/>
        </w:rPr>
        <w:tab/>
        <w:t>Valné zhromaždenie</w:t>
      </w:r>
    </w:p>
    <w:p w:rsidR="00F07451" w:rsidRDefault="0038726A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227"/>
          <w:tab w:val="left" w:pos="4449"/>
        </w:tabs>
        <w:ind w:left="1227" w:hanging="137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dátum schválenia</w:t>
      </w:r>
      <w:r>
        <w:rPr>
          <w:color w:val="000000"/>
          <w:sz w:val="24"/>
          <w:szCs w:val="24"/>
        </w:rPr>
        <w:tab/>
      </w:r>
    </w:p>
    <w:p w:rsidR="00F07451" w:rsidRDefault="00F07451">
      <w:pPr>
        <w:pBdr>
          <w:top w:val="nil"/>
          <w:left w:val="nil"/>
          <w:bottom w:val="nil"/>
          <w:right w:val="nil"/>
          <w:between w:val="nil"/>
        </w:pBdr>
        <w:ind w:right="1455"/>
        <w:rPr>
          <w:color w:val="000000"/>
          <w:sz w:val="24"/>
          <w:szCs w:val="24"/>
        </w:rPr>
      </w:pPr>
    </w:p>
    <w:p w:rsidR="00F07451" w:rsidRDefault="00F07451">
      <w:pPr>
        <w:pBdr>
          <w:top w:val="nil"/>
          <w:left w:val="nil"/>
          <w:bottom w:val="nil"/>
          <w:right w:val="nil"/>
          <w:between w:val="nil"/>
        </w:pBdr>
        <w:tabs>
          <w:tab w:val="left" w:pos="2960"/>
        </w:tabs>
        <w:ind w:right="805"/>
        <w:rPr>
          <w:color w:val="000000"/>
          <w:sz w:val="24"/>
          <w:szCs w:val="24"/>
        </w:rPr>
      </w:pPr>
    </w:p>
    <w:p w:rsidR="00F07451" w:rsidRDefault="00F0745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F07451" w:rsidRDefault="0038726A">
      <w:pPr>
        <w:pStyle w:val="Nadpis1"/>
        <w:numPr>
          <w:ilvl w:val="0"/>
          <w:numId w:val="1"/>
        </w:numPr>
        <w:tabs>
          <w:tab w:val="left" w:pos="1201"/>
        </w:tabs>
        <w:ind w:left="1201" w:hanging="352"/>
      </w:pPr>
      <w:r>
        <w:t>INFORMÁCIE O ÚČTOVNÝCH ZÁSADÁCH A ÚČTOVNÝCH METÓDACH</w:t>
      </w:r>
    </w:p>
    <w:p w:rsidR="00F07451" w:rsidRDefault="00F07451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</w:p>
    <w:p w:rsidR="00F07451" w:rsidRDefault="0038726A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449"/>
        </w:tabs>
        <w:ind w:right="24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Spoločnosť zostavila účtovnú závierku za predpokladu nepretržitého pokračovania vo svojej činnosti.</w:t>
      </w:r>
    </w:p>
    <w:p w:rsidR="00F07451" w:rsidRDefault="00F0745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F07451" w:rsidRDefault="0038726A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449"/>
        </w:tabs>
        <w:spacing w:before="1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Zmeny účtovných zásad a metód oproti predchádzajúcemu účtovnému obdobiu :</w:t>
      </w:r>
    </w:p>
    <w:p w:rsidR="00F07451" w:rsidRDefault="0038726A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587"/>
        </w:tabs>
        <w:ind w:left="1587" w:hanging="138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Spoločnosť na základe zatriedenia do veľkostných skupín spĺňa</w:t>
      </w:r>
    </w:p>
    <w:p w:rsidR="00F07451" w:rsidRDefault="0038726A">
      <w:pPr>
        <w:ind w:left="1449"/>
        <w:rPr>
          <w:sz w:val="24"/>
          <w:szCs w:val="24"/>
        </w:rPr>
        <w:sectPr w:rsidR="00F07451">
          <w:headerReference w:type="default" r:id="rId9"/>
          <w:pgSz w:w="11910" w:h="16840"/>
          <w:pgMar w:top="900" w:right="992" w:bottom="280" w:left="1275" w:header="708" w:footer="708" w:gutter="0"/>
          <w:pgNumType w:start="1"/>
          <w:cols w:space="708"/>
        </w:sectPr>
      </w:pPr>
      <w:r>
        <w:rPr>
          <w:sz w:val="24"/>
          <w:szCs w:val="24"/>
        </w:rPr>
        <w:t xml:space="preserve">podmienky pre </w:t>
      </w:r>
      <w:r>
        <w:rPr>
          <w:b/>
          <w:sz w:val="24"/>
          <w:szCs w:val="24"/>
        </w:rPr>
        <w:t>mikro účtovnú jednotku</w:t>
      </w:r>
      <w:r>
        <w:rPr>
          <w:sz w:val="24"/>
          <w:szCs w:val="24"/>
        </w:rPr>
        <w:t>, preto postupuje pri účtovaní a zostavení</w:t>
      </w:r>
    </w:p>
    <w:p w:rsidR="00F07451" w:rsidRDefault="0038726A">
      <w:pPr>
        <w:spacing w:before="128"/>
        <w:ind w:left="1178"/>
        <w:jc w:val="center"/>
        <w:rPr>
          <w:sz w:val="20"/>
          <w:szCs w:val="20"/>
        </w:rPr>
      </w:pPr>
      <ve:AlternateContent>
        <mc:Choice xmlns:mc="http://schemas.openxmlformats.org/markup-compatibility/2006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 Requires="wpg">
          <w:drawing>
            <wp:anchor allowOverlap="1" behindDoc="0" distB="0" distT="0" distL="0" distR="0" hidden="0" layoutInCell="1" locked="0" relativeHeight="0" simplePos="0">
              <wp:simplePos x="0" y="0"/>
              <wp:positionH relativeFrom="column">
                <wp:posOffset>63500</wp:posOffset>
              </wp:positionH>
              <wp:positionV relativeFrom="paragraph">
                <wp:posOffset>0</wp:posOffset>
              </wp:positionV>
              <wp:extent cx="1774825" cy="237276"/>
              <wp:effectExtent b="0" l="0" r="0" t="0"/>
              <wp:wrapNone/>
              <wp:docPr id="9" name=""/>
              <a:graphic>
                <a:graphicData uri="http://schemas.microsoft.com/office/word/2010/wordprocessingShape">
                  <wps:wsp>
                    <wps:cNvSpPr/>
                    <wps:cNvPr id="3" name="Shape 3"/>
                    <wps:spPr>
                      <a:xfrm>
                        <a:off x="4463350" y="3671733"/>
                        <a:ext cx="1765300" cy="216535"/>
                      </a:xfrm>
                      <a:prstGeom prst="rect">
                        <a:avLst/>
                      </a:prstGeom>
                      <a:noFill/>
                      <a:ln cap="flat" cmpd="sng" w="9525">
                        <a:solidFill>
                          <a:srgbClr val="000000"/>
                        </a:solidFill>
                        <a:prstDash val="solid"/>
                        <a:round/>
                        <a:headEnd len="sm" w="sm" type="none"/>
                        <a:tailEnd len="sm" w="sm" type="none"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98.99999618530273" w:line="240"/>
                            <w:ind w:left="64.00000095367432" w:right="0" w:firstLine="64.00000095367432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Times New Roman" w:cs="Times New Roman" w:eastAsia="Times New Roman" w:hAnsi="Times New Roman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20"/>
                              <w:vertAlign w:val="baseline"/>
                            </w:rPr>
                            <w:t xml:space="preserve">Poznámky Úč </w:t>
                          </w:r>
                          <w:r w:rsidDel="00000000" w:rsidR="00000000" w:rsidRPr="00000000">
                            <w:rPr>
                              <w:rFonts w:ascii="Times New Roman" w:cs="Times New Roman" w:eastAsia="Times New Roman" w:hAnsi="Times New Roman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20"/>
                              <w:vertAlign w:val="baseline"/>
                            </w:rPr>
                            <w:t xml:space="preserve">MUJ</w:t>
                          </w:r>
                          <w:r w:rsidDel="00000000" w:rsidR="00000000" w:rsidRPr="00000000">
                            <w:rPr>
                              <w:rFonts w:ascii="Times New Roman" w:cs="Times New Roman" w:eastAsia="Times New Roman" w:hAnsi="Times New Roman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20"/>
                              <w:vertAlign w:val="baseline"/>
                            </w:rPr>
                            <w:t xml:space="preserve"> 3 - 01</w:t>
                          </w:r>
                        </w:p>
                      </w:txbxContent>
                    </wps:txbx>
                    <wps:bodyPr anchorCtr="0" anchor="t" bIns="0" lIns="0" spcFirstLastPara="1" rIns="0" wrap="square" tIns="0">
                      <a:noAutofit/>
                    </wps:bodyPr>
                  </wps:wsp>
                </a:graphicData>
              </a:graphic>
            </wp:anchor>
          </w:drawing>
        </mc:Choice>
        <ve:Fallback>
          <w:r>
            <w:rPr>
              <w:noProof/>
            </w:rPr>
            <w:lastRenderedPageBreak/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column">
                  <wp:posOffset>63500</wp:posOffset>
                </wp:positionH>
                <wp:positionV relativeFrom="paragraph">
                  <wp:posOffset>0</wp:posOffset>
                </wp:positionV>
                <wp:extent cx="1774825" cy="237276"/>
                <wp:effectExtent l="0" t="0" r="0" b="0"/>
                <wp:wrapNone/>
                <wp:docPr id="9" name="image2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774825" cy="237276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ve:Fallback>
      </ve:AlternateContent>
    </w:p>
    <w:tbl>
      <w:tblPr>
        <w:tblStyle w:val="a0"/>
        <w:tblpPr w:leftFromText="180" w:rightFromText="180" w:topFromText="180" w:bottomFromText="180" w:vertAnchor="text" w:tblpX="7155"/>
        <w:tblW w:w="2835" w:type="dxa"/>
        <w:tblInd w:w="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290"/>
        <w:gridCol w:w="290"/>
        <w:gridCol w:w="288"/>
        <w:gridCol w:w="290"/>
        <w:gridCol w:w="280"/>
        <w:gridCol w:w="280"/>
        <w:gridCol w:w="278"/>
        <w:gridCol w:w="280"/>
        <w:gridCol w:w="281"/>
        <w:gridCol w:w="278"/>
      </w:tblGrid>
      <w:tr w:rsidR="00F07451">
        <w:trPr>
          <w:cantSplit/>
          <w:trHeight w:val="330"/>
          <w:tblHeader/>
        </w:trPr>
        <w:tc>
          <w:tcPr>
            <w:tcW w:w="290" w:type="dxa"/>
          </w:tcPr>
          <w:p w:rsidR="00F07451" w:rsidRDefault="0038726A">
            <w:pPr>
              <w:spacing w:before="50"/>
              <w:ind w:left="6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90" w:type="dxa"/>
          </w:tcPr>
          <w:p w:rsidR="00F07451" w:rsidRDefault="00DC7FF4">
            <w:pPr>
              <w:spacing w:before="50"/>
              <w:ind w:left="6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8" w:type="dxa"/>
          </w:tcPr>
          <w:p w:rsidR="00F07451" w:rsidRDefault="0038726A">
            <w:pPr>
              <w:spacing w:before="50"/>
              <w:ind w:left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90" w:type="dxa"/>
          </w:tcPr>
          <w:p w:rsidR="00F07451" w:rsidRDefault="0038726A" w:rsidP="00DC7FF4">
            <w:pPr>
              <w:spacing w:before="5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DC7FF4">
              <w:rPr>
                <w:sz w:val="20"/>
                <w:szCs w:val="20"/>
              </w:rPr>
              <w:t xml:space="preserve"> 1</w:t>
            </w:r>
          </w:p>
        </w:tc>
        <w:tc>
          <w:tcPr>
            <w:tcW w:w="280" w:type="dxa"/>
          </w:tcPr>
          <w:p w:rsidR="00F07451" w:rsidRDefault="0037796E">
            <w:pPr>
              <w:spacing w:before="50"/>
              <w:ind w:left="9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0" w:type="dxa"/>
          </w:tcPr>
          <w:p w:rsidR="00F07451" w:rsidRDefault="0037796E">
            <w:pPr>
              <w:spacing w:before="50"/>
              <w:ind w:left="9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78" w:type="dxa"/>
          </w:tcPr>
          <w:p w:rsidR="00F07451" w:rsidRDefault="0037796E">
            <w:pPr>
              <w:spacing w:before="50"/>
              <w:ind w:left="9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0" w:type="dxa"/>
          </w:tcPr>
          <w:p w:rsidR="00F07451" w:rsidRDefault="0037796E">
            <w:pPr>
              <w:spacing w:before="50"/>
              <w:ind w:left="94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1" w:type="dxa"/>
          </w:tcPr>
          <w:p w:rsidR="00F07451" w:rsidRDefault="0037796E">
            <w:pPr>
              <w:spacing w:before="50"/>
              <w:ind w:left="9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78" w:type="dxa"/>
          </w:tcPr>
          <w:p w:rsidR="00F07451" w:rsidRDefault="00DC7FF4">
            <w:pPr>
              <w:spacing w:before="5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7</w:t>
            </w:r>
          </w:p>
        </w:tc>
      </w:tr>
    </w:tbl>
    <w:p w:rsidR="00F07451" w:rsidRDefault="0038726A">
      <w:pPr>
        <w:spacing w:before="128"/>
        <w:ind w:left="1178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DIČ</w:t>
      </w:r>
    </w:p>
    <w:p w:rsidR="00F07451" w:rsidRDefault="00F0745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F07451" w:rsidRDefault="00F07451">
      <w:pPr>
        <w:pBdr>
          <w:top w:val="nil"/>
          <w:left w:val="nil"/>
          <w:bottom w:val="nil"/>
          <w:right w:val="nil"/>
          <w:between w:val="nil"/>
        </w:pBdr>
        <w:spacing w:before="10"/>
        <w:rPr>
          <w:color w:val="000000"/>
          <w:sz w:val="20"/>
          <w:szCs w:val="20"/>
        </w:rPr>
      </w:pPr>
    </w:p>
    <w:p w:rsidR="00F07451" w:rsidRDefault="0038726A">
      <w:pPr>
        <w:pBdr>
          <w:top w:val="nil"/>
          <w:left w:val="nil"/>
          <w:bottom w:val="nil"/>
          <w:right w:val="nil"/>
          <w:between w:val="nil"/>
        </w:pBdr>
        <w:ind w:left="1449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účtovnej závierky za účtovné obdobie ako mikro účtovná jednotka podľa Opatrenia MF SR číslo MF/15464/2013-74 v znení neskorších predpisov.</w:t>
      </w:r>
    </w:p>
    <w:p w:rsidR="00F07451" w:rsidRDefault="00F0745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F07451" w:rsidRDefault="0038726A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587"/>
        </w:tabs>
        <w:ind w:left="1587" w:hanging="138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len zmeny v súlade so zákonom a účtovnými predpismi</w:t>
      </w:r>
    </w:p>
    <w:p w:rsidR="00F07451" w:rsidRDefault="00F0745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F07451" w:rsidRDefault="0038726A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449"/>
        </w:tabs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Spôsob oceňovania jednotlivých zložiek majetku a záväzkov</w:t>
      </w:r>
    </w:p>
    <w:p w:rsidR="00F07451" w:rsidRDefault="0038726A">
      <w:pPr>
        <w:pBdr>
          <w:top w:val="nil"/>
          <w:left w:val="nil"/>
          <w:bottom w:val="nil"/>
          <w:right w:val="nil"/>
          <w:between w:val="nil"/>
        </w:pBdr>
        <w:ind w:left="155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-ku dňu uskutočnenia účtovného prípadu</w:t>
      </w:r>
    </w:p>
    <w:p w:rsidR="00F07451" w:rsidRDefault="00F0745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F07451" w:rsidRDefault="0038726A">
      <w:pPr>
        <w:pBdr>
          <w:top w:val="nil"/>
          <w:left w:val="nil"/>
          <w:bottom w:val="nil"/>
          <w:right w:val="nil"/>
          <w:between w:val="nil"/>
        </w:pBdr>
        <w:ind w:left="1555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-menovitou hodnotou- peňažné prostriedky a ceniny</w:t>
      </w:r>
    </w:p>
    <w:p w:rsidR="00F07451" w:rsidRDefault="0038726A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112"/>
        </w:tabs>
        <w:ind w:left="3112" w:hanging="138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záväzky pri ich vzniku</w:t>
      </w:r>
    </w:p>
    <w:p w:rsidR="00F07451" w:rsidRDefault="0038726A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112"/>
        </w:tabs>
        <w:ind w:left="3112" w:hanging="138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pohľadávky pri ich vzniku</w:t>
      </w:r>
    </w:p>
    <w:p w:rsidR="00F07451" w:rsidRDefault="00F07451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24"/>
          <w:szCs w:val="24"/>
        </w:rPr>
      </w:pPr>
    </w:p>
    <w:p w:rsidR="00F07451" w:rsidRDefault="0038726A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9"/>
          <w:tab w:val="left" w:pos="5097"/>
        </w:tabs>
        <w:ind w:left="1089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Majetok obstaraný v privatizácií :</w:t>
      </w:r>
      <w:r>
        <w:rPr>
          <w:color w:val="000000"/>
          <w:sz w:val="24"/>
          <w:szCs w:val="24"/>
        </w:rPr>
        <w:tab/>
        <w:t>nie je</w:t>
      </w:r>
    </w:p>
    <w:p w:rsidR="00F07451" w:rsidRDefault="00F0745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F07451" w:rsidRDefault="0038726A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9"/>
          <w:tab w:val="left" w:pos="4183"/>
        </w:tabs>
        <w:ind w:left="1089" w:right="449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Daň z príjmov za bežné účtovné obdobie : daň z príjmov splatná</w:t>
      </w:r>
      <w:r>
        <w:rPr>
          <w:sz w:val="24"/>
          <w:szCs w:val="24"/>
        </w:rPr>
        <w:t xml:space="preserve">             </w:t>
      </w:r>
      <w:r w:rsidR="0037796E">
        <w:rPr>
          <w:sz w:val="24"/>
          <w:szCs w:val="24"/>
        </w:rPr>
        <w:t>0</w:t>
      </w:r>
      <w:r>
        <w:rPr>
          <w:color w:val="000000"/>
          <w:sz w:val="24"/>
          <w:szCs w:val="24"/>
        </w:rPr>
        <w:t xml:space="preserve"> </w:t>
      </w:r>
      <w:r>
        <w:rPr>
          <w:b/>
          <w:color w:val="000000"/>
          <w:sz w:val="24"/>
          <w:szCs w:val="24"/>
        </w:rPr>
        <w:t>€</w:t>
      </w:r>
    </w:p>
    <w:p w:rsidR="00F07451" w:rsidRDefault="00F07451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</w:p>
    <w:p w:rsidR="00F07451" w:rsidRDefault="0038726A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9"/>
        </w:tabs>
        <w:ind w:left="1089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Dotácie poskytnuté na činnosť v bežnom účtovnom období</w:t>
      </w:r>
      <w:r>
        <w:rPr>
          <w:sz w:val="24"/>
          <w:szCs w:val="24"/>
        </w:rPr>
        <w:t xml:space="preserve">: </w:t>
      </w:r>
      <w:r w:rsidR="00DC7FF4">
        <w:rPr>
          <w:sz w:val="24"/>
          <w:szCs w:val="24"/>
        </w:rPr>
        <w:t xml:space="preserve">   0</w:t>
      </w:r>
      <w:r>
        <w:rPr>
          <w:sz w:val="24"/>
          <w:szCs w:val="24"/>
        </w:rPr>
        <w:t>,- €</w:t>
      </w:r>
    </w:p>
    <w:p w:rsidR="00F07451" w:rsidRDefault="0038726A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209"/>
        </w:tabs>
        <w:ind w:left="1209" w:hanging="36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Spoločnosť k 31.12.202</w:t>
      </w:r>
      <w:r w:rsidR="00DC7FF4">
        <w:rPr>
          <w:color w:val="000000"/>
          <w:sz w:val="24"/>
          <w:szCs w:val="24"/>
        </w:rPr>
        <w:t>5</w:t>
      </w:r>
      <w:r>
        <w:rPr>
          <w:color w:val="000000"/>
          <w:sz w:val="24"/>
          <w:szCs w:val="24"/>
        </w:rPr>
        <w:t xml:space="preserve"> má investičný majetok</w:t>
      </w:r>
      <w:r w:rsidR="0059784C">
        <w:rPr>
          <w:color w:val="000000"/>
          <w:sz w:val="24"/>
          <w:szCs w:val="24"/>
        </w:rPr>
        <w:t xml:space="preserve"> v celkovej hodnote 791 218,03 €</w:t>
      </w:r>
      <w:r>
        <w:rPr>
          <w:color w:val="000000"/>
          <w:sz w:val="24"/>
          <w:szCs w:val="24"/>
        </w:rPr>
        <w:t>.</w:t>
      </w:r>
    </w:p>
    <w:p w:rsidR="00F07451" w:rsidRDefault="00F0745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F07451" w:rsidRDefault="0038726A">
      <w:pPr>
        <w:pStyle w:val="Nadpis1"/>
        <w:ind w:firstLine="141"/>
      </w:pPr>
      <w:r>
        <w:t>Zásoby</w:t>
      </w:r>
    </w:p>
    <w:p w:rsidR="00F07451" w:rsidRDefault="0038726A">
      <w:pPr>
        <w:pBdr>
          <w:top w:val="nil"/>
          <w:left w:val="nil"/>
          <w:bottom w:val="nil"/>
          <w:right w:val="nil"/>
          <w:between w:val="nil"/>
        </w:pBdr>
        <w:ind w:left="141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Spoločnosť má k 31.12.202</w:t>
      </w:r>
      <w:r w:rsidR="00DC7FF4">
        <w:rPr>
          <w:color w:val="000000"/>
          <w:sz w:val="24"/>
          <w:szCs w:val="24"/>
        </w:rPr>
        <w:t>5</w:t>
      </w:r>
      <w:r>
        <w:rPr>
          <w:color w:val="000000"/>
          <w:sz w:val="24"/>
          <w:szCs w:val="24"/>
        </w:rPr>
        <w:t xml:space="preserve"> zásoby vo výške </w:t>
      </w:r>
      <w:r w:rsidR="0037796E">
        <w:rPr>
          <w:color w:val="000000"/>
          <w:sz w:val="24"/>
          <w:szCs w:val="24"/>
        </w:rPr>
        <w:t>1767,22</w:t>
      </w:r>
      <w:r>
        <w:rPr>
          <w:color w:val="000000"/>
          <w:sz w:val="24"/>
          <w:szCs w:val="24"/>
        </w:rPr>
        <w:t xml:space="preserve"> €.</w:t>
      </w:r>
    </w:p>
    <w:p w:rsidR="00F07451" w:rsidRDefault="00F0745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F07451" w:rsidRDefault="00F0745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F07451" w:rsidRDefault="0038726A">
      <w:pPr>
        <w:pStyle w:val="Nadpis1"/>
        <w:spacing w:before="1"/>
        <w:ind w:firstLine="141"/>
      </w:pPr>
      <w:r>
        <w:t>Pohľadávky</w:t>
      </w:r>
    </w:p>
    <w:p w:rsidR="00F07451" w:rsidRDefault="0038726A">
      <w:pPr>
        <w:pBdr>
          <w:top w:val="nil"/>
          <w:left w:val="nil"/>
          <w:bottom w:val="nil"/>
          <w:right w:val="nil"/>
          <w:between w:val="nil"/>
        </w:pBdr>
        <w:ind w:left="141" w:right="425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Pohľadávky pri ich vzniku sa oceňujú ich menovitou hodnotou; postúpené pohľadávky a pohľadávky nadobudnuté vkladom do základného imania sa oceňujú obstarávacou cenou, vrátane nákladov súvisiacich s obstaraním. Toto ocenenie sa znižuje o pochybné a nevymožiteľné pohľadávky.</w:t>
      </w:r>
    </w:p>
    <w:p w:rsidR="00F07451" w:rsidRDefault="0038726A">
      <w:pPr>
        <w:pBdr>
          <w:top w:val="nil"/>
          <w:left w:val="nil"/>
          <w:bottom w:val="nil"/>
          <w:right w:val="nil"/>
          <w:between w:val="nil"/>
        </w:pBdr>
        <w:ind w:left="141" w:right="429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Opravná položka sa účtuje, ak existuje predpoklad, že Spoločnosť nebude schopná zinkasovať všetky dlžné sumy v súlade s pôvodnými podmienkami fakturácie.</w:t>
      </w:r>
    </w:p>
    <w:p w:rsidR="00F07451" w:rsidRDefault="0038726A">
      <w:pPr>
        <w:pBdr>
          <w:top w:val="nil"/>
          <w:left w:val="nil"/>
          <w:bottom w:val="nil"/>
          <w:right w:val="nil"/>
          <w:between w:val="nil"/>
        </w:pBdr>
        <w:ind w:left="141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Spoločnosť stanovuje výšku opravnej položky aj na základe vekovej štruktúry pohľadávok. Spoločnosť realizuje odpis pohľadávky, ak sa pohľadávky považuje za definitívne nevymožiteľnú.</w:t>
      </w:r>
    </w:p>
    <w:p w:rsidR="00F07451" w:rsidRDefault="0038726A">
      <w:pPr>
        <w:pBdr>
          <w:top w:val="nil"/>
          <w:left w:val="nil"/>
          <w:bottom w:val="nil"/>
          <w:right w:val="nil"/>
          <w:between w:val="nil"/>
        </w:pBdr>
        <w:ind w:left="141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Spoločnosť eviduje k 31.12.202</w:t>
      </w:r>
      <w:r w:rsidR="00DC7FF4">
        <w:rPr>
          <w:color w:val="000000"/>
          <w:sz w:val="24"/>
          <w:szCs w:val="24"/>
        </w:rPr>
        <w:t>5</w:t>
      </w:r>
      <w:r>
        <w:rPr>
          <w:color w:val="000000"/>
          <w:sz w:val="24"/>
          <w:szCs w:val="24"/>
        </w:rPr>
        <w:t xml:space="preserve"> pohľadávky vo výške </w:t>
      </w:r>
      <w:r w:rsidR="0037796E">
        <w:rPr>
          <w:color w:val="000000"/>
          <w:sz w:val="24"/>
          <w:szCs w:val="24"/>
        </w:rPr>
        <w:t>5 482</w:t>
      </w:r>
      <w:r>
        <w:rPr>
          <w:sz w:val="24"/>
          <w:szCs w:val="24"/>
        </w:rPr>
        <w:t>,</w:t>
      </w:r>
      <w:r w:rsidR="0037796E">
        <w:rPr>
          <w:sz w:val="24"/>
          <w:szCs w:val="24"/>
        </w:rPr>
        <w:t>49</w:t>
      </w:r>
      <w:r>
        <w:rPr>
          <w:color w:val="000000"/>
          <w:sz w:val="24"/>
          <w:szCs w:val="24"/>
        </w:rPr>
        <w:t xml:space="preserve"> €.</w:t>
      </w:r>
    </w:p>
    <w:p w:rsidR="00F07451" w:rsidRDefault="00F0745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F07451" w:rsidRDefault="0038726A">
      <w:pPr>
        <w:pStyle w:val="Nadpis1"/>
        <w:spacing w:before="1"/>
        <w:ind w:firstLine="141"/>
        <w:jc w:val="both"/>
      </w:pPr>
      <w:r>
        <w:t>Peňažné prostriedky a ceniny</w:t>
      </w:r>
    </w:p>
    <w:p w:rsidR="00F07451" w:rsidRDefault="0038726A">
      <w:pPr>
        <w:pBdr>
          <w:top w:val="nil"/>
          <w:left w:val="nil"/>
          <w:bottom w:val="nil"/>
          <w:right w:val="nil"/>
          <w:between w:val="nil"/>
        </w:pBdr>
        <w:ind w:left="141" w:right="421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Peňažné prostriedky a ceniny sa oceňujú ich menovitou hodnotou. K 31.12.202</w:t>
      </w:r>
      <w:r w:rsidR="00DC7FF4">
        <w:rPr>
          <w:color w:val="000000"/>
          <w:sz w:val="24"/>
          <w:szCs w:val="24"/>
        </w:rPr>
        <w:t>5</w:t>
      </w:r>
      <w:r>
        <w:rPr>
          <w:color w:val="000000"/>
          <w:sz w:val="24"/>
          <w:szCs w:val="24"/>
        </w:rPr>
        <w:t xml:space="preserve"> má spoločnosť finančný majetok vo výške </w:t>
      </w:r>
      <w:r w:rsidR="0037796E">
        <w:rPr>
          <w:color w:val="000000"/>
          <w:sz w:val="24"/>
          <w:szCs w:val="24"/>
        </w:rPr>
        <w:t>116</w:t>
      </w:r>
      <w:r w:rsidR="00DC7FF4">
        <w:rPr>
          <w:color w:val="000000"/>
          <w:sz w:val="24"/>
          <w:szCs w:val="24"/>
        </w:rPr>
        <w:t xml:space="preserve"> </w:t>
      </w:r>
      <w:r w:rsidR="0037796E">
        <w:rPr>
          <w:color w:val="000000"/>
          <w:sz w:val="24"/>
          <w:szCs w:val="24"/>
        </w:rPr>
        <w:t>895</w:t>
      </w:r>
      <w:r w:rsidR="00DC7FF4">
        <w:rPr>
          <w:color w:val="000000"/>
          <w:sz w:val="24"/>
          <w:szCs w:val="24"/>
        </w:rPr>
        <w:t>,-</w:t>
      </w:r>
      <w:r>
        <w:rPr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€.</w:t>
      </w:r>
    </w:p>
    <w:p w:rsidR="00F07451" w:rsidRDefault="0038726A">
      <w:pPr>
        <w:pStyle w:val="Nadpis1"/>
        <w:spacing w:before="276"/>
        <w:ind w:firstLine="141"/>
        <w:jc w:val="both"/>
      </w:pPr>
      <w:r>
        <w:t>Náklady budúcich období a príjmy budúcich období</w:t>
      </w:r>
    </w:p>
    <w:p w:rsidR="00F07451" w:rsidRDefault="0038726A">
      <w:pPr>
        <w:pBdr>
          <w:top w:val="nil"/>
          <w:left w:val="nil"/>
          <w:bottom w:val="nil"/>
          <w:right w:val="nil"/>
          <w:between w:val="nil"/>
        </w:pBdr>
        <w:ind w:left="141" w:right="1455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časovo </w:t>
      </w:r>
      <w:r w:rsidR="00DC7FF4">
        <w:rPr>
          <w:color w:val="000000"/>
          <w:sz w:val="24"/>
          <w:szCs w:val="24"/>
        </w:rPr>
        <w:t>ne</w:t>
      </w:r>
      <w:r>
        <w:rPr>
          <w:color w:val="000000"/>
          <w:sz w:val="24"/>
          <w:szCs w:val="24"/>
        </w:rPr>
        <w:t>rozlišuje výnosy budúcich období</w:t>
      </w:r>
      <w:r>
        <w:rPr>
          <w:sz w:val="24"/>
          <w:szCs w:val="24"/>
        </w:rPr>
        <w:t>.</w:t>
      </w:r>
    </w:p>
    <w:p w:rsidR="00F07451" w:rsidRDefault="00F0745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F07451" w:rsidRDefault="0038726A">
      <w:pPr>
        <w:pStyle w:val="Nadpis1"/>
        <w:ind w:firstLine="141"/>
        <w:jc w:val="both"/>
      </w:pPr>
      <w:r>
        <w:t>Operatívny prenájom</w:t>
      </w:r>
    </w:p>
    <w:p w:rsidR="00F07451" w:rsidRDefault="0038726A">
      <w:pPr>
        <w:pBdr>
          <w:top w:val="nil"/>
          <w:left w:val="nil"/>
          <w:bottom w:val="nil"/>
          <w:right w:val="nil"/>
          <w:between w:val="nil"/>
        </w:pBdr>
        <w:ind w:left="141" w:right="431"/>
        <w:jc w:val="both"/>
        <w:rPr>
          <w:color w:val="000000"/>
          <w:sz w:val="24"/>
          <w:szCs w:val="24"/>
        </w:rPr>
        <w:sectPr w:rsidR="00F07451">
          <w:pgSz w:w="11910" w:h="16840"/>
          <w:pgMar w:top="900" w:right="992" w:bottom="280" w:left="1275" w:header="708" w:footer="708" w:gutter="0"/>
          <w:cols w:space="708"/>
        </w:sectPr>
      </w:pPr>
      <w:r>
        <w:rPr>
          <w:color w:val="000000"/>
          <w:sz w:val="24"/>
          <w:szCs w:val="24"/>
        </w:rPr>
        <w:t>Majetok prenajatý na základe operatívneho lízingu vykazuje ako svoj majetok jeho vlastník, nie nájomca. Spoločnosť nemala v r. 202</w:t>
      </w:r>
      <w:r w:rsidR="00DC7FF4">
        <w:rPr>
          <w:color w:val="000000"/>
          <w:sz w:val="24"/>
          <w:szCs w:val="24"/>
        </w:rPr>
        <w:t>5</w:t>
      </w:r>
      <w:r>
        <w:rPr>
          <w:color w:val="000000"/>
          <w:sz w:val="24"/>
          <w:szCs w:val="24"/>
        </w:rPr>
        <w:t xml:space="preserve"> prenajatý majetok.</w:t>
      </w:r>
    </w:p>
    <w:p w:rsidR="00F07451" w:rsidRDefault="0038726A">
      <w:pPr>
        <w:spacing w:before="128"/>
        <w:ind w:left="1178"/>
        <w:jc w:val="center"/>
        <w:rPr>
          <w:sz w:val="20"/>
          <w:szCs w:val="20"/>
        </w:rPr>
      </w:pPr>
      <ve:AlternateContent>
        <mc:Choice xmlns:mc="http://schemas.openxmlformats.org/markup-compatibility/2006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 Requires="wpg">
          <w:drawing>
            <wp:anchor allowOverlap="1" behindDoc="0" distB="0" distT="0" distL="0" distR="0" hidden="0" layoutInCell="1" locked="0" relativeHeight="0" simplePos="0">
              <wp:simplePos x="0" y="0"/>
              <wp:positionH relativeFrom="column">
                <wp:posOffset>63500</wp:posOffset>
              </wp:positionH>
              <wp:positionV relativeFrom="paragraph">
                <wp:posOffset>0</wp:posOffset>
              </wp:positionV>
              <wp:extent cx="1774825" cy="237276"/>
              <wp:effectExtent b="0" l="0" r="0" t="0"/>
              <wp:wrapNone/>
              <wp:docPr id="11" name=""/>
              <a:graphic>
                <a:graphicData uri="http://schemas.microsoft.com/office/word/2010/wordprocessingShape">
                  <wps:wsp>
                    <wps:cNvSpPr/>
                    <wps:cNvPr id="5" name="Shape 5"/>
                    <wps:spPr>
                      <a:xfrm>
                        <a:off x="4463350" y="3671733"/>
                        <a:ext cx="1765300" cy="216535"/>
                      </a:xfrm>
                      <a:prstGeom prst="rect">
                        <a:avLst/>
                      </a:prstGeom>
                      <a:noFill/>
                      <a:ln cap="flat" cmpd="sng" w="9525">
                        <a:solidFill>
                          <a:srgbClr val="000000"/>
                        </a:solidFill>
                        <a:prstDash val="solid"/>
                        <a:round/>
                        <a:headEnd len="sm" w="sm" type="none"/>
                        <a:tailEnd len="sm" w="sm" type="none"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98.99999618530273" w:line="240"/>
                            <w:ind w:left="64.00000095367432" w:right="0" w:firstLine="64.00000095367432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Times New Roman" w:cs="Times New Roman" w:eastAsia="Times New Roman" w:hAnsi="Times New Roman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20"/>
                              <w:vertAlign w:val="baseline"/>
                            </w:rPr>
                            <w:t xml:space="preserve">Poznámky Úč </w:t>
                          </w:r>
                          <w:r w:rsidDel="00000000" w:rsidR="00000000" w:rsidRPr="00000000">
                            <w:rPr>
                              <w:rFonts w:ascii="Times New Roman" w:cs="Times New Roman" w:eastAsia="Times New Roman" w:hAnsi="Times New Roman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20"/>
                              <w:vertAlign w:val="baseline"/>
                            </w:rPr>
                            <w:t xml:space="preserve">MUJ</w:t>
                          </w:r>
                          <w:r w:rsidDel="00000000" w:rsidR="00000000" w:rsidRPr="00000000">
                            <w:rPr>
                              <w:rFonts w:ascii="Times New Roman" w:cs="Times New Roman" w:eastAsia="Times New Roman" w:hAnsi="Times New Roman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20"/>
                              <w:vertAlign w:val="baseline"/>
                            </w:rPr>
                            <w:t xml:space="preserve"> 3 - 01</w:t>
                          </w:r>
                        </w:p>
                      </w:txbxContent>
                    </wps:txbx>
                    <wps:bodyPr anchorCtr="0" anchor="t" bIns="0" lIns="0" spcFirstLastPara="1" rIns="0" wrap="square" tIns="0">
                      <a:noAutofit/>
                    </wps:bodyPr>
                  </wps:wsp>
                </a:graphicData>
              </a:graphic>
            </wp:anchor>
          </w:drawing>
        </mc:Choice>
        <ve:Fallback>
          <w:r>
            <w:rPr>
              <w:noProof/>
            </w:rPr>
            <w:lastRenderedPageBreak/>
            <w:drawing>
              <wp:anchor distT="0" distB="0" distL="0" distR="0" simplePos="0" relativeHeight="251660288" behindDoc="0" locked="0" layoutInCell="1" allowOverlap="1">
                <wp:simplePos x="0" y="0"/>
                <wp:positionH relativeFrom="column">
                  <wp:posOffset>63500</wp:posOffset>
                </wp:positionH>
                <wp:positionV relativeFrom="paragraph">
                  <wp:posOffset>0</wp:posOffset>
                </wp:positionV>
                <wp:extent cx="1774825" cy="237276"/>
                <wp:effectExtent l="0" t="0" r="0" b="0"/>
                <wp:wrapNone/>
                <wp:docPr id="11" name="image4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4.png"/>
                        <pic:cNvPicPr preferRelativeResize="0"/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774825" cy="237276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ve:Fallback>
      </ve:AlternateContent>
    </w:p>
    <w:tbl>
      <w:tblPr>
        <w:tblStyle w:val="a1"/>
        <w:tblpPr w:leftFromText="180" w:rightFromText="180" w:topFromText="180" w:bottomFromText="180" w:vertAnchor="text" w:tblpX="7350"/>
        <w:tblW w:w="2835" w:type="dxa"/>
        <w:tblInd w:w="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290"/>
        <w:gridCol w:w="290"/>
        <w:gridCol w:w="288"/>
        <w:gridCol w:w="290"/>
        <w:gridCol w:w="280"/>
        <w:gridCol w:w="280"/>
        <w:gridCol w:w="278"/>
        <w:gridCol w:w="280"/>
        <w:gridCol w:w="281"/>
        <w:gridCol w:w="278"/>
      </w:tblGrid>
      <w:tr w:rsidR="00F07451">
        <w:trPr>
          <w:cantSplit/>
          <w:trHeight w:val="330"/>
          <w:tblHeader/>
        </w:trPr>
        <w:tc>
          <w:tcPr>
            <w:tcW w:w="290" w:type="dxa"/>
          </w:tcPr>
          <w:p w:rsidR="00F07451" w:rsidRDefault="0038726A">
            <w:pPr>
              <w:spacing w:before="50"/>
              <w:ind w:left="6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90" w:type="dxa"/>
          </w:tcPr>
          <w:p w:rsidR="00F07451" w:rsidRDefault="0038726A" w:rsidP="00DC7FF4">
            <w:pPr>
              <w:spacing w:before="5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DC7FF4">
              <w:rPr>
                <w:sz w:val="20"/>
                <w:szCs w:val="20"/>
              </w:rPr>
              <w:t xml:space="preserve"> 0</w:t>
            </w:r>
          </w:p>
        </w:tc>
        <w:tc>
          <w:tcPr>
            <w:tcW w:w="288" w:type="dxa"/>
          </w:tcPr>
          <w:p w:rsidR="00F07451" w:rsidRDefault="0038726A">
            <w:pPr>
              <w:spacing w:before="50"/>
              <w:ind w:left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90" w:type="dxa"/>
          </w:tcPr>
          <w:p w:rsidR="00F07451" w:rsidRDefault="00DC7FF4">
            <w:pPr>
              <w:spacing w:before="50"/>
              <w:ind w:left="12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0" w:type="dxa"/>
          </w:tcPr>
          <w:p w:rsidR="00F07451" w:rsidRDefault="00BD0F39">
            <w:pPr>
              <w:spacing w:before="50"/>
              <w:ind w:left="9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0" w:type="dxa"/>
          </w:tcPr>
          <w:p w:rsidR="00F07451" w:rsidRDefault="00BD0F39" w:rsidP="00BD0F39">
            <w:pPr>
              <w:spacing w:before="50"/>
              <w:ind w:left="9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78" w:type="dxa"/>
          </w:tcPr>
          <w:p w:rsidR="00F07451" w:rsidRDefault="00BD0F39">
            <w:pPr>
              <w:spacing w:before="50"/>
              <w:ind w:left="9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0" w:type="dxa"/>
          </w:tcPr>
          <w:p w:rsidR="00F07451" w:rsidRDefault="00BD0F39">
            <w:pPr>
              <w:spacing w:before="50"/>
              <w:ind w:left="94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1" w:type="dxa"/>
          </w:tcPr>
          <w:p w:rsidR="00F07451" w:rsidRDefault="00BD0F39">
            <w:pPr>
              <w:spacing w:before="50"/>
              <w:ind w:left="9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78" w:type="dxa"/>
          </w:tcPr>
          <w:p w:rsidR="00F07451" w:rsidRDefault="00DC7FF4">
            <w:pPr>
              <w:spacing w:before="50"/>
              <w:ind w:left="9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</w:tr>
    </w:tbl>
    <w:p w:rsidR="00F07451" w:rsidRDefault="0038726A">
      <w:pPr>
        <w:spacing w:before="128"/>
        <w:ind w:left="1178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DIČ</w:t>
      </w:r>
    </w:p>
    <w:p w:rsidR="00F07451" w:rsidRDefault="00F0745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F07451" w:rsidRDefault="00F07451">
      <w:pPr>
        <w:pBdr>
          <w:top w:val="nil"/>
          <w:left w:val="nil"/>
          <w:bottom w:val="nil"/>
          <w:right w:val="nil"/>
          <w:between w:val="nil"/>
        </w:pBdr>
        <w:spacing w:before="10"/>
        <w:rPr>
          <w:color w:val="000000"/>
          <w:sz w:val="20"/>
          <w:szCs w:val="20"/>
        </w:rPr>
      </w:pPr>
    </w:p>
    <w:p w:rsidR="00F07451" w:rsidRDefault="00F07451">
      <w:pPr>
        <w:pBdr>
          <w:top w:val="nil"/>
          <w:left w:val="nil"/>
          <w:bottom w:val="nil"/>
          <w:right w:val="nil"/>
          <w:between w:val="nil"/>
        </w:pBdr>
        <w:ind w:left="141" w:right="424"/>
        <w:jc w:val="both"/>
        <w:rPr>
          <w:color w:val="000000"/>
          <w:sz w:val="24"/>
          <w:szCs w:val="24"/>
        </w:rPr>
      </w:pPr>
    </w:p>
    <w:p w:rsidR="00F07451" w:rsidRDefault="0038726A">
      <w:pPr>
        <w:pStyle w:val="Nadpis1"/>
        <w:ind w:left="0"/>
      </w:pPr>
      <w:r>
        <w:t xml:space="preserve">  Záväzky</w:t>
      </w:r>
    </w:p>
    <w:p w:rsidR="00F07451" w:rsidRDefault="0038726A" w:rsidP="00BD0F39">
      <w:pPr>
        <w:pBdr>
          <w:top w:val="nil"/>
          <w:left w:val="nil"/>
          <w:bottom w:val="nil"/>
          <w:right w:val="nil"/>
          <w:between w:val="nil"/>
        </w:pBdr>
        <w:ind w:left="141" w:right="42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Spoločnosť k 31.12.202</w:t>
      </w:r>
      <w:r w:rsidR="00DC7FF4">
        <w:rPr>
          <w:color w:val="000000"/>
          <w:sz w:val="24"/>
          <w:szCs w:val="24"/>
        </w:rPr>
        <w:t>5</w:t>
      </w:r>
      <w:r>
        <w:rPr>
          <w:color w:val="000000"/>
          <w:sz w:val="24"/>
          <w:szCs w:val="24"/>
        </w:rPr>
        <w:t xml:space="preserve"> eviduje záväzky vo výške</w:t>
      </w:r>
      <w:r>
        <w:rPr>
          <w:sz w:val="24"/>
          <w:szCs w:val="24"/>
        </w:rPr>
        <w:t xml:space="preserve"> </w:t>
      </w:r>
      <w:r w:rsidR="0037796E">
        <w:rPr>
          <w:sz w:val="24"/>
          <w:szCs w:val="24"/>
        </w:rPr>
        <w:t>8 748</w:t>
      </w:r>
      <w:r>
        <w:rPr>
          <w:sz w:val="24"/>
          <w:szCs w:val="24"/>
        </w:rPr>
        <w:t>,</w:t>
      </w:r>
      <w:r w:rsidR="00BD0F39">
        <w:rPr>
          <w:sz w:val="24"/>
          <w:szCs w:val="24"/>
        </w:rPr>
        <w:t>57</w:t>
      </w:r>
      <w:r>
        <w:rPr>
          <w:color w:val="000000"/>
          <w:sz w:val="24"/>
          <w:szCs w:val="24"/>
        </w:rPr>
        <w:t xml:space="preserve"> €</w:t>
      </w:r>
      <w:r w:rsidR="00DC7FF4">
        <w:rPr>
          <w:color w:val="000000"/>
          <w:sz w:val="24"/>
          <w:szCs w:val="24"/>
        </w:rPr>
        <w:t xml:space="preserve">, čo </w:t>
      </w:r>
      <w:r w:rsidR="00BD0F39">
        <w:rPr>
          <w:color w:val="000000"/>
          <w:sz w:val="24"/>
          <w:szCs w:val="24"/>
        </w:rPr>
        <w:t>sú hlavne záväzky voči dodávateľom, voči orgánom sociálneho zabezp</w:t>
      </w:r>
      <w:r w:rsidR="00DC7FF4">
        <w:rPr>
          <w:color w:val="000000"/>
          <w:sz w:val="24"/>
          <w:szCs w:val="24"/>
        </w:rPr>
        <w:t>e</w:t>
      </w:r>
      <w:r w:rsidR="00BD0F39">
        <w:rPr>
          <w:color w:val="000000"/>
          <w:sz w:val="24"/>
          <w:szCs w:val="24"/>
        </w:rPr>
        <w:t>čenia a zdravotného poistenia, daň zo závislej činnosti a daň z pridanej hodnoty.</w:t>
      </w:r>
    </w:p>
    <w:p w:rsidR="00BD0F39" w:rsidRDefault="00BD0F39" w:rsidP="00BD0F39">
      <w:pPr>
        <w:pBdr>
          <w:top w:val="nil"/>
          <w:left w:val="nil"/>
          <w:bottom w:val="nil"/>
          <w:right w:val="nil"/>
          <w:between w:val="nil"/>
        </w:pBdr>
        <w:ind w:left="141" w:right="422"/>
        <w:jc w:val="both"/>
        <w:rPr>
          <w:color w:val="000000"/>
          <w:sz w:val="24"/>
          <w:szCs w:val="24"/>
        </w:rPr>
      </w:pPr>
    </w:p>
    <w:p w:rsidR="00F07451" w:rsidRDefault="0038726A">
      <w:pPr>
        <w:pStyle w:val="Nadpis1"/>
        <w:ind w:firstLine="141"/>
      </w:pPr>
      <w:r>
        <w:t>Rezervy</w:t>
      </w:r>
    </w:p>
    <w:p w:rsidR="00F07451" w:rsidRDefault="0038726A">
      <w:pPr>
        <w:pBdr>
          <w:top w:val="nil"/>
          <w:left w:val="nil"/>
          <w:bottom w:val="nil"/>
          <w:right w:val="nil"/>
          <w:between w:val="nil"/>
        </w:pBdr>
        <w:ind w:left="141" w:right="396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Rezervy sú  záväzky  s neurčitým  časovým  vymedzením  alebo  výškou.  Oceňujú  sa v očakávanej výške záväzku.</w:t>
      </w:r>
    </w:p>
    <w:p w:rsidR="0059784C" w:rsidRDefault="0059784C">
      <w:pPr>
        <w:pBdr>
          <w:top w:val="nil"/>
          <w:left w:val="nil"/>
          <w:bottom w:val="nil"/>
          <w:right w:val="nil"/>
          <w:between w:val="nil"/>
        </w:pBdr>
        <w:ind w:left="141" w:right="396"/>
        <w:rPr>
          <w:color w:val="000000"/>
          <w:sz w:val="24"/>
          <w:szCs w:val="24"/>
        </w:rPr>
      </w:pPr>
    </w:p>
    <w:p w:rsidR="00F07451" w:rsidRDefault="0038726A">
      <w:pPr>
        <w:pBdr>
          <w:top w:val="nil"/>
          <w:left w:val="nil"/>
          <w:bottom w:val="nil"/>
          <w:right w:val="nil"/>
          <w:between w:val="nil"/>
        </w:pBdr>
        <w:ind w:left="141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Spoločnosť netvorila v r. 202</w:t>
      </w:r>
      <w:r w:rsidR="00236514">
        <w:rPr>
          <w:color w:val="000000"/>
          <w:sz w:val="24"/>
          <w:szCs w:val="24"/>
        </w:rPr>
        <w:t>5</w:t>
      </w:r>
      <w:r>
        <w:rPr>
          <w:sz w:val="24"/>
          <w:szCs w:val="24"/>
        </w:rPr>
        <w:t xml:space="preserve"> žiadnu</w:t>
      </w:r>
      <w:r>
        <w:rPr>
          <w:color w:val="000000"/>
          <w:sz w:val="24"/>
          <w:szCs w:val="24"/>
        </w:rPr>
        <w:t xml:space="preserve"> rezervu</w:t>
      </w:r>
      <w:r>
        <w:rPr>
          <w:sz w:val="24"/>
          <w:szCs w:val="24"/>
        </w:rPr>
        <w:t>.</w:t>
      </w:r>
    </w:p>
    <w:p w:rsidR="00F07451" w:rsidRDefault="00F0745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F07451" w:rsidRDefault="0038726A">
      <w:pPr>
        <w:pStyle w:val="Nadpis1"/>
        <w:spacing w:before="1"/>
        <w:ind w:firstLine="141"/>
      </w:pPr>
      <w:r>
        <w:t>Výnosy</w:t>
      </w:r>
    </w:p>
    <w:p w:rsidR="00F07451" w:rsidRDefault="0038726A">
      <w:pPr>
        <w:pBdr>
          <w:top w:val="nil"/>
          <w:left w:val="nil"/>
          <w:bottom w:val="nil"/>
          <w:right w:val="nil"/>
          <w:between w:val="nil"/>
        </w:pBdr>
        <w:ind w:left="141"/>
        <w:rPr>
          <w:color w:val="000000"/>
          <w:sz w:val="24"/>
          <w:szCs w:val="24"/>
        </w:rPr>
      </w:pPr>
      <w:r>
        <w:rPr>
          <w:sz w:val="24"/>
          <w:szCs w:val="24"/>
        </w:rPr>
        <w:t>Výnosy</w:t>
      </w:r>
      <w:r>
        <w:rPr>
          <w:color w:val="000000"/>
          <w:sz w:val="24"/>
          <w:szCs w:val="24"/>
        </w:rPr>
        <w:t xml:space="preserve"> sú tvorené </w:t>
      </w:r>
      <w:r w:rsidR="00BD0F39">
        <w:rPr>
          <w:color w:val="000000"/>
          <w:sz w:val="24"/>
          <w:szCs w:val="24"/>
        </w:rPr>
        <w:t xml:space="preserve">tržbami za predaj ihličnatých výrezov a paliva a </w:t>
      </w:r>
      <w:r w:rsidR="00236514">
        <w:rPr>
          <w:color w:val="000000"/>
          <w:sz w:val="24"/>
          <w:szCs w:val="24"/>
        </w:rPr>
        <w:t>úhradou nájmu za užívanie poľovného revíru</w:t>
      </w:r>
      <w:r w:rsidR="00BD0F39">
        <w:rPr>
          <w:color w:val="000000"/>
          <w:sz w:val="24"/>
          <w:szCs w:val="24"/>
        </w:rPr>
        <w:t xml:space="preserve"> a ostatných pozemkov v prenájme</w:t>
      </w:r>
      <w:r>
        <w:rPr>
          <w:sz w:val="24"/>
          <w:szCs w:val="24"/>
        </w:rPr>
        <w:t xml:space="preserve">. </w:t>
      </w:r>
    </w:p>
    <w:p w:rsidR="00F07451" w:rsidRDefault="00F0745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F07451" w:rsidRDefault="0038726A">
      <w:pPr>
        <w:pStyle w:val="Nadpis1"/>
        <w:ind w:firstLine="141"/>
      </w:pPr>
      <w:r>
        <w:t>Informácie o dotáciách a ich oceňovanie v účtovníctve</w:t>
      </w:r>
    </w:p>
    <w:p w:rsidR="00F07451" w:rsidRDefault="00F07451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</w:p>
    <w:p w:rsidR="00F07451" w:rsidRDefault="0038726A">
      <w:pPr>
        <w:pBdr>
          <w:top w:val="nil"/>
          <w:left w:val="nil"/>
          <w:bottom w:val="nil"/>
          <w:right w:val="nil"/>
          <w:between w:val="nil"/>
        </w:pBdr>
        <w:spacing w:line="480" w:lineRule="auto"/>
        <w:ind w:left="141" w:right="1455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Spoločnosť v roku 202</w:t>
      </w:r>
      <w:r w:rsidR="00236514">
        <w:rPr>
          <w:color w:val="000000"/>
          <w:sz w:val="24"/>
          <w:szCs w:val="24"/>
        </w:rPr>
        <w:t>5</w:t>
      </w:r>
      <w:r>
        <w:rPr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nezistila nesprávne účtovanie nákladov a výnosov.. Spoločnosť nemá poskytnutú bezúročnú pôžičku.</w:t>
      </w:r>
    </w:p>
    <w:p w:rsidR="00F07451" w:rsidRDefault="0038726A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95"/>
        </w:tabs>
        <w:ind w:left="495" w:hanging="3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Iné významné informácie týkajúce sa účtovnej jednotky spoločnosť nemá.</w:t>
      </w:r>
    </w:p>
    <w:p w:rsidR="00F07451" w:rsidRDefault="00F0745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F07451" w:rsidRDefault="00F0745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F07451" w:rsidRDefault="00F0745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F07451" w:rsidRDefault="00F0745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F07451" w:rsidRDefault="0038726A">
      <w:pPr>
        <w:pBdr>
          <w:top w:val="nil"/>
          <w:left w:val="nil"/>
          <w:bottom w:val="nil"/>
          <w:right w:val="nil"/>
          <w:between w:val="nil"/>
        </w:pBdr>
        <w:spacing w:before="101"/>
        <w:rPr>
          <w:color w:val="000000"/>
          <w:sz w:val="20"/>
          <w:szCs w:val="20"/>
        </w:rPr>
      </w:pPr>
      <ve:AlternateContent>
        <mc:Choice xmlns:mc="http://schemas.openxmlformats.org/markup-compatibility/2006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 Requires="wps">
          <w:drawing>
            <wp:anchor allowOverlap="1" behindDoc="0" distB="0" distT="0" distL="0" distR="0" hidden="0" layoutInCell="1" locked="0" relativeHeight="0" simplePos="0">
              <wp:simplePos x="0" y="0"/>
              <wp:positionH relativeFrom="column">
                <wp:posOffset>3683000</wp:posOffset>
              </wp:positionH>
              <wp:positionV relativeFrom="paragraph">
                <wp:posOffset>215900</wp:posOffset>
              </wp:positionV>
              <wp:extent cx="1270" cy="12700"/>
              <wp:effectExtent b="0" l="0" r="0" t="0"/>
              <wp:wrapTopAndBottom distB="0" distT="0"/>
              <wp:docPr id="8" name=""/>
              <a:graphic>
                <a:graphicData uri="http://schemas.microsoft.com/office/word/2010/wordprocessingShape">
                  <wps:wsp>
                    <wps:cNvSpPr/>
                    <wps:cNvPr id="2" name="Shape 2"/>
                    <wps:spPr>
                      <a:xfrm>
                        <a:off x="4433188" y="3779365"/>
                        <a:ext cx="1825625" cy="1270"/>
                      </a:xfrm>
                      <a:custGeom>
                        <a:rect b="b" l="l" r="r" t="t"/>
                        <a:pathLst>
                          <a:path extrusionOk="0" h="120000" w="1825625">
                            <a:moveTo>
                              <a:pt x="0" y="0"/>
                            </a:moveTo>
                            <a:lnTo>
                              <a:pt x="1825185" y="0"/>
                            </a:lnTo>
                          </a:path>
                        </a:pathLst>
                      </a:custGeom>
                      <a:noFill/>
                      <a:ln cap="flat" cmpd="sng" w="11225">
                        <a:solidFill>
                          <a:srgbClr val="000000"/>
                        </a:solidFill>
                        <a:prstDash val="dash"/>
                        <a:round/>
                        <a:headEnd len="sm" w="sm" type="none"/>
                        <a:tailEnd len="sm" w="sm" type="none"/>
                      </a:ln>
                    </wps:spPr>
                    <wps:bodyPr anchorCtr="0" anchor="ctr" bIns="91425" lIns="91425" spcFirstLastPara="1" rIns="91425" wrap="square" tIns="91425">
                      <a:noAutofit/>
                    </wps:bodyPr>
                  </wps:wsp>
                </a:graphicData>
              </a:graphic>
            </wp:anchor>
          </w:drawing>
        </mc:Choice>
        <ve:Fallback>
          <w:r>
            <w:rPr>
              <w:noProof/>
            </w:rPr>
            <w:drawing>
              <wp:anchor distT="0" distB="0" distL="0" distR="0" simplePos="0" relativeHeight="251661312" behindDoc="0" locked="0" layoutInCell="1" allowOverlap="1">
                <wp:simplePos x="0" y="0"/>
                <wp:positionH relativeFrom="column">
                  <wp:posOffset>3683000</wp:posOffset>
                </wp:positionH>
                <wp:positionV relativeFrom="paragraph">
                  <wp:posOffset>215900</wp:posOffset>
                </wp:positionV>
                <wp:extent cx="1270" cy="12700"/>
                <wp:effectExtent l="0" t="0" r="0" b="0"/>
                <wp:wrapTopAndBottom distT="0" distB="0"/>
                <wp:docPr id="8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" cy="1270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ve:Fallback>
      </ve:AlternateContent>
    </w:p>
    <w:sectPr w:rsidR="00F07451" w:rsidSect="00F07451">
      <w:pgSz w:w="11910" w:h="16840"/>
      <w:pgMar w:top="900" w:right="992" w:bottom="280" w:left="1275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C6031" w:rsidRDefault="002C6031" w:rsidP="00F07451">
      <w:r>
        <w:separator/>
      </w:r>
    </w:p>
  </w:endnote>
  <w:endnote w:type="continuationSeparator" w:id="1">
    <w:p w:rsidR="002C6031" w:rsidRDefault="002C6031" w:rsidP="00F0745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C6031" w:rsidRDefault="002C6031" w:rsidP="00F07451">
      <w:r>
        <w:separator/>
      </w:r>
    </w:p>
  </w:footnote>
  <w:footnote w:type="continuationSeparator" w:id="1">
    <w:p w:rsidR="002C6031" w:rsidRDefault="002C6031" w:rsidP="00F0745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7451" w:rsidRDefault="00F07451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06C3448"/>
    <w:multiLevelType w:val="multilevel"/>
    <w:tmpl w:val="ACE2CA0E"/>
    <w:lvl w:ilvl="0">
      <w:start w:val="1"/>
      <w:numFmt w:val="upperLetter"/>
      <w:lvlText w:val="%1."/>
      <w:lvlJc w:val="left"/>
      <w:pPr>
        <w:ind w:left="1202" w:hanging="353"/>
      </w:pPr>
      <w:rPr>
        <w:rFonts w:ascii="Times New Roman" w:eastAsia="Times New Roman" w:hAnsi="Times New Roman" w:cs="Times New Roman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ind w:left="1449" w:hanging="240"/>
      </w:pPr>
    </w:lvl>
    <w:lvl w:ilvl="2">
      <w:numFmt w:val="bullet"/>
      <w:lvlText w:val="-"/>
      <w:lvlJc w:val="left"/>
      <w:pPr>
        <w:ind w:left="1228" w:hanging="240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3">
      <w:numFmt w:val="bullet"/>
      <w:lvlText w:val="•"/>
      <w:lvlJc w:val="left"/>
      <w:pPr>
        <w:ind w:left="1440" w:hanging="240"/>
      </w:pPr>
    </w:lvl>
    <w:lvl w:ilvl="4">
      <w:numFmt w:val="bullet"/>
      <w:lvlText w:val="•"/>
      <w:lvlJc w:val="left"/>
      <w:pPr>
        <w:ind w:left="1580" w:hanging="240"/>
      </w:pPr>
    </w:lvl>
    <w:lvl w:ilvl="5">
      <w:numFmt w:val="bullet"/>
      <w:lvlText w:val="•"/>
      <w:lvlJc w:val="left"/>
      <w:pPr>
        <w:ind w:left="3120" w:hanging="240"/>
      </w:pPr>
    </w:lvl>
    <w:lvl w:ilvl="6">
      <w:numFmt w:val="bullet"/>
      <w:lvlText w:val="•"/>
      <w:lvlJc w:val="left"/>
      <w:pPr>
        <w:ind w:left="4423" w:hanging="240"/>
      </w:pPr>
    </w:lvl>
    <w:lvl w:ilvl="7">
      <w:numFmt w:val="bullet"/>
      <w:lvlText w:val="•"/>
      <w:lvlJc w:val="left"/>
      <w:pPr>
        <w:ind w:left="5727" w:hanging="240"/>
      </w:pPr>
    </w:lvl>
    <w:lvl w:ilvl="8">
      <w:numFmt w:val="bullet"/>
      <w:lvlText w:val="•"/>
      <w:lvlJc w:val="left"/>
      <w:pPr>
        <w:ind w:left="7031" w:hanging="24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07451"/>
    <w:rsid w:val="00236514"/>
    <w:rsid w:val="002C6031"/>
    <w:rsid w:val="0037796E"/>
    <w:rsid w:val="0038726A"/>
    <w:rsid w:val="00456D32"/>
    <w:rsid w:val="0059784C"/>
    <w:rsid w:val="00632FA0"/>
    <w:rsid w:val="00636772"/>
    <w:rsid w:val="00A71B21"/>
    <w:rsid w:val="00B07151"/>
    <w:rsid w:val="00BD0F39"/>
    <w:rsid w:val="00C24E14"/>
    <w:rsid w:val="00DC7FF4"/>
    <w:rsid w:val="00EA65BD"/>
    <w:rsid w:val="00F074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07451"/>
  </w:style>
  <w:style w:type="paragraph" w:styleId="Nadpis1">
    <w:name w:val="heading 1"/>
    <w:basedOn w:val="Normlny"/>
    <w:uiPriority w:val="9"/>
    <w:qFormat/>
    <w:rsid w:val="00F07451"/>
    <w:pPr>
      <w:ind w:left="141"/>
      <w:outlineLvl w:val="0"/>
    </w:pPr>
    <w:rPr>
      <w:b/>
      <w:bCs/>
      <w:sz w:val="24"/>
      <w:szCs w:val="24"/>
    </w:rPr>
  </w:style>
  <w:style w:type="paragraph" w:styleId="Nadpis2">
    <w:name w:val="heading 2"/>
    <w:basedOn w:val="normal"/>
    <w:next w:val="normal"/>
    <w:rsid w:val="00F07451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al"/>
    <w:next w:val="normal"/>
    <w:rsid w:val="00F07451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al"/>
    <w:next w:val="normal"/>
    <w:rsid w:val="00F07451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al"/>
    <w:next w:val="normal"/>
    <w:rsid w:val="00F07451"/>
    <w:pPr>
      <w:keepNext/>
      <w:keepLines/>
      <w:spacing w:before="220" w:after="40"/>
      <w:outlineLvl w:val="4"/>
    </w:pPr>
    <w:rPr>
      <w:b/>
    </w:rPr>
  </w:style>
  <w:style w:type="paragraph" w:styleId="Nadpis6">
    <w:name w:val="heading 6"/>
    <w:basedOn w:val="normal"/>
    <w:next w:val="normal"/>
    <w:rsid w:val="00F07451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al">
    <w:name w:val="normal"/>
    <w:rsid w:val="00F07451"/>
  </w:style>
  <w:style w:type="table" w:customStyle="1" w:styleId="TableNormal">
    <w:name w:val="TableNormal"/>
    <w:rsid w:val="00F0745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uiPriority w:val="10"/>
    <w:qFormat/>
    <w:rsid w:val="00F07451"/>
    <w:pPr>
      <w:ind w:left="849"/>
    </w:pPr>
    <w:rPr>
      <w:b/>
      <w:bCs/>
      <w:sz w:val="28"/>
      <w:szCs w:val="28"/>
    </w:rPr>
  </w:style>
  <w:style w:type="table" w:customStyle="1" w:styleId="TableNormal0">
    <w:name w:val="Table Normal"/>
    <w:uiPriority w:val="2"/>
    <w:semiHidden/>
    <w:unhideWhenUsed/>
    <w:qFormat/>
    <w:rsid w:val="00F0745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F07451"/>
    <w:rPr>
      <w:sz w:val="24"/>
      <w:szCs w:val="24"/>
    </w:rPr>
  </w:style>
  <w:style w:type="paragraph" w:styleId="Odsekzoznamu">
    <w:name w:val="List Paragraph"/>
    <w:basedOn w:val="Normlny"/>
    <w:uiPriority w:val="1"/>
    <w:qFormat/>
    <w:rsid w:val="00F07451"/>
    <w:pPr>
      <w:ind w:left="1089" w:hanging="240"/>
    </w:pPr>
  </w:style>
  <w:style w:type="paragraph" w:customStyle="1" w:styleId="TableParagraph">
    <w:name w:val="Table Paragraph"/>
    <w:basedOn w:val="Normlny"/>
    <w:uiPriority w:val="1"/>
    <w:qFormat/>
    <w:rsid w:val="00F07451"/>
    <w:pPr>
      <w:spacing w:before="50"/>
      <w:ind w:left="69"/>
    </w:pPr>
  </w:style>
  <w:style w:type="paragraph" w:styleId="Podtitul">
    <w:name w:val="Subtitle"/>
    <w:basedOn w:val="normal"/>
    <w:next w:val="normal"/>
    <w:rsid w:val="00F07451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rsid w:val="00F07451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0">
    <w:basedOn w:val="TableNormal0"/>
    <w:rsid w:val="00F07451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1">
    <w:basedOn w:val="TableNormal0"/>
    <w:rsid w:val="00F07451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CmsDLnTS08bcG8vn2Axm+gySkhw==">CgMxLjA4AHIhMVJyd2lhcUphSm9tSVNhZnFSYkhUdmpSUFNRNXVCOGVl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696</Words>
  <Characters>3968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Klein</dc:creator>
  <cp:lastModifiedBy>Spravca</cp:lastModifiedBy>
  <cp:revision>2</cp:revision>
  <dcterms:created xsi:type="dcterms:W3CDTF">2026-03-21T21:22:00Z</dcterms:created>
  <dcterms:modified xsi:type="dcterms:W3CDTF">2026-03-21T21:22:00Z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2024-03-25T00:00:00Z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2025-03-18T00:00:00Z</vt:filetime>
  </property>
  <property fmtid="{D5CDD505-2E9C-101B-9397-08002B2CF9AE}" pid="5" name="Producer">
    <vt:lpwstr>Microsoft® Word pre Microsoft 365</vt:lpwstr>
  </property>
</Properties>
</file>