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2A64" w:rsidRPr="00B97A73" w:rsidRDefault="00446588">
      <w:pPr>
        <w:rPr>
          <w:b/>
        </w:rPr>
      </w:pPr>
      <w:r w:rsidRPr="00B97A73">
        <w:rPr>
          <w:b/>
        </w:rPr>
        <w:t xml:space="preserve">                                                  P O Z N Á M K Y</w:t>
      </w:r>
    </w:p>
    <w:p w:rsidR="00446588" w:rsidRPr="00B97A73" w:rsidRDefault="00446588" w:rsidP="00446588">
      <w:pPr>
        <w:ind w:left="2124"/>
        <w:rPr>
          <w:b/>
        </w:rPr>
      </w:pPr>
      <w:r w:rsidRPr="00B97A73">
        <w:rPr>
          <w:b/>
        </w:rPr>
        <w:t xml:space="preserve">     K účtovnej závierke</w:t>
      </w:r>
    </w:p>
    <w:p w:rsidR="00446588" w:rsidRDefault="00446588"/>
    <w:p w:rsidR="00446588" w:rsidRPr="00446588" w:rsidRDefault="00446588">
      <w:pPr>
        <w:rPr>
          <w:b/>
        </w:rPr>
      </w:pPr>
      <w:r>
        <w:t xml:space="preserve">                                                       </w:t>
      </w:r>
      <w:r w:rsidRPr="00446588">
        <w:rPr>
          <w:b/>
        </w:rPr>
        <w:t>Čl. 1</w:t>
      </w:r>
      <w:r w:rsidRPr="00446588">
        <w:rPr>
          <w:b/>
        </w:rPr>
        <w:tab/>
      </w:r>
      <w:r w:rsidRPr="00446588">
        <w:rPr>
          <w:b/>
        </w:rPr>
        <w:tab/>
      </w:r>
    </w:p>
    <w:p w:rsidR="00446588" w:rsidRPr="00446588" w:rsidRDefault="00446588">
      <w:pPr>
        <w:rPr>
          <w:b/>
        </w:rPr>
      </w:pPr>
      <w:r w:rsidRPr="00446588">
        <w:rPr>
          <w:b/>
        </w:rPr>
        <w:t xml:space="preserve">                              Všeobecné údaje o účtovnej jednotke </w:t>
      </w:r>
    </w:p>
    <w:p w:rsidR="00446588" w:rsidRDefault="00446588" w:rsidP="00FC7A65">
      <w:pPr>
        <w:pStyle w:val="ListParagraph"/>
        <w:numPr>
          <w:ilvl w:val="0"/>
          <w:numId w:val="7"/>
        </w:numPr>
      </w:pPr>
      <w:r>
        <w:t>Obchodné meno účtovnej jednotky:</w:t>
      </w:r>
    </w:p>
    <w:p w:rsidR="00446588" w:rsidRPr="00446588" w:rsidRDefault="00446588">
      <w:pPr>
        <w:rPr>
          <w:b/>
        </w:rPr>
      </w:pPr>
      <w:r w:rsidRPr="00446588">
        <w:rPr>
          <w:b/>
        </w:rPr>
        <w:t xml:space="preserve">                          Urbárska lesná pozemková spoločnosť – pozemkové spoločenstvo</w:t>
      </w:r>
    </w:p>
    <w:p w:rsidR="00446588" w:rsidRPr="00446588" w:rsidRDefault="00446588">
      <w:pPr>
        <w:rPr>
          <w:b/>
        </w:rPr>
      </w:pPr>
      <w:r>
        <w:t xml:space="preserve">IČO: </w:t>
      </w:r>
      <w:r>
        <w:tab/>
      </w:r>
      <w:r>
        <w:tab/>
      </w:r>
      <w:r w:rsidRPr="00446588">
        <w:rPr>
          <w:b/>
        </w:rPr>
        <w:t>36105180</w:t>
      </w:r>
    </w:p>
    <w:p w:rsidR="00446588" w:rsidRPr="00446588" w:rsidRDefault="00446588">
      <w:pPr>
        <w:rPr>
          <w:b/>
        </w:rPr>
      </w:pPr>
      <w:r>
        <w:t xml:space="preserve">DIČ: </w:t>
      </w:r>
      <w:r>
        <w:tab/>
      </w:r>
      <w:r>
        <w:tab/>
      </w:r>
      <w:r w:rsidRPr="00446588">
        <w:rPr>
          <w:b/>
        </w:rPr>
        <w:t>2021523207</w:t>
      </w:r>
    </w:p>
    <w:p w:rsidR="00446588" w:rsidRDefault="00446588">
      <w:pPr>
        <w:rPr>
          <w:b/>
        </w:rPr>
      </w:pPr>
      <w:r>
        <w:t>Sídlo:</w:t>
      </w:r>
      <w:r>
        <w:tab/>
      </w:r>
      <w:r>
        <w:tab/>
      </w:r>
      <w:r w:rsidRPr="00446588">
        <w:rPr>
          <w:b/>
        </w:rPr>
        <w:t>Ipeľský Sokolec č. 340, 935 75</w:t>
      </w:r>
    </w:p>
    <w:p w:rsidR="00FC7A65" w:rsidRPr="00B15F82" w:rsidRDefault="00FC7A65" w:rsidP="00FC7A65">
      <w:pPr>
        <w:pStyle w:val="ListParagraph"/>
        <w:numPr>
          <w:ilvl w:val="0"/>
          <w:numId w:val="7"/>
        </w:numPr>
        <w:rPr>
          <w:sz w:val="24"/>
          <w:szCs w:val="24"/>
        </w:rPr>
      </w:pPr>
      <w:r w:rsidRPr="00B15F82">
        <w:rPr>
          <w:sz w:val="24"/>
          <w:szCs w:val="24"/>
        </w:rPr>
        <w:t>Informácia o skupine</w:t>
      </w:r>
    </w:p>
    <w:p w:rsidR="00FC7A65" w:rsidRPr="00B15F82" w:rsidRDefault="00FC7A65" w:rsidP="00FC7A65">
      <w:pPr>
        <w:rPr>
          <w:sz w:val="24"/>
          <w:szCs w:val="24"/>
        </w:rPr>
      </w:pPr>
      <w:r w:rsidRPr="00B15F82">
        <w:rPr>
          <w:sz w:val="24"/>
          <w:szCs w:val="24"/>
        </w:rPr>
        <w:t xml:space="preserve">Spoločenstvo </w:t>
      </w:r>
      <w:proofErr w:type="spellStart"/>
      <w:r w:rsidRPr="00B15F82">
        <w:rPr>
          <w:sz w:val="24"/>
          <w:szCs w:val="24"/>
        </w:rPr>
        <w:t>nesplňa</w:t>
      </w:r>
      <w:proofErr w:type="spellEnd"/>
      <w:r w:rsidRPr="00B15F82">
        <w:rPr>
          <w:sz w:val="24"/>
          <w:szCs w:val="24"/>
        </w:rPr>
        <w:t xml:space="preserve"> podmienky uvedené v § 22 </w:t>
      </w:r>
      <w:proofErr w:type="spellStart"/>
      <w:r w:rsidRPr="00B15F82">
        <w:rPr>
          <w:sz w:val="24"/>
          <w:szCs w:val="24"/>
        </w:rPr>
        <w:t>odst</w:t>
      </w:r>
      <w:proofErr w:type="spellEnd"/>
      <w:r w:rsidRPr="00B15F82">
        <w:rPr>
          <w:sz w:val="24"/>
          <w:szCs w:val="24"/>
        </w:rPr>
        <w:t xml:space="preserve">. 10 zákona o účtovníctve definujúce povinnosť zostavenia konsolidovanej účtovnej závierky, preto spoločenstvo nezostavuje konsolidovanú účtovnú závierku a ani nezahŕňa do žiadnej konsolidovanej účtovnej závierky. </w:t>
      </w:r>
    </w:p>
    <w:p w:rsidR="00446588" w:rsidRPr="00B15F82" w:rsidRDefault="00446588" w:rsidP="00FC7A65">
      <w:pPr>
        <w:pStyle w:val="ListParagraph"/>
        <w:numPr>
          <w:ilvl w:val="0"/>
          <w:numId w:val="7"/>
        </w:numPr>
        <w:rPr>
          <w:sz w:val="24"/>
          <w:szCs w:val="24"/>
        </w:rPr>
      </w:pPr>
      <w:r w:rsidRPr="00B15F82">
        <w:rPr>
          <w:sz w:val="24"/>
          <w:szCs w:val="24"/>
        </w:rPr>
        <w:t xml:space="preserve">Priemerný počet zamestnancov:                 </w:t>
      </w:r>
    </w:p>
    <w:p w:rsidR="00FC7A65" w:rsidRPr="00B15F82" w:rsidRDefault="00FC7A65" w:rsidP="00FC7A65">
      <w:pPr>
        <w:rPr>
          <w:sz w:val="24"/>
          <w:szCs w:val="24"/>
        </w:rPr>
      </w:pPr>
      <w:r w:rsidRPr="00B15F82">
        <w:rPr>
          <w:sz w:val="24"/>
          <w:szCs w:val="24"/>
        </w:rPr>
        <w:t>Spoločenstvo nezamestnáva v bežnom účtovnom období ani v bezprostredne predchádzajúcom účtovnom období žiadnych zamestnancov.</w:t>
      </w:r>
    </w:p>
    <w:p w:rsidR="00446588" w:rsidRPr="00B15F82" w:rsidRDefault="00446588">
      <w:pPr>
        <w:rPr>
          <w:sz w:val="24"/>
          <w:szCs w:val="24"/>
        </w:rPr>
      </w:pPr>
    </w:p>
    <w:p w:rsidR="004C09B4" w:rsidRPr="00B15F82" w:rsidRDefault="004C09B4" w:rsidP="004C09B4">
      <w:pPr>
        <w:jc w:val="center"/>
        <w:rPr>
          <w:b/>
          <w:sz w:val="24"/>
          <w:szCs w:val="24"/>
        </w:rPr>
      </w:pPr>
      <w:r w:rsidRPr="00B15F82">
        <w:rPr>
          <w:b/>
          <w:sz w:val="24"/>
          <w:szCs w:val="24"/>
        </w:rPr>
        <w:t>Čl. II</w:t>
      </w:r>
    </w:p>
    <w:p w:rsidR="004C09B4" w:rsidRPr="00B97A73" w:rsidRDefault="004C09B4" w:rsidP="004C09B4">
      <w:pPr>
        <w:jc w:val="center"/>
        <w:rPr>
          <w:b/>
          <w:sz w:val="24"/>
          <w:szCs w:val="24"/>
        </w:rPr>
      </w:pPr>
      <w:r w:rsidRPr="00B97A73">
        <w:rPr>
          <w:b/>
          <w:sz w:val="24"/>
          <w:szCs w:val="24"/>
        </w:rPr>
        <w:t>Informácia o prijatých postupoch</w:t>
      </w:r>
    </w:p>
    <w:p w:rsidR="00FC7A65" w:rsidRPr="00B15F82" w:rsidRDefault="00FC7A65" w:rsidP="00FC7A65">
      <w:pPr>
        <w:pStyle w:val="ListParagraph"/>
        <w:numPr>
          <w:ilvl w:val="0"/>
          <w:numId w:val="9"/>
        </w:numPr>
        <w:rPr>
          <w:sz w:val="24"/>
          <w:szCs w:val="24"/>
        </w:rPr>
      </w:pPr>
      <w:r w:rsidRPr="00B15F82">
        <w:rPr>
          <w:sz w:val="24"/>
          <w:szCs w:val="24"/>
        </w:rPr>
        <w:t>Východiská pre zostavenie účtovnej závierky</w:t>
      </w:r>
    </w:p>
    <w:p w:rsidR="004C09B4" w:rsidRPr="00B15F82" w:rsidRDefault="00B15F82" w:rsidP="00FC7A65">
      <w:pPr>
        <w:rPr>
          <w:sz w:val="24"/>
          <w:szCs w:val="24"/>
        </w:rPr>
      </w:pPr>
      <w:r>
        <w:rPr>
          <w:sz w:val="24"/>
          <w:szCs w:val="24"/>
        </w:rPr>
        <w:t>Ú</w:t>
      </w:r>
      <w:r w:rsidR="00FC7A65" w:rsidRPr="00B15F82">
        <w:rPr>
          <w:sz w:val="24"/>
          <w:szCs w:val="24"/>
        </w:rPr>
        <w:t xml:space="preserve">čtovná závierka bola </w:t>
      </w:r>
      <w:r w:rsidR="004C09B4" w:rsidRPr="00B15F82">
        <w:rPr>
          <w:sz w:val="24"/>
          <w:szCs w:val="24"/>
        </w:rPr>
        <w:t>zostavená za splnenia predpokladu, že účtovná jednotka bude nepretržite  pokračovať vo svojej činnosti.</w:t>
      </w:r>
    </w:p>
    <w:p w:rsidR="00FC7A65" w:rsidRPr="00B15F82" w:rsidRDefault="00FC7A65" w:rsidP="00FC7A65">
      <w:pPr>
        <w:rPr>
          <w:sz w:val="24"/>
          <w:szCs w:val="24"/>
        </w:rPr>
      </w:pPr>
      <w:r w:rsidRPr="00B15F82">
        <w:rPr>
          <w:sz w:val="24"/>
          <w:szCs w:val="24"/>
        </w:rPr>
        <w:t>Účtovné metódy a všeobecné účtovné zásady boli účtovnou jednotkou konzistentne aplikované.</w:t>
      </w:r>
    </w:p>
    <w:p w:rsidR="00FC7A65" w:rsidRPr="00B15F82" w:rsidRDefault="00FC7A65" w:rsidP="00FC7A65">
      <w:pPr>
        <w:pStyle w:val="ListParagraph"/>
        <w:numPr>
          <w:ilvl w:val="0"/>
          <w:numId w:val="9"/>
        </w:numPr>
        <w:rPr>
          <w:sz w:val="24"/>
          <w:szCs w:val="24"/>
        </w:rPr>
      </w:pPr>
      <w:r w:rsidRPr="00B15F82">
        <w:rPr>
          <w:sz w:val="24"/>
          <w:szCs w:val="24"/>
        </w:rPr>
        <w:t>Dlhodobý majetok</w:t>
      </w:r>
    </w:p>
    <w:p w:rsidR="00FC7A65" w:rsidRPr="00B15F82" w:rsidRDefault="00FC7A65" w:rsidP="00FC7A65">
      <w:pPr>
        <w:rPr>
          <w:sz w:val="24"/>
          <w:szCs w:val="24"/>
        </w:rPr>
      </w:pPr>
      <w:r w:rsidRPr="00B15F82">
        <w:rPr>
          <w:sz w:val="24"/>
          <w:szCs w:val="24"/>
        </w:rPr>
        <w:t>Dlhodobý majetok nakupovaný sa oceňuj</w:t>
      </w:r>
      <w:r w:rsidR="00B97A73">
        <w:rPr>
          <w:sz w:val="24"/>
          <w:szCs w:val="24"/>
        </w:rPr>
        <w:t>e obstarávacou cenou, ktorá zahŕ</w:t>
      </w:r>
      <w:r w:rsidRPr="00B15F82">
        <w:rPr>
          <w:sz w:val="24"/>
          <w:szCs w:val="24"/>
        </w:rPr>
        <w:t>ňa cenu obstarania a náklady súvisiace s obstaraním / clo, prepravu, montáž, poistné a pod./, zníženú o dobropisy, skontá, rabaty, zľavy z cenu, bonusy a</w:t>
      </w:r>
      <w:r w:rsidR="000D1C03">
        <w:rPr>
          <w:sz w:val="24"/>
          <w:szCs w:val="24"/>
        </w:rPr>
        <w:t> </w:t>
      </w:r>
      <w:r w:rsidRPr="00B15F82">
        <w:rPr>
          <w:sz w:val="24"/>
          <w:szCs w:val="24"/>
        </w:rPr>
        <w:t>pod</w:t>
      </w:r>
      <w:r w:rsidR="000D1C03">
        <w:rPr>
          <w:sz w:val="24"/>
          <w:szCs w:val="24"/>
        </w:rPr>
        <w:t>/</w:t>
      </w:r>
      <w:r w:rsidRPr="00B15F82">
        <w:rPr>
          <w:sz w:val="24"/>
          <w:szCs w:val="24"/>
        </w:rPr>
        <w:t>.</w:t>
      </w:r>
    </w:p>
    <w:p w:rsidR="00BE141B" w:rsidRPr="00B15F82" w:rsidRDefault="00BE141B" w:rsidP="00FC7A65">
      <w:pPr>
        <w:rPr>
          <w:sz w:val="24"/>
          <w:szCs w:val="24"/>
        </w:rPr>
      </w:pPr>
      <w:r w:rsidRPr="00B15F82">
        <w:rPr>
          <w:sz w:val="24"/>
          <w:szCs w:val="24"/>
        </w:rPr>
        <w:t>Odpisy dlhodobého hmotného majetku sú stanovené vychádzajúc z predpokladanej doby jeho používania a predpokladaného priebehu jeho opotrebenia.</w:t>
      </w:r>
    </w:p>
    <w:p w:rsidR="00BE141B" w:rsidRPr="00B15F82" w:rsidRDefault="00BE141B" w:rsidP="00FC7A65">
      <w:pPr>
        <w:rPr>
          <w:sz w:val="24"/>
          <w:szCs w:val="24"/>
        </w:rPr>
      </w:pPr>
      <w:r w:rsidRPr="00B15F82">
        <w:rPr>
          <w:sz w:val="24"/>
          <w:szCs w:val="24"/>
        </w:rPr>
        <w:lastRenderedPageBreak/>
        <w:t>Odpisovať sa začína prvým dňom mesiac</w:t>
      </w:r>
      <w:r w:rsidR="000D1C03">
        <w:rPr>
          <w:sz w:val="24"/>
          <w:szCs w:val="24"/>
        </w:rPr>
        <w:t>a</w:t>
      </w:r>
      <w:r w:rsidRPr="00B15F82">
        <w:rPr>
          <w:sz w:val="24"/>
          <w:szCs w:val="24"/>
        </w:rPr>
        <w:t xml:space="preserve">, v ktorom sa uvedie dlhodobý hmotný majetok do užívania. Drobný dlhodobý majetok, ktorého obstarávacia cena je nižšia ako 1 700 EUR sa odpisuje jednorazovo pri uvedení do používania. </w:t>
      </w:r>
    </w:p>
    <w:p w:rsidR="00BE141B" w:rsidRPr="00B15F82" w:rsidRDefault="00BE141B" w:rsidP="00FC7A65">
      <w:pPr>
        <w:rPr>
          <w:sz w:val="24"/>
          <w:szCs w:val="24"/>
        </w:rPr>
      </w:pPr>
      <w:r w:rsidRPr="00B15F82">
        <w:rPr>
          <w:sz w:val="24"/>
          <w:szCs w:val="24"/>
        </w:rPr>
        <w:t>Predpokladaná doba používania, metóda odpisovania a odpiso</w:t>
      </w:r>
      <w:r w:rsidR="00B97A73">
        <w:rPr>
          <w:sz w:val="24"/>
          <w:szCs w:val="24"/>
        </w:rPr>
        <w:t>v</w:t>
      </w:r>
      <w:r w:rsidRPr="00B15F82">
        <w:rPr>
          <w:sz w:val="24"/>
          <w:szCs w:val="24"/>
        </w:rPr>
        <w:t>á sadzba sú uvedené v nasledujúcej tabuľke</w:t>
      </w:r>
    </w:p>
    <w:p w:rsidR="00FC7A65" w:rsidRPr="00B15F82" w:rsidRDefault="00FC7A65" w:rsidP="00FC7A65">
      <w:pPr>
        <w:pStyle w:val="BodyText"/>
        <w:rPr>
          <w:sz w:val="24"/>
          <w:szCs w:val="24"/>
        </w:rPr>
      </w:pPr>
    </w:p>
    <w:tbl>
      <w:tblPr>
        <w:tblW w:w="8842" w:type="dxa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"/>
        <w:gridCol w:w="3537"/>
        <w:gridCol w:w="290"/>
        <w:gridCol w:w="70"/>
        <w:gridCol w:w="1433"/>
        <w:gridCol w:w="70"/>
        <w:gridCol w:w="115"/>
        <w:gridCol w:w="70"/>
        <w:gridCol w:w="1502"/>
        <w:gridCol w:w="70"/>
        <w:gridCol w:w="214"/>
        <w:gridCol w:w="70"/>
        <w:gridCol w:w="1261"/>
        <w:gridCol w:w="70"/>
      </w:tblGrid>
      <w:tr w:rsidR="00FC7A65" w:rsidRPr="00B15F82" w:rsidTr="00FC7A65">
        <w:trPr>
          <w:gridAfter w:val="1"/>
          <w:wAfter w:w="70" w:type="dxa"/>
          <w:trHeight w:val="261"/>
        </w:trPr>
        <w:tc>
          <w:tcPr>
            <w:tcW w:w="3897" w:type="dxa"/>
            <w:gridSpan w:val="3"/>
            <w:shd w:val="clear" w:color="auto" w:fill="FFFFFF"/>
            <w:vAlign w:val="center"/>
            <w:hideMark/>
          </w:tcPr>
          <w:p w:rsidR="00FC7A65" w:rsidRPr="00B15F82" w:rsidRDefault="00FC7A65">
            <w:pPr>
              <w:spacing w:line="254" w:lineRule="auto"/>
              <w:rPr>
                <w:color w:val="000000"/>
                <w:sz w:val="18"/>
                <w:szCs w:val="18"/>
                <w:lang w:eastAsia="sk-SK"/>
              </w:rPr>
            </w:pPr>
            <w:r w:rsidRPr="00B15F8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3" w:type="dxa"/>
            <w:gridSpan w:val="2"/>
            <w:shd w:val="clear" w:color="auto" w:fill="FFFFFF"/>
            <w:vAlign w:val="center"/>
            <w:hideMark/>
          </w:tcPr>
          <w:p w:rsidR="00FC7A65" w:rsidRPr="00B15F82" w:rsidRDefault="00FC7A65">
            <w:pPr>
              <w:spacing w:line="276" w:lineRule="auto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15F82">
              <w:rPr>
                <w:color w:val="000000"/>
                <w:sz w:val="18"/>
                <w:szCs w:val="18"/>
                <w:lang w:eastAsia="sk-SK"/>
              </w:rPr>
              <w:t xml:space="preserve">  Predpokladaná</w:t>
            </w:r>
          </w:p>
        </w:tc>
        <w:tc>
          <w:tcPr>
            <w:tcW w:w="185" w:type="dxa"/>
            <w:gridSpan w:val="2"/>
            <w:shd w:val="clear" w:color="auto" w:fill="FFFFFF"/>
            <w:vAlign w:val="center"/>
            <w:hideMark/>
          </w:tcPr>
          <w:p w:rsidR="00FC7A65" w:rsidRPr="00B15F82" w:rsidRDefault="00FC7A65">
            <w:pPr>
              <w:spacing w:line="254" w:lineRule="auto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15F8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2" w:type="dxa"/>
            <w:gridSpan w:val="2"/>
            <w:shd w:val="clear" w:color="auto" w:fill="FFFFFF"/>
            <w:vAlign w:val="bottom"/>
            <w:hideMark/>
          </w:tcPr>
          <w:p w:rsidR="00FC7A65" w:rsidRPr="00B15F82" w:rsidRDefault="00FC7A65">
            <w:pPr>
              <w:spacing w:line="254" w:lineRule="auto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15F82">
              <w:rPr>
                <w:color w:val="000000"/>
                <w:sz w:val="18"/>
                <w:szCs w:val="18"/>
                <w:lang w:eastAsia="sk-SK"/>
              </w:rPr>
              <w:t>Metóda</w:t>
            </w:r>
          </w:p>
        </w:tc>
        <w:tc>
          <w:tcPr>
            <w:tcW w:w="284" w:type="dxa"/>
            <w:gridSpan w:val="2"/>
            <w:shd w:val="clear" w:color="auto" w:fill="FFFFFF"/>
            <w:vAlign w:val="center"/>
            <w:hideMark/>
          </w:tcPr>
          <w:p w:rsidR="00FC7A65" w:rsidRPr="00B15F82" w:rsidRDefault="00FC7A65">
            <w:pPr>
              <w:spacing w:line="254" w:lineRule="auto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15F8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1" w:type="dxa"/>
            <w:gridSpan w:val="2"/>
            <w:shd w:val="clear" w:color="auto" w:fill="FFFFFF"/>
            <w:vAlign w:val="center"/>
            <w:hideMark/>
          </w:tcPr>
          <w:p w:rsidR="00FC7A65" w:rsidRPr="00B15F82" w:rsidRDefault="00FC7A65">
            <w:pPr>
              <w:spacing w:line="254" w:lineRule="auto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15F82">
              <w:rPr>
                <w:color w:val="000000"/>
                <w:sz w:val="18"/>
                <w:szCs w:val="18"/>
                <w:lang w:eastAsia="sk-SK"/>
              </w:rPr>
              <w:t>Ročná odpisová</w:t>
            </w:r>
          </w:p>
        </w:tc>
      </w:tr>
      <w:tr w:rsidR="00FC7A65" w:rsidRPr="00B15F82" w:rsidTr="00FC7A65">
        <w:trPr>
          <w:gridBefore w:val="1"/>
          <w:wBefore w:w="70" w:type="dxa"/>
          <w:trHeight w:val="468"/>
        </w:trPr>
        <w:tc>
          <w:tcPr>
            <w:tcW w:w="3537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center"/>
            <w:hideMark/>
          </w:tcPr>
          <w:p w:rsidR="00FC7A65" w:rsidRPr="00B15F82" w:rsidRDefault="00FC7A65">
            <w:pPr>
              <w:spacing w:line="254" w:lineRule="auto"/>
              <w:rPr>
                <w:color w:val="000000"/>
                <w:sz w:val="18"/>
                <w:szCs w:val="18"/>
                <w:lang w:eastAsia="sk-SK"/>
              </w:rPr>
            </w:pPr>
            <w:r w:rsidRPr="00B15F8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0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center"/>
            <w:hideMark/>
          </w:tcPr>
          <w:p w:rsidR="00FC7A65" w:rsidRPr="00B15F82" w:rsidRDefault="00FC7A65">
            <w:pPr>
              <w:spacing w:line="254" w:lineRule="auto"/>
              <w:rPr>
                <w:color w:val="000000"/>
                <w:sz w:val="18"/>
                <w:szCs w:val="18"/>
                <w:lang w:eastAsia="sk-SK"/>
              </w:rPr>
            </w:pPr>
            <w:r w:rsidRPr="00B15F8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hideMark/>
          </w:tcPr>
          <w:p w:rsidR="00FC7A65" w:rsidRPr="00B15F82" w:rsidRDefault="00FC7A65">
            <w:pPr>
              <w:spacing w:line="276" w:lineRule="auto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15F82">
              <w:rPr>
                <w:color w:val="000000"/>
                <w:sz w:val="18"/>
                <w:szCs w:val="18"/>
                <w:lang w:eastAsia="sk-SK"/>
              </w:rPr>
              <w:t>doba používania</w:t>
            </w:r>
          </w:p>
          <w:p w:rsidR="00FC7A65" w:rsidRPr="00B15F82" w:rsidRDefault="00FC7A65">
            <w:pPr>
              <w:spacing w:line="276" w:lineRule="auto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15F82">
              <w:rPr>
                <w:color w:val="000000"/>
                <w:sz w:val="18"/>
                <w:szCs w:val="18"/>
                <w:lang w:eastAsia="sk-SK"/>
              </w:rPr>
              <w:t>v rokoch</w:t>
            </w:r>
          </w:p>
        </w:tc>
        <w:tc>
          <w:tcPr>
            <w:tcW w:w="185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center"/>
            <w:hideMark/>
          </w:tcPr>
          <w:p w:rsidR="00FC7A65" w:rsidRPr="00B15F82" w:rsidRDefault="00FC7A65">
            <w:pPr>
              <w:spacing w:line="254" w:lineRule="auto"/>
              <w:rPr>
                <w:color w:val="000000"/>
                <w:sz w:val="18"/>
                <w:szCs w:val="18"/>
                <w:lang w:eastAsia="sk-SK"/>
              </w:rPr>
            </w:pPr>
            <w:r w:rsidRPr="00B15F8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2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hideMark/>
          </w:tcPr>
          <w:p w:rsidR="00FC7A65" w:rsidRPr="00B15F82" w:rsidRDefault="00FC7A65">
            <w:pPr>
              <w:spacing w:line="254" w:lineRule="auto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15F82">
              <w:rPr>
                <w:color w:val="000000"/>
                <w:sz w:val="18"/>
                <w:szCs w:val="18"/>
                <w:lang w:eastAsia="sk-SK"/>
              </w:rPr>
              <w:t>odpisovania</w:t>
            </w:r>
          </w:p>
        </w:tc>
        <w:tc>
          <w:tcPr>
            <w:tcW w:w="284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vAlign w:val="center"/>
            <w:hideMark/>
          </w:tcPr>
          <w:p w:rsidR="00FC7A65" w:rsidRPr="00B15F82" w:rsidRDefault="00FC7A65">
            <w:pPr>
              <w:spacing w:line="254" w:lineRule="auto"/>
              <w:rPr>
                <w:color w:val="000000"/>
                <w:sz w:val="18"/>
                <w:szCs w:val="18"/>
                <w:lang w:eastAsia="sk-SK"/>
              </w:rPr>
            </w:pPr>
            <w:r w:rsidRPr="00B15F82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1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/>
            <w:hideMark/>
          </w:tcPr>
          <w:p w:rsidR="00FC7A65" w:rsidRPr="00B15F82" w:rsidRDefault="00FC7A65">
            <w:pPr>
              <w:spacing w:line="254" w:lineRule="auto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B15F82">
              <w:rPr>
                <w:color w:val="000000"/>
                <w:sz w:val="18"/>
                <w:szCs w:val="18"/>
                <w:lang w:eastAsia="sk-SK"/>
              </w:rPr>
              <w:t>sadzba v %</w:t>
            </w:r>
          </w:p>
        </w:tc>
      </w:tr>
      <w:tr w:rsidR="00FC7A65" w:rsidRPr="00B15F82" w:rsidTr="00FC7A65">
        <w:trPr>
          <w:gridBefore w:val="1"/>
          <w:wBefore w:w="70" w:type="dxa"/>
          <w:trHeight w:val="261"/>
        </w:trPr>
        <w:tc>
          <w:tcPr>
            <w:tcW w:w="3537" w:type="dxa"/>
            <w:shd w:val="clear" w:color="auto" w:fill="FFFFFF"/>
            <w:vAlign w:val="center"/>
            <w:hideMark/>
          </w:tcPr>
          <w:p w:rsidR="00FC7A65" w:rsidRPr="00B15F82" w:rsidRDefault="00FC7A65">
            <w:pPr>
              <w:spacing w:line="254" w:lineRule="auto"/>
              <w:rPr>
                <w:sz w:val="18"/>
                <w:szCs w:val="18"/>
                <w:lang w:eastAsia="sk-SK"/>
              </w:rPr>
            </w:pPr>
            <w:r w:rsidRPr="00B15F82">
              <w:rPr>
                <w:sz w:val="18"/>
                <w:szCs w:val="18"/>
                <w:lang w:eastAsia="sk-SK"/>
              </w:rPr>
              <w:t>Stroje, prístroje a zariadenia</w:t>
            </w:r>
          </w:p>
        </w:tc>
        <w:tc>
          <w:tcPr>
            <w:tcW w:w="36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FC7A65" w:rsidRPr="00B15F82" w:rsidRDefault="00FC7A65">
            <w:pPr>
              <w:spacing w:line="254" w:lineRule="auto"/>
              <w:jc w:val="center"/>
              <w:rPr>
                <w:sz w:val="18"/>
                <w:szCs w:val="18"/>
                <w:lang w:eastAsia="sk-SK"/>
              </w:rPr>
            </w:pPr>
            <w:r w:rsidRPr="00B15F8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FC7A65" w:rsidRPr="00B15F82" w:rsidRDefault="00FC7A65">
            <w:pPr>
              <w:spacing w:line="254" w:lineRule="auto"/>
              <w:jc w:val="center"/>
              <w:rPr>
                <w:sz w:val="18"/>
                <w:szCs w:val="18"/>
                <w:lang w:eastAsia="sk-SK"/>
              </w:rPr>
            </w:pPr>
            <w:r w:rsidRPr="00B15F82">
              <w:rPr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5" w:type="dxa"/>
            <w:gridSpan w:val="2"/>
            <w:shd w:val="clear" w:color="auto" w:fill="FFFFFF"/>
            <w:vAlign w:val="center"/>
            <w:hideMark/>
          </w:tcPr>
          <w:p w:rsidR="00FC7A65" w:rsidRPr="00B15F82" w:rsidRDefault="00FC7A65">
            <w:pPr>
              <w:spacing w:line="254" w:lineRule="auto"/>
              <w:jc w:val="center"/>
              <w:rPr>
                <w:sz w:val="18"/>
                <w:szCs w:val="18"/>
                <w:lang w:eastAsia="sk-SK"/>
              </w:rPr>
            </w:pPr>
            <w:r w:rsidRPr="00B15F8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2" w:type="dxa"/>
            <w:gridSpan w:val="2"/>
            <w:shd w:val="clear" w:color="auto" w:fill="FFFFFF"/>
            <w:vAlign w:val="center"/>
            <w:hideMark/>
          </w:tcPr>
          <w:p w:rsidR="00FC7A65" w:rsidRPr="00B15F82" w:rsidRDefault="00FC7A65">
            <w:pPr>
              <w:spacing w:line="254" w:lineRule="auto"/>
              <w:jc w:val="center"/>
              <w:rPr>
                <w:sz w:val="18"/>
                <w:szCs w:val="18"/>
                <w:lang w:eastAsia="sk-SK"/>
              </w:rPr>
            </w:pPr>
            <w:r w:rsidRPr="00B15F82">
              <w:rPr>
                <w:sz w:val="18"/>
                <w:szCs w:val="18"/>
                <w:lang w:eastAsia="sk-SK"/>
              </w:rPr>
              <w:t>lineárna</w:t>
            </w:r>
          </w:p>
        </w:tc>
        <w:tc>
          <w:tcPr>
            <w:tcW w:w="284" w:type="dxa"/>
            <w:gridSpan w:val="2"/>
            <w:shd w:val="clear" w:color="auto" w:fill="FFFFFF"/>
            <w:vAlign w:val="center"/>
            <w:hideMark/>
          </w:tcPr>
          <w:p w:rsidR="00FC7A65" w:rsidRPr="00B15F82" w:rsidRDefault="00FC7A65">
            <w:pPr>
              <w:spacing w:line="254" w:lineRule="auto"/>
              <w:jc w:val="center"/>
              <w:rPr>
                <w:sz w:val="18"/>
                <w:szCs w:val="18"/>
                <w:lang w:eastAsia="sk-SK"/>
              </w:rPr>
            </w:pPr>
            <w:r w:rsidRPr="00B15F8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1" w:type="dxa"/>
            <w:gridSpan w:val="2"/>
            <w:shd w:val="clear" w:color="auto" w:fill="FFFFFF"/>
            <w:vAlign w:val="center"/>
            <w:hideMark/>
          </w:tcPr>
          <w:p w:rsidR="00FC7A65" w:rsidRPr="00B15F82" w:rsidRDefault="00FC7A65">
            <w:pPr>
              <w:spacing w:line="254" w:lineRule="auto"/>
              <w:jc w:val="center"/>
              <w:rPr>
                <w:sz w:val="18"/>
                <w:szCs w:val="18"/>
                <w:lang w:eastAsia="sk-SK"/>
              </w:rPr>
            </w:pPr>
            <w:r w:rsidRPr="00B15F82">
              <w:rPr>
                <w:sz w:val="18"/>
                <w:szCs w:val="18"/>
                <w:lang w:eastAsia="sk-SK"/>
              </w:rPr>
              <w:t>25</w:t>
            </w:r>
          </w:p>
        </w:tc>
      </w:tr>
      <w:tr w:rsidR="00FC7A65" w:rsidRPr="00B15F82" w:rsidTr="00FC7A65">
        <w:trPr>
          <w:gridBefore w:val="1"/>
          <w:wBefore w:w="70" w:type="dxa"/>
          <w:trHeight w:val="261"/>
        </w:trPr>
        <w:tc>
          <w:tcPr>
            <w:tcW w:w="3537" w:type="dxa"/>
            <w:shd w:val="clear" w:color="auto" w:fill="FFFFFF"/>
            <w:vAlign w:val="center"/>
            <w:hideMark/>
          </w:tcPr>
          <w:p w:rsidR="00FC7A65" w:rsidRPr="00B15F82" w:rsidRDefault="00FC7A65">
            <w:pPr>
              <w:spacing w:line="254" w:lineRule="auto"/>
              <w:rPr>
                <w:sz w:val="18"/>
                <w:szCs w:val="18"/>
                <w:lang w:eastAsia="sk-SK"/>
              </w:rPr>
            </w:pPr>
            <w:r w:rsidRPr="00B15F82">
              <w:rPr>
                <w:sz w:val="18"/>
                <w:szCs w:val="18"/>
                <w:lang w:eastAsia="sk-SK"/>
              </w:rPr>
              <w:t>Drobný dlhodobý hmotný majetok</w:t>
            </w:r>
          </w:p>
        </w:tc>
        <w:tc>
          <w:tcPr>
            <w:tcW w:w="360" w:type="dxa"/>
            <w:gridSpan w:val="2"/>
            <w:shd w:val="clear" w:color="auto" w:fill="FFFFFF"/>
            <w:vAlign w:val="center"/>
            <w:hideMark/>
          </w:tcPr>
          <w:p w:rsidR="00FC7A65" w:rsidRPr="00B15F82" w:rsidRDefault="00FC7A65">
            <w:pPr>
              <w:spacing w:line="254" w:lineRule="auto"/>
              <w:jc w:val="center"/>
              <w:rPr>
                <w:sz w:val="18"/>
                <w:szCs w:val="18"/>
                <w:lang w:eastAsia="sk-SK"/>
              </w:rPr>
            </w:pPr>
            <w:r w:rsidRPr="00B15F8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3" w:type="dxa"/>
            <w:gridSpan w:val="2"/>
            <w:shd w:val="clear" w:color="auto" w:fill="FFFFFF"/>
            <w:vAlign w:val="center"/>
            <w:hideMark/>
          </w:tcPr>
          <w:p w:rsidR="00FC7A65" w:rsidRPr="00B15F82" w:rsidRDefault="00FC7A65">
            <w:pPr>
              <w:spacing w:line="254" w:lineRule="auto"/>
              <w:jc w:val="center"/>
              <w:rPr>
                <w:sz w:val="18"/>
                <w:szCs w:val="18"/>
                <w:lang w:eastAsia="sk-SK"/>
              </w:rPr>
            </w:pPr>
            <w:r w:rsidRPr="00B15F82">
              <w:rPr>
                <w:sz w:val="18"/>
                <w:szCs w:val="18"/>
                <w:lang w:eastAsia="sk-SK"/>
              </w:rPr>
              <w:t>rôzna</w:t>
            </w:r>
          </w:p>
        </w:tc>
        <w:tc>
          <w:tcPr>
            <w:tcW w:w="185" w:type="dxa"/>
            <w:gridSpan w:val="2"/>
            <w:shd w:val="clear" w:color="auto" w:fill="FFFFFF"/>
            <w:vAlign w:val="center"/>
            <w:hideMark/>
          </w:tcPr>
          <w:p w:rsidR="00FC7A65" w:rsidRPr="00B15F82" w:rsidRDefault="00FC7A65">
            <w:pPr>
              <w:spacing w:line="254" w:lineRule="auto"/>
              <w:jc w:val="center"/>
              <w:rPr>
                <w:sz w:val="18"/>
                <w:szCs w:val="18"/>
                <w:lang w:eastAsia="sk-SK"/>
              </w:rPr>
            </w:pPr>
            <w:r w:rsidRPr="00B15F8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2" w:type="dxa"/>
            <w:gridSpan w:val="2"/>
            <w:shd w:val="clear" w:color="auto" w:fill="FFFFFF"/>
            <w:vAlign w:val="center"/>
            <w:hideMark/>
          </w:tcPr>
          <w:p w:rsidR="00FC7A65" w:rsidRPr="00B15F82" w:rsidRDefault="00FC7A65">
            <w:pPr>
              <w:spacing w:line="254" w:lineRule="auto"/>
              <w:jc w:val="center"/>
              <w:rPr>
                <w:sz w:val="18"/>
                <w:szCs w:val="18"/>
                <w:lang w:eastAsia="sk-SK"/>
              </w:rPr>
            </w:pPr>
            <w:r w:rsidRPr="00B15F82">
              <w:rPr>
                <w:sz w:val="18"/>
                <w:szCs w:val="18"/>
                <w:lang w:eastAsia="sk-SK"/>
              </w:rPr>
              <w:t>jednorazový odpis</w:t>
            </w:r>
          </w:p>
        </w:tc>
        <w:tc>
          <w:tcPr>
            <w:tcW w:w="284" w:type="dxa"/>
            <w:gridSpan w:val="2"/>
            <w:shd w:val="clear" w:color="auto" w:fill="FFFFFF"/>
            <w:vAlign w:val="center"/>
            <w:hideMark/>
          </w:tcPr>
          <w:p w:rsidR="00FC7A65" w:rsidRPr="00B15F82" w:rsidRDefault="00FC7A65">
            <w:pPr>
              <w:spacing w:line="254" w:lineRule="auto"/>
              <w:jc w:val="center"/>
              <w:rPr>
                <w:sz w:val="18"/>
                <w:szCs w:val="18"/>
                <w:lang w:eastAsia="sk-SK"/>
              </w:rPr>
            </w:pPr>
            <w:r w:rsidRPr="00B15F8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1" w:type="dxa"/>
            <w:gridSpan w:val="2"/>
            <w:shd w:val="clear" w:color="auto" w:fill="FFFFFF"/>
            <w:vAlign w:val="center"/>
            <w:hideMark/>
          </w:tcPr>
          <w:p w:rsidR="00FC7A65" w:rsidRPr="00B15F82" w:rsidRDefault="00FC7A65">
            <w:pPr>
              <w:spacing w:line="254" w:lineRule="auto"/>
              <w:jc w:val="center"/>
              <w:rPr>
                <w:sz w:val="18"/>
                <w:szCs w:val="18"/>
                <w:lang w:eastAsia="sk-SK"/>
              </w:rPr>
            </w:pPr>
            <w:r w:rsidRPr="00B15F82">
              <w:rPr>
                <w:sz w:val="18"/>
                <w:szCs w:val="18"/>
                <w:lang w:eastAsia="sk-SK"/>
              </w:rPr>
              <w:t>100</w:t>
            </w:r>
          </w:p>
        </w:tc>
      </w:tr>
    </w:tbl>
    <w:p w:rsidR="00FC7A65" w:rsidRPr="00B15F82" w:rsidRDefault="00FC7A65" w:rsidP="00FC7A65">
      <w:pPr>
        <w:pStyle w:val="BodyText"/>
        <w:rPr>
          <w:sz w:val="24"/>
          <w:szCs w:val="24"/>
        </w:rPr>
      </w:pPr>
    </w:p>
    <w:p w:rsidR="00FC7A65" w:rsidRPr="00B15F82" w:rsidRDefault="00FC7A65" w:rsidP="00FC7A65">
      <w:pPr>
        <w:pStyle w:val="BodyText"/>
        <w:ind w:left="425"/>
        <w:rPr>
          <w:sz w:val="24"/>
          <w:szCs w:val="24"/>
        </w:rPr>
      </w:pPr>
      <w:r w:rsidRPr="00B15F82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:rsidR="00FC7A65" w:rsidRPr="00B15F82" w:rsidRDefault="00FC7A65" w:rsidP="00FC7A65">
      <w:pPr>
        <w:pStyle w:val="Pismenka"/>
        <w:numPr>
          <w:ilvl w:val="0"/>
          <w:numId w:val="0"/>
        </w:numPr>
        <w:tabs>
          <w:tab w:val="left" w:pos="708"/>
        </w:tabs>
        <w:ind w:left="425"/>
        <w:rPr>
          <w:b w:val="0"/>
          <w:bCs/>
          <w:sz w:val="24"/>
          <w:szCs w:val="24"/>
        </w:rPr>
      </w:pPr>
    </w:p>
    <w:p w:rsidR="00FC7A65" w:rsidRPr="00B15F82" w:rsidRDefault="00FC7A65" w:rsidP="00FC7A65">
      <w:pPr>
        <w:pStyle w:val="Pismenka"/>
        <w:numPr>
          <w:ilvl w:val="0"/>
          <w:numId w:val="6"/>
        </w:numPr>
        <w:tabs>
          <w:tab w:val="left" w:pos="708"/>
        </w:tabs>
        <w:rPr>
          <w:sz w:val="24"/>
          <w:szCs w:val="24"/>
        </w:rPr>
      </w:pPr>
      <w:r w:rsidRPr="00B15F82">
        <w:rPr>
          <w:sz w:val="24"/>
          <w:szCs w:val="24"/>
        </w:rPr>
        <w:t>Pohľadávky</w:t>
      </w:r>
    </w:p>
    <w:p w:rsidR="00FC7A65" w:rsidRPr="00B15F82" w:rsidRDefault="00FC7A65" w:rsidP="00FC7A65">
      <w:pPr>
        <w:pStyle w:val="BodyText"/>
        <w:ind w:left="425"/>
        <w:rPr>
          <w:sz w:val="24"/>
          <w:szCs w:val="24"/>
        </w:rPr>
      </w:pPr>
      <w:r w:rsidRPr="00B15F82">
        <w:rPr>
          <w:sz w:val="24"/>
          <w:szCs w:val="24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FC7A65" w:rsidRPr="00B15F82" w:rsidRDefault="00FC7A65" w:rsidP="00FC7A65">
      <w:pPr>
        <w:pStyle w:val="Pismenka"/>
        <w:numPr>
          <w:ilvl w:val="0"/>
          <w:numId w:val="0"/>
        </w:numPr>
        <w:tabs>
          <w:tab w:val="left" w:pos="708"/>
        </w:tabs>
        <w:ind w:left="425"/>
        <w:rPr>
          <w:sz w:val="24"/>
          <w:szCs w:val="24"/>
        </w:rPr>
      </w:pPr>
    </w:p>
    <w:p w:rsidR="00FC7A65" w:rsidRPr="00B15F82" w:rsidRDefault="00FC7A65" w:rsidP="00FC7A65">
      <w:pPr>
        <w:pStyle w:val="Pismenka"/>
        <w:numPr>
          <w:ilvl w:val="0"/>
          <w:numId w:val="6"/>
        </w:numPr>
        <w:tabs>
          <w:tab w:val="left" w:pos="708"/>
        </w:tabs>
        <w:rPr>
          <w:sz w:val="24"/>
          <w:szCs w:val="24"/>
        </w:rPr>
      </w:pPr>
      <w:r w:rsidRPr="00B15F82">
        <w:rPr>
          <w:sz w:val="24"/>
          <w:szCs w:val="24"/>
        </w:rPr>
        <w:t>Finančné účty</w:t>
      </w:r>
    </w:p>
    <w:p w:rsidR="00FC7A65" w:rsidRPr="00B15F82" w:rsidRDefault="00FC7A65" w:rsidP="00FC7A65">
      <w:pPr>
        <w:autoSpaceDE w:val="0"/>
        <w:autoSpaceDN w:val="0"/>
        <w:adjustRightInd w:val="0"/>
        <w:ind w:left="425"/>
        <w:jc w:val="both"/>
        <w:rPr>
          <w:sz w:val="24"/>
          <w:szCs w:val="24"/>
        </w:rPr>
      </w:pPr>
      <w:r w:rsidRPr="00B15F82">
        <w:rPr>
          <w:sz w:val="24"/>
          <w:szCs w:val="24"/>
        </w:rPr>
        <w:t>Finančné účty tvorí peňažná hotovosť, zostatok na bankovom účte a oceňujú sa menovitou hodnotou. Zníženie ich hodnoty sa vyjadruje opravnou položkou.</w:t>
      </w:r>
    </w:p>
    <w:p w:rsidR="00FC7A65" w:rsidRPr="00B15F82" w:rsidRDefault="00FC7A65" w:rsidP="00FC7A65">
      <w:pPr>
        <w:pStyle w:val="Pismenka"/>
        <w:numPr>
          <w:ilvl w:val="0"/>
          <w:numId w:val="6"/>
        </w:numPr>
        <w:tabs>
          <w:tab w:val="left" w:pos="708"/>
        </w:tabs>
        <w:rPr>
          <w:sz w:val="24"/>
          <w:szCs w:val="24"/>
        </w:rPr>
      </w:pPr>
      <w:r w:rsidRPr="00B15F82">
        <w:rPr>
          <w:sz w:val="24"/>
          <w:szCs w:val="24"/>
        </w:rPr>
        <w:t>Záväzky</w:t>
      </w:r>
    </w:p>
    <w:p w:rsidR="00FC7A65" w:rsidRPr="00B15F82" w:rsidRDefault="00FC7A65" w:rsidP="00FC7A65">
      <w:pPr>
        <w:pStyle w:val="BodyText"/>
        <w:ind w:left="425"/>
        <w:rPr>
          <w:sz w:val="24"/>
          <w:szCs w:val="24"/>
        </w:rPr>
      </w:pPr>
      <w:r w:rsidRPr="00B15F82">
        <w:rPr>
          <w:sz w:val="24"/>
          <w:szCs w:val="24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FC7A65" w:rsidRPr="00B15F82" w:rsidRDefault="00FC7A65" w:rsidP="00FC7A65">
      <w:pPr>
        <w:pStyle w:val="BodyText"/>
        <w:ind w:left="425"/>
        <w:rPr>
          <w:sz w:val="24"/>
          <w:szCs w:val="24"/>
        </w:rPr>
      </w:pPr>
    </w:p>
    <w:p w:rsidR="00FC7A65" w:rsidRPr="00B15F82" w:rsidRDefault="00FC7A65" w:rsidP="00FC7A65">
      <w:pPr>
        <w:pStyle w:val="Pismenka"/>
        <w:numPr>
          <w:ilvl w:val="0"/>
          <w:numId w:val="6"/>
        </w:numPr>
        <w:tabs>
          <w:tab w:val="left" w:pos="708"/>
        </w:tabs>
        <w:rPr>
          <w:sz w:val="24"/>
          <w:szCs w:val="24"/>
        </w:rPr>
      </w:pPr>
      <w:bookmarkStart w:id="0" w:name="_Toc530739900"/>
      <w:r w:rsidRPr="00B15F82">
        <w:rPr>
          <w:sz w:val="24"/>
          <w:szCs w:val="24"/>
        </w:rPr>
        <w:t>Oprava chýb minulých období</w:t>
      </w:r>
    </w:p>
    <w:p w:rsidR="00FC7A65" w:rsidRPr="00B97A73" w:rsidRDefault="00FC7A65" w:rsidP="00FC7A65">
      <w:pPr>
        <w:pStyle w:val="BodyText"/>
        <w:ind w:left="425"/>
        <w:rPr>
          <w:sz w:val="24"/>
          <w:szCs w:val="24"/>
        </w:rPr>
      </w:pPr>
      <w:r w:rsidRPr="00B15F82">
        <w:rPr>
          <w:sz w:val="24"/>
          <w:szCs w:val="24"/>
        </w:rPr>
        <w:t xml:space="preserve">Ak spoločnosť zistí v bežnom účtovnom období významnú chybu týkajúcu sa minulých účtovných období, opraví túto chybu na účtoch 428 – Nerozdelený zisk minulých rokov a 429 – Neuhradená strata minulých rokov, </w:t>
      </w:r>
      <w:proofErr w:type="spellStart"/>
      <w:r w:rsidRPr="00B15F82">
        <w:rPr>
          <w:sz w:val="24"/>
          <w:szCs w:val="24"/>
        </w:rPr>
        <w:t>t.j</w:t>
      </w:r>
      <w:proofErr w:type="spellEnd"/>
      <w:r w:rsidRPr="00B15F82">
        <w:rPr>
          <w:sz w:val="24"/>
          <w:szCs w:val="24"/>
        </w:rPr>
        <w:t xml:space="preserve">. bez vplyvu na výsledok hospodárenia </w:t>
      </w:r>
      <w:r w:rsidRPr="00B97A73">
        <w:rPr>
          <w:sz w:val="24"/>
          <w:szCs w:val="24"/>
        </w:rPr>
        <w:t>v bežnom účtovnom období. Opravy nevýznamných chýb minulých účtovných období sa účtujú v bežnom účtovnom období na príslušný nákladový alebo výnosový účet.</w:t>
      </w:r>
    </w:p>
    <w:p w:rsidR="00FC7A65" w:rsidRPr="00B97A73" w:rsidRDefault="00FC7A65" w:rsidP="00FC7A65">
      <w:pPr>
        <w:pStyle w:val="BodyText"/>
        <w:ind w:left="425"/>
        <w:rPr>
          <w:sz w:val="24"/>
          <w:szCs w:val="24"/>
        </w:rPr>
      </w:pPr>
    </w:p>
    <w:p w:rsidR="00B97A73" w:rsidRPr="00B97A73" w:rsidRDefault="00B97A73" w:rsidP="00B97A73">
      <w:pPr>
        <w:pStyle w:val="BodyText"/>
        <w:ind w:left="425"/>
        <w:jc w:val="center"/>
        <w:rPr>
          <w:b/>
          <w:sz w:val="24"/>
          <w:szCs w:val="24"/>
        </w:rPr>
      </w:pPr>
      <w:r w:rsidRPr="00B97A73">
        <w:rPr>
          <w:b/>
          <w:sz w:val="24"/>
          <w:szCs w:val="24"/>
        </w:rPr>
        <w:t>Čl. III.</w:t>
      </w:r>
    </w:p>
    <w:p w:rsidR="00FC7A65" w:rsidRPr="00B97A73" w:rsidRDefault="00B97A73" w:rsidP="00B97A73">
      <w:pPr>
        <w:pStyle w:val="odstavec"/>
        <w:ind w:left="448"/>
        <w:jc w:val="center"/>
        <w:rPr>
          <w:b/>
          <w:sz w:val="24"/>
          <w:szCs w:val="24"/>
        </w:rPr>
      </w:pPr>
      <w:r w:rsidRPr="00B97A73">
        <w:rPr>
          <w:b/>
          <w:sz w:val="24"/>
          <w:szCs w:val="24"/>
        </w:rPr>
        <w:t>Informácie o orgánoch účtovnej závierky</w:t>
      </w:r>
    </w:p>
    <w:p w:rsidR="00FC7A65" w:rsidRPr="00B97A73" w:rsidRDefault="00FC7A65" w:rsidP="00B97A73">
      <w:pPr>
        <w:pStyle w:val="Heading1"/>
        <w:numPr>
          <w:ilvl w:val="0"/>
          <w:numId w:val="0"/>
        </w:numPr>
        <w:jc w:val="both"/>
        <w:rPr>
          <w:sz w:val="24"/>
          <w:szCs w:val="24"/>
        </w:rPr>
      </w:pPr>
      <w:bookmarkStart w:id="1" w:name="_MON_1500889926"/>
      <w:bookmarkStart w:id="2" w:name="_MON_1405949598"/>
      <w:bookmarkStart w:id="3" w:name="_MON_1500378563"/>
      <w:bookmarkEnd w:id="0"/>
      <w:bookmarkEnd w:id="1"/>
      <w:bookmarkEnd w:id="2"/>
      <w:bookmarkEnd w:id="3"/>
    </w:p>
    <w:p w:rsidR="00FC7A65" w:rsidRPr="00B97A73" w:rsidRDefault="00FC7A65" w:rsidP="00FC7A65">
      <w:pPr>
        <w:pStyle w:val="BodyText"/>
        <w:ind w:left="425"/>
        <w:rPr>
          <w:sz w:val="24"/>
          <w:szCs w:val="24"/>
        </w:rPr>
      </w:pPr>
      <w:r w:rsidRPr="00B97A73">
        <w:rPr>
          <w:sz w:val="24"/>
          <w:szCs w:val="24"/>
        </w:rPr>
        <w:t xml:space="preserve">Členom štatutárneho orgánu, ani členom </w:t>
      </w:r>
      <w:r w:rsidR="00B15F82" w:rsidRPr="00B97A73">
        <w:rPr>
          <w:sz w:val="24"/>
          <w:szCs w:val="24"/>
        </w:rPr>
        <w:t>dozorných orgánov  neboli v</w:t>
      </w:r>
      <w:r w:rsidR="00B97A73" w:rsidRPr="00B97A73">
        <w:rPr>
          <w:sz w:val="24"/>
          <w:szCs w:val="24"/>
        </w:rPr>
        <w:t xml:space="preserve"> uplynulom období </w:t>
      </w:r>
      <w:r w:rsidRPr="00B97A73">
        <w:rPr>
          <w:sz w:val="24"/>
          <w:szCs w:val="24"/>
        </w:rPr>
        <w:t xml:space="preserve">  poskytnuté žiadne pôžičky, záruky alebo iné formy zabezpečenia, ani finančné prostriedky alebo iné plnenia na súkromné účely členov, ktoré sa vyúčtovávajú</w:t>
      </w:r>
      <w:r w:rsidR="00B97A73" w:rsidRPr="00B97A73">
        <w:rPr>
          <w:sz w:val="24"/>
          <w:szCs w:val="24"/>
        </w:rPr>
        <w:t>.</w:t>
      </w:r>
    </w:p>
    <w:p w:rsidR="00446588" w:rsidRPr="00B97A73" w:rsidRDefault="00446588">
      <w:pPr>
        <w:rPr>
          <w:sz w:val="24"/>
          <w:szCs w:val="24"/>
        </w:rPr>
      </w:pPr>
      <w:bookmarkStart w:id="4" w:name="_GoBack"/>
      <w:bookmarkEnd w:id="4"/>
    </w:p>
    <w:sectPr w:rsidR="00446588" w:rsidRPr="00B97A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E742B"/>
    <w:multiLevelType w:val="hybridMultilevel"/>
    <w:tmpl w:val="1D4C4C0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836FC0"/>
    <w:multiLevelType w:val="hybridMultilevel"/>
    <w:tmpl w:val="D0DE6EFA"/>
    <w:lvl w:ilvl="0" w:tplc="90245D3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3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3473C13"/>
    <w:multiLevelType w:val="singleLevel"/>
    <w:tmpl w:val="3080EF0E"/>
    <w:lvl w:ilvl="0">
      <w:start w:val="1"/>
      <w:numFmt w:val="upperLetter"/>
      <w:pStyle w:val="Heading1"/>
      <w:lvlText w:val="%1."/>
      <w:lvlJc w:val="left"/>
      <w:pPr>
        <w:tabs>
          <w:tab w:val="num" w:pos="2062"/>
        </w:tabs>
        <w:ind w:left="2062" w:hanging="360"/>
      </w:pPr>
      <w:rPr>
        <w:rFonts w:cs="Times New Roman"/>
      </w:rPr>
    </w:lvl>
  </w:abstractNum>
  <w:abstractNum w:abstractNumId="5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6" w15:restartNumberingAfterBreak="0">
    <w:nsid w:val="7D754DCD"/>
    <w:multiLevelType w:val="hybridMultilevel"/>
    <w:tmpl w:val="F85806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ECD4FE8"/>
    <w:multiLevelType w:val="hybridMultilevel"/>
    <w:tmpl w:val="D9AAD0C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  <w:lvlOverride w:ilvl="0">
      <w:startOverride w:val="1"/>
    </w:lvlOverride>
  </w:num>
  <w:num w:numId="3">
    <w:abstractNumId w:val="5"/>
    <w:lvlOverride w:ilvl="0">
      <w:startOverride w:val="1"/>
    </w:lvlOverride>
  </w:num>
  <w:num w:numId="4">
    <w:abstractNumId w:val="2"/>
    <w:lvlOverride w:ilvl="0">
      <w:startOverride w:val="1"/>
    </w:lvlOverride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7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71F9"/>
    <w:rsid w:val="000D1C03"/>
    <w:rsid w:val="001E42F6"/>
    <w:rsid w:val="00446588"/>
    <w:rsid w:val="004C09B4"/>
    <w:rsid w:val="005C65D7"/>
    <w:rsid w:val="00AD2A64"/>
    <w:rsid w:val="00B15F82"/>
    <w:rsid w:val="00B971F9"/>
    <w:rsid w:val="00B97A73"/>
    <w:rsid w:val="00BE141B"/>
    <w:rsid w:val="00FC7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C0BEA2"/>
  <w15:chartTrackingRefBased/>
  <w15:docId w15:val="{46708C1D-6B1F-4DFA-B8EC-BF07A83E41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FC7A65"/>
    <w:pPr>
      <w:keepNext/>
      <w:numPr>
        <w:numId w:val="2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C7A65"/>
    <w:pPr>
      <w:keepNext/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C65D7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FC7A65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C7A65"/>
    <w:rPr>
      <w:rFonts w:ascii="Times New Roman" w:eastAsia="Times New Roman" w:hAnsi="Times New Roman" w:cs="Times New Roman"/>
      <w:b/>
      <w:sz w:val="18"/>
      <w:szCs w:val="20"/>
    </w:rPr>
  </w:style>
  <w:style w:type="paragraph" w:styleId="BodyText">
    <w:name w:val="Body Text"/>
    <w:basedOn w:val="Normal"/>
    <w:link w:val="BodyTextChar"/>
    <w:semiHidden/>
    <w:unhideWhenUsed/>
    <w:rsid w:val="00FC7A6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FC7A65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BodyText"/>
    <w:rsid w:val="00FC7A65"/>
    <w:pPr>
      <w:numPr>
        <w:numId w:val="3"/>
      </w:numPr>
    </w:pPr>
    <w:rPr>
      <w:b/>
    </w:rPr>
  </w:style>
  <w:style w:type="character" w:customStyle="1" w:styleId="odstavecChar">
    <w:name w:val="odstavec Char"/>
    <w:basedOn w:val="DefaultParagraphFont"/>
    <w:link w:val="odstavec"/>
    <w:locked/>
    <w:rsid w:val="00FC7A65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al"/>
    <w:link w:val="odstavecChar"/>
    <w:autoRedefine/>
    <w:rsid w:val="00FC7A65"/>
    <w:pPr>
      <w:suppressAutoHyphens/>
      <w:spacing w:after="0" w:line="240" w:lineRule="auto"/>
      <w:ind w:left="426"/>
      <w:jc w:val="both"/>
    </w:pPr>
    <w:rPr>
      <w:rFonts w:ascii="Times New Roman" w:hAnsi="Times New Roman" w:cs="Times New Roman"/>
      <w:bCs/>
      <w:iCs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C7A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C7A6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803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85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</Pages>
  <Words>557</Words>
  <Characters>3181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Gasparikova Sylvia</dc:creator>
  <cp:keywords/>
  <dc:description/>
  <cp:lastModifiedBy>Gasparikova Sylvia</cp:lastModifiedBy>
  <cp:revision>14</cp:revision>
  <cp:lastPrinted>2026-02-24T08:13:00Z</cp:lastPrinted>
  <dcterms:created xsi:type="dcterms:W3CDTF">2026-02-22T15:32:00Z</dcterms:created>
  <dcterms:modified xsi:type="dcterms:W3CDTF">2026-02-24T08:47:00Z</dcterms:modified>
</cp:coreProperties>
</file>