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ind w:left="0" w:hanging="0"/>
        <w:outlineLvl w:val="1"/>
        <w:rPr>
          <w:rFonts w:ascii="Arial;Arial Narrow" w:hAnsi="Arial;Arial Narrow" w:cs="Arial;Arial Narrow"/>
          <w:b/>
          <w:b/>
          <w:bCs/>
          <w:sz w:val="20"/>
        </w:rPr>
      </w:pPr>
      <w:r>
        <w:rPr>
          <w:rFonts w:cs="Arial;Arial Narrow" w:ascii="Arial;Arial Narrow" w:hAnsi="Arial;Arial Narrow"/>
          <w:b/>
          <w:bCs/>
          <w:sz w:val="20"/>
        </w:rPr>
        <w:tab/>
        <w:tab/>
      </w:r>
    </w:p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ind w:left="0" w:hanging="0"/>
        <w:outlineLvl w:val="1"/>
        <w:rPr>
          <w:rFonts w:ascii="Arial;Arial Narrow" w:hAnsi="Arial;Arial Narrow" w:cs="Arial;Arial Narrow"/>
          <w:b/>
          <w:b/>
          <w:bCs/>
          <w:sz w:val="20"/>
        </w:rPr>
      </w:pPr>
      <w:r>
        <w:rPr>
          <w:rFonts w:cs="Arial;Arial Narrow" w:ascii="Arial;Arial Narrow" w:hAnsi="Arial;Arial Narrow"/>
          <w:b/>
          <w:bCs/>
          <w:sz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hanging="709"/>
        <w:jc w:val="center"/>
        <w:rPr>
          <w:i/>
          <w:i/>
          <w:sz w:val="20"/>
          <w:szCs w:val="20"/>
        </w:rPr>
      </w:pPr>
      <w:r>
        <w:rPr>
          <w:i/>
          <w:szCs w:val="20"/>
        </w:rPr>
        <w:t xml:space="preserve">Všeobecné informácie             </w:t>
      </w:r>
    </w:p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ind w:left="0" w:hanging="0"/>
        <w:outlineLvl w:val="1"/>
        <w:rPr>
          <w:rFonts w:ascii="Arial;Arial Narrow" w:hAnsi="Arial;Arial Narrow" w:cs="Arial;Arial Narrow"/>
          <w:b/>
          <w:b/>
          <w:bCs/>
          <w:i/>
          <w:i/>
          <w:sz w:val="20"/>
          <w:szCs w:val="20"/>
        </w:rPr>
      </w:pPr>
      <w:r>
        <w:rPr>
          <w:rFonts w:cs="Arial;Arial Narrow" w:ascii="Arial;Arial Narrow" w:hAnsi="Arial;Arial Narrow"/>
          <w:b/>
          <w:bCs/>
          <w:i/>
          <w:sz w:val="20"/>
          <w:szCs w:val="20"/>
        </w:rPr>
      </w:r>
    </w:p>
    <w:p>
      <w:pPr>
        <w:pStyle w:val="Normal"/>
        <w:ind w:left="425" w:hanging="0"/>
        <w:jc w:val="both"/>
        <w:rPr>
          <w:rFonts w:ascii="Arial;Arial Narrow" w:hAnsi="Arial;Arial Narrow" w:cs="Arial;Arial Narrow"/>
          <w:b/>
          <w:b/>
          <w:bCs/>
          <w:sz w:val="18"/>
          <w:szCs w:val="22"/>
        </w:rPr>
      </w:pPr>
      <w:r>
        <w:rPr>
          <w:rFonts w:cs="Arial;Arial Narrow" w:ascii="Arial;Arial Narrow" w:hAnsi="Arial;Arial Narrow"/>
          <w:b/>
          <w:bCs/>
          <w:sz w:val="18"/>
          <w:szCs w:val="22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8"/>
        <w:gridCol w:w="7097"/>
      </w:tblGrid>
      <w:tr>
        <w:trPr>
          <w:trHeight w:val="1100" w:hRule="atLeast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widowControl w:val="fals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Obchodné meno:</w:t>
            </w:r>
          </w:p>
        </w:tc>
        <w:tc>
          <w:tcPr>
            <w:tcW w:w="709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SoftVtech s.r.o.</w:t>
            </w:r>
          </w:p>
        </w:tc>
      </w:tr>
      <w:tr>
        <w:trPr>
          <w:trHeight w:val="340" w:hRule="atLeast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Sídlo:</w:t>
            </w:r>
          </w:p>
        </w:tc>
        <w:tc>
          <w:tcPr>
            <w:tcW w:w="7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Tržná 13, 97901 Rimavská Sobota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261"/>
        <w:gridCol w:w="992"/>
        <w:gridCol w:w="425"/>
        <w:gridCol w:w="4255"/>
        <w:gridCol w:w="432"/>
      </w:tblGrid>
      <w:tr>
        <w:trPr>
          <w:trHeight w:val="340" w:hRule="atLeast"/>
        </w:trPr>
        <w:tc>
          <w:tcPr>
            <w:tcW w:w="936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widowControl w:val="fals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b/>
                <w:b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Údaje o konsolidovanom celku</w:t>
            </w:r>
          </w:p>
        </w:tc>
      </w:tr>
      <w:tr>
        <w:trPr>
          <w:trHeight w:val="340" w:hRule="atLeast"/>
        </w:trPr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X</w:t>
            </w:r>
          </w:p>
        </w:tc>
        <w:tc>
          <w:tcPr>
            <w:tcW w:w="4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</w:rPr>
              <w:t>ÚJ je súčasťou konsolidovaného celku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ind w:left="56" w:hanging="0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36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ind w:left="214" w:hanging="0"/>
              <w:rPr>
                <w:rFonts w:ascii="Arial;Arial Narrow" w:hAnsi="Arial;Arial Narrow" w:cs="Arial;Arial Narrow"/>
                <w:i/>
                <w:i/>
                <w:sz w:val="18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a)obchodné meno a sídlo konsolidujúcej ÚJ, ktorá zostavuje konsolidovanú účtovnú závierku za tú skupinu účtovných jednotiek konsolidovaného celku, ktorého súčasťou je aj ÚJ;</w:t>
            </w:r>
          </w:p>
        </w:tc>
      </w:tr>
      <w:tr>
        <w:trPr>
          <w:trHeight w:val="340" w:hRule="atLeast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Meno ÚJ, ktorá je bezprostredne konsolidujúcou ÚJ:</w:t>
            </w:r>
          </w:p>
        </w:tc>
        <w:tc>
          <w:tcPr>
            <w:tcW w:w="6104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Sídlo :</w:t>
            </w:r>
          </w:p>
        </w:tc>
        <w:tc>
          <w:tcPr>
            <w:tcW w:w="610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</w:tbl>
    <w:p>
      <w:pPr>
        <w:pStyle w:val="Normal"/>
        <w:ind w:right="112" w:hanging="0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26"/>
        <w:gridCol w:w="1359"/>
        <w:gridCol w:w="1758"/>
        <w:gridCol w:w="709"/>
        <w:gridCol w:w="570"/>
        <w:gridCol w:w="567"/>
        <w:gridCol w:w="577"/>
      </w:tblGrid>
      <w:tr>
        <w:trPr>
          <w:trHeight w:val="340" w:hRule="atLeast"/>
        </w:trPr>
        <w:tc>
          <w:tcPr>
            <w:tcW w:w="69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ind w:left="318" w:hanging="0"/>
              <w:rPr>
                <w:rFonts w:ascii="Arial;Arial Narrow" w:hAnsi="Arial;Arial Narrow" w:cs="Arial;Arial Narrow"/>
                <w:b/>
                <w:b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b)ÚJ je materskou účtovnou jednotkou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69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before="0" w:after="0"/>
              <w:ind w:left="318" w:hanging="0"/>
              <w:rPr>
                <w:rFonts w:ascii="Arial;Arial Narrow" w:hAnsi="Arial;Arial Narrow" w:cs="Arial;Arial Narrow"/>
                <w:i/>
                <w:i/>
                <w:sz w:val="18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ÚJ je oslobodená od povinnosti zostaviť konsolidovanú ÚZ podľa §22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Obchodné meno a sídlo materskej ÚJ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left="34" w:hanging="0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§ 22 ods.8</w:t>
            </w:r>
          </w:p>
        </w:tc>
        <w:tc>
          <w:tcPr>
            <w:tcW w:w="418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Obchodné meno asídlo dcérskych ÚJ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left="34" w:hanging="0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§ 22 ods.12</w:t>
            </w:r>
          </w:p>
        </w:tc>
        <w:tc>
          <w:tcPr>
            <w:tcW w:w="418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tabs>
          <w:tab w:val="clear" w:pos="709"/>
          <w:tab w:val="left" w:pos="851" w:leader="none"/>
        </w:tabs>
        <w:jc w:val="center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</w:r>
    </w:p>
    <w:p>
      <w:pPr>
        <w:pStyle w:val="Normal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37"/>
        <w:gridCol w:w="1428"/>
      </w:tblGrid>
      <w:tr>
        <w:trPr>
          <w:trHeight w:val="340" w:hRule="atLeast"/>
        </w:trPr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widowControl w:val="fals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Priemerný prepočítaný počet zamestnancov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2</w:t>
            </w:r>
          </w:p>
        </w:tc>
      </w:tr>
    </w:tbl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i/>
          <w:i/>
          <w:sz w:val="20"/>
          <w:szCs w:val="20"/>
        </w:rPr>
      </w:pPr>
      <w:r>
        <w:rPr>
          <w:rFonts w:cs="Arial;Arial Narrow" w:ascii="Arial;Arial Narrow" w:hAnsi="Arial;Arial Narrow"/>
          <w:i/>
          <w:sz w:val="20"/>
          <w:szCs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hanging="709"/>
        <w:jc w:val="center"/>
        <w:rPr>
          <w:i/>
          <w:i/>
          <w:szCs w:val="20"/>
        </w:rPr>
      </w:pPr>
      <w:r>
        <w:rPr>
          <w:i/>
          <w:szCs w:val="20"/>
        </w:rPr>
        <w:t>Informácie o prijatých postupoch</w:t>
      </w:r>
    </w:p>
    <w:p>
      <w:pPr>
        <w:pStyle w:val="Normal"/>
        <w:ind w:left="1121" w:hanging="0"/>
        <w:jc w:val="both"/>
        <w:rPr>
          <w:rFonts w:ascii="Arial;Arial Narrow" w:hAnsi="Arial;Arial Narrow" w:cs="Arial;Arial Narrow"/>
          <w:b/>
          <w:b/>
          <w:i/>
          <w:i/>
          <w:sz w:val="20"/>
          <w:szCs w:val="20"/>
        </w:rPr>
      </w:pPr>
      <w:r>
        <w:rPr>
          <w:rFonts w:cs="Arial;Arial Narrow" w:ascii="Arial;Arial Narrow" w:hAnsi="Arial;Arial Narrow"/>
          <w:b/>
          <w:i/>
          <w:sz w:val="20"/>
          <w:szCs w:val="20"/>
        </w:rPr>
      </w:r>
    </w:p>
    <w:p>
      <w:pPr>
        <w:pStyle w:val="Normal"/>
        <w:ind w:left="1121" w:hanging="0"/>
        <w:jc w:val="both"/>
        <w:rPr>
          <w:rFonts w:ascii="Arial;Arial Narrow" w:hAnsi="Arial;Arial Narrow" w:cs="Arial;Arial Narrow"/>
          <w:b/>
          <w:b/>
          <w:sz w:val="20"/>
        </w:rPr>
      </w:pPr>
      <w:r>
        <w:rPr>
          <w:rFonts w:cs="Arial;Arial Narrow" w:ascii="Arial;Arial Narrow" w:hAnsi="Arial;Arial Narrow"/>
          <w:b/>
          <w:sz w:val="20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6"/>
        <w:gridCol w:w="6369"/>
        <w:gridCol w:w="709"/>
        <w:gridCol w:w="568"/>
        <w:gridCol w:w="567"/>
        <w:gridCol w:w="576"/>
      </w:tblGrid>
      <w:tr>
        <w:trPr>
          <w:trHeight w:val="522" w:hRule="exact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widowControl w:val="fals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6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b/>
                <w:b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Účtovná závierka bola zostavená za predpokladu, že účtovná jednotka bude nepretržite pokračovať vo svojej činnosti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Odsekzoznamu"/>
        <w:keepNext w:val="true"/>
        <w:numPr>
          <w:ilvl w:val="0"/>
          <w:numId w:val="0"/>
        </w:numPr>
        <w:spacing w:before="0" w:after="0"/>
        <w:ind w:left="357" w:hanging="0"/>
        <w:contextualSpacing/>
        <w:jc w:val="both"/>
        <w:outlineLvl w:val="1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4"/>
        <w:gridCol w:w="8369"/>
        <w:gridCol w:w="432"/>
      </w:tblGrid>
      <w:tr>
        <w:trPr>
          <w:trHeight w:val="283" w:hRule="atLeast"/>
        </w:trPr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dsekzoznamu"/>
              <w:keepNext w:val="true"/>
              <w:widowControl w:val="fals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8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Spôsob oceňovania jednotlivých položiek majetku a záväzkov</w:t>
            </w:r>
          </w:p>
        </w:tc>
      </w:tr>
      <w:tr>
        <w:trPr>
          <w:trHeight w:val="283" w:hRule="atLeast"/>
        </w:trPr>
        <w:tc>
          <w:tcPr>
            <w:tcW w:w="93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Obstarávacou cenou</w:t>
            </w:r>
          </w:p>
        </w:tc>
      </w:tr>
      <w:tr>
        <w:trPr>
          <w:trHeight w:val="283" w:hRule="atLeast"/>
        </w:trPr>
        <w:tc>
          <w:tcPr>
            <w:tcW w:w="89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1. hmotný majetok s výnimkou hmotného majetku vytvoreného vlastnou činnosťou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2. zásoby s výnimkou zásob vytvorených vlastnou činnosťou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3. podiely na ZI obchodných spoločností,  cenné papiere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4. pohľadávky pri odplatnom nadobudnutí alebo pohľadávky nadobudnuté vkladom do ZI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5. nehmotný majetok s výnimkou nehmotného majetku vytvoreného vlastnou činnosťou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6. záväzky pri ich prevzatí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3"/>
        <w:gridCol w:w="432"/>
      </w:tblGrid>
      <w:tr>
        <w:trPr>
          <w:trHeight w:val="283" w:hRule="atLeast"/>
        </w:trPr>
        <w:tc>
          <w:tcPr>
            <w:tcW w:w="9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Vlastnými nákladmi</w:t>
            </w:r>
          </w:p>
        </w:tc>
      </w:tr>
      <w:tr>
        <w:trPr>
          <w:trHeight w:val="283" w:hRule="atLeast"/>
        </w:trPr>
        <w:tc>
          <w:tcPr>
            <w:tcW w:w="8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1. hmotný majetok vytvorený vlastnou činnosťou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2. zásoby vytvorené vlastnou činnosťou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3. nehmotný majetok vytvorený vlastnou činnosťou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cs="Arial;Arial Narrow" w:ascii="Arial;Arial Narrow" w:hAnsi="Arial;Arial Narrow"/>
                <w:bCs/>
                <w:sz w:val="20"/>
              </w:rPr>
              <w:t>4. príchovky a prírastky zvierat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3"/>
        <w:gridCol w:w="432"/>
      </w:tblGrid>
      <w:tr>
        <w:trPr>
          <w:trHeight w:val="283" w:hRule="atLeast"/>
        </w:trPr>
        <w:tc>
          <w:tcPr>
            <w:tcW w:w="9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Menovitou hodnotou</w:t>
            </w:r>
          </w:p>
        </w:tc>
      </w:tr>
      <w:tr>
        <w:trPr>
          <w:trHeight w:val="283" w:hRule="atLeast"/>
        </w:trPr>
        <w:tc>
          <w:tcPr>
            <w:tcW w:w="8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1. peňažné prostriedky a ceniny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2. pohľadávky pri ich vzniku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3. záväzky pri ich vzniku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3"/>
        <w:gridCol w:w="432"/>
      </w:tblGrid>
      <w:tr>
        <w:trPr>
          <w:trHeight w:val="283" w:hRule="atLeast"/>
        </w:trPr>
        <w:tc>
          <w:tcPr>
            <w:tcW w:w="9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Úbytok zásob rovnakého druhu sa účtuje v ocenení:</w:t>
            </w:r>
          </w:p>
        </w:tc>
      </w:tr>
      <w:tr>
        <w:trPr>
          <w:trHeight w:val="283" w:hRule="atLeast"/>
        </w:trPr>
        <w:tc>
          <w:tcPr>
            <w:tcW w:w="8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Cenou zistenou váženým aritmetickým priemerom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Metódou FIFO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a náklady súvisiace s obstaraním(VON).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Pri vyskladnení sa VON rozpúšťajú nasledovne :VON/(PS zásob + príjem zásob) x výdaj  zásob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3"/>
        <w:gridCol w:w="432"/>
      </w:tblGrid>
      <w:tr>
        <w:trPr/>
        <w:tc>
          <w:tcPr>
            <w:tcW w:w="8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cs="Arial;Arial Narrow" w:ascii="Arial;Arial Narrow" w:hAnsi="Arial;Arial Narrow"/>
                <w:sz w:val="20"/>
              </w:rPr>
              <w:t>Výdavky budúcich období a príjmy budúcich období  sa vykazujú vo výške, ktorá je potrebná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na dodržanie zásady vecnej a časovej súvislosti s účtovným obdobím.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/>
        <w:tc>
          <w:tcPr>
            <w:tcW w:w="8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rizík alebo strát z podnikania. Oceňujú sa v očakávanej výške záväzku.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/>
        <w:tc>
          <w:tcPr>
            <w:tcW w:w="8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  <w:szCs w:val="22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rovnajúcom istine a náklady súvisiace s obstaraním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</w:tr>
      <w:tr>
        <w:trPr/>
        <w:tc>
          <w:tcPr>
            <w:tcW w:w="8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  <w:szCs w:val="22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účely podľa zákona o daniach z príjmov pri sadzbe 21 %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</w:tr>
      <w:tr>
        <w:trPr/>
        <w:tc>
          <w:tcPr>
            <w:tcW w:w="8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Náklady a výnosy časovo rozlišujú. Časovo sa ne nerozlišujú náklady a výnosy, ak ide</w:t>
            </w:r>
          </w:p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/>
        <w:tc>
          <w:tcPr>
            <w:tcW w:w="8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Náklady a výnosy časovo nerozlišujú.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</w:tr>
      <w:tr>
        <w:trPr/>
        <w:tc>
          <w:tcPr>
            <w:tcW w:w="8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before="0" w:after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4"/>
        <w:gridCol w:w="6763"/>
        <w:gridCol w:w="1604"/>
        <w:gridCol w:w="435"/>
      </w:tblGrid>
      <w:tr>
        <w:trPr>
          <w:trHeight w:val="774" w:hRule="atLeast"/>
        </w:trPr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widowControl w:val="fals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center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  <w:p>
            <w:pPr>
              <w:pStyle w:val="Odsekzoznamu"/>
              <w:keepNext w:val="true"/>
              <w:widowControl w:val="false"/>
              <w:numPr>
                <w:ilvl w:val="0"/>
                <w:numId w:val="0"/>
              </w:numPr>
              <w:spacing w:before="0" w:after="0"/>
              <w:ind w:left="357" w:hanging="0"/>
              <w:contextualSpacing/>
              <w:jc w:val="center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  <w:p>
            <w:pPr>
              <w:pStyle w:val="Odsekzoznamu"/>
              <w:keepNext w:val="true"/>
              <w:widowControl w:val="false"/>
              <w:numPr>
                <w:ilvl w:val="0"/>
                <w:numId w:val="0"/>
              </w:numPr>
              <w:spacing w:before="0" w:after="0"/>
              <w:ind w:left="357" w:hanging="0"/>
              <w:contextualSpacing/>
              <w:jc w:val="center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880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Spôsob zostavenia odpisového plánu pre jednotlivé druhy dlhodobého hmotného majetku  a dlhodobého nehmotného majetku, doba odpisovania, použité sadzby odpisov a odpisové metódy pri určení odpisov</w:t>
            </w:r>
          </w:p>
        </w:tc>
      </w:tr>
      <w:tr>
        <w:trPr/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810" w:hRule="atLeast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rovnajú.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823" w:hRule="atLeast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nerovnajú.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64" w:hRule="atLeast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2400,-eur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1700,-eur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17"/>
        <w:gridCol w:w="1278"/>
        <w:gridCol w:w="1416"/>
        <w:gridCol w:w="1134"/>
        <w:gridCol w:w="1277"/>
        <w:gridCol w:w="1143"/>
      </w:tblGrid>
      <w:tr>
        <w:trPr>
          <w:trHeight w:val="340" w:hRule="atLeast"/>
        </w:trPr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20"/>
              </w:rPr>
              <w:t>Majetok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Odpisová skupina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Doba odpisovania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Lineárne odpisy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Zrýchlené odpisy</w:t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</w:tbl>
    <w:p>
      <w:pPr>
        <w:pStyle w:val="Odsekzoznamu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5"/>
        <w:gridCol w:w="2248"/>
        <w:gridCol w:w="1842"/>
        <w:gridCol w:w="1561"/>
        <w:gridCol w:w="994"/>
        <w:gridCol w:w="709"/>
        <w:gridCol w:w="423"/>
        <w:gridCol w:w="711"/>
        <w:gridCol w:w="432"/>
      </w:tblGrid>
      <w:tr>
        <w:trPr>
          <w:trHeight w:val="340" w:hRule="exact"/>
        </w:trPr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widowControl w:val="fals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664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left="528" w:hanging="0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X</w:t>
            </w:r>
          </w:p>
        </w:tc>
      </w:tr>
      <w:tr>
        <w:trPr>
          <w:trHeight w:val="388" w:hRule="atLeast"/>
        </w:trPr>
        <w:tc>
          <w:tcPr>
            <w:tcW w:w="269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Dôvod uplatnenia</w:t>
            </w:r>
          </w:p>
        </w:tc>
        <w:tc>
          <w:tcPr>
            <w:tcW w:w="483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Vplyv (+/-) zmeny na:</w:t>
            </w:r>
          </w:p>
        </w:tc>
      </w:tr>
      <w:tr>
        <w:trPr>
          <w:trHeight w:val="301" w:hRule="atLeast"/>
        </w:trPr>
        <w:tc>
          <w:tcPr>
            <w:tcW w:w="2693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2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Hodnotu majetku</w:t>
            </w:r>
          </w:p>
        </w:tc>
        <w:tc>
          <w:tcPr>
            <w:tcW w:w="17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Vlastné imanie</w:t>
            </w:r>
          </w:p>
        </w:tc>
        <w:tc>
          <w:tcPr>
            <w:tcW w:w="15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Výsledok hospodárenia</w:t>
            </w:r>
          </w:p>
        </w:tc>
      </w:tr>
      <w:tr>
        <w:trPr>
          <w:trHeight w:val="340" w:hRule="atLeast"/>
        </w:trPr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</w:tbl>
    <w:p>
      <w:pPr>
        <w:pStyle w:val="Odsekzoznamu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26"/>
        <w:gridCol w:w="5670"/>
        <w:gridCol w:w="1703"/>
        <w:gridCol w:w="1566"/>
      </w:tblGrid>
      <w:tr>
        <w:trPr>
          <w:trHeight w:val="278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widowControl w:val="fals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center"/>
              <w:outlineLvl w:val="1"/>
              <w:rPr>
                <w:rFonts w:ascii="Arial;Arial Narrow" w:hAnsi="Arial;Arial Narrow" w:cs="Arial;Arial Narrow"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Cs/>
                <w:kern w:val="2"/>
                <w:szCs w:val="22"/>
                <w:lang w:eastAsia="sk-SK"/>
              </w:rPr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widowControl w:val="false"/>
              <w:ind w:left="39" w:hanging="0"/>
              <w:rPr>
                <w:rFonts w:ascii="Arial;Arial Narrow" w:hAnsi="Arial;Arial Narrow" w:cs="Arial;Arial Narrow"/>
                <w:b/>
                <w:b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widowControl w:val="false"/>
              <w:snapToGrid w:val="false"/>
              <w:ind w:left="0" w:hanging="0"/>
              <w:rPr>
                <w:rFonts w:ascii="Arial;Arial Narrow" w:hAnsi="Arial;Arial Narrow" w:cs="Arial;Arial Narrow"/>
                <w:b/>
                <w:b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kern w:val="2"/>
                <w:szCs w:val="22"/>
                <w:lang w:eastAsia="sk-SK"/>
              </w:rPr>
            </w: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widowControl w:val="false"/>
              <w:ind w:left="0" w:hanging="0"/>
              <w:jc w:val="center"/>
              <w:rPr>
                <w:rFonts w:ascii="Arial;Arial Narrow" w:hAnsi="Arial;Arial Narrow" w:cs="Arial;Arial Narrow"/>
                <w:sz w:val="20"/>
                <w:lang w:val="sk-SK" w:eastAsia="sk-SK"/>
              </w:rPr>
            </w:pPr>
            <w:r>
              <w:rPr>
                <w:rFonts w:cs="Arial;Arial Narrow" w:ascii="Arial;Arial Narrow" w:hAnsi="Arial;Arial Narrow"/>
                <w:sz w:val="20"/>
                <w:lang w:val="sk-SK"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bCs/>
                <w:kern w:val="2"/>
                <w:sz w:val="20"/>
                <w:szCs w:val="22"/>
                <w:lang w:val="sk-SK" w:eastAsia="sk-SK"/>
              </w:rPr>
            </w:pPr>
            <w:r>
              <w:rPr>
                <w:rFonts w:cs="Arial;Arial Narrow" w:ascii="Arial;Arial Narrow" w:hAnsi="Arial;Arial Narrow"/>
                <w:bCs/>
                <w:kern w:val="2"/>
                <w:sz w:val="20"/>
                <w:szCs w:val="22"/>
                <w:lang w:val="sk-SK" w:eastAsia="sk-SK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ind w:left="709" w:hanging="0"/>
        <w:jc w:val="both"/>
        <w:rPr>
          <w:rFonts w:ascii="Arial;Arial Narrow" w:hAnsi="Arial;Arial Narrow" w:cs="Arial;Arial Narrow"/>
          <w:sz w:val="18"/>
          <w:szCs w:val="22"/>
        </w:rPr>
      </w:pPr>
      <w:r>
        <w:rPr>
          <w:rFonts w:cs="Arial;Arial Narrow" w:ascii="Arial;Arial Narrow" w:hAnsi="Arial;Arial Narrow"/>
          <w:sz w:val="18"/>
          <w:szCs w:val="22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26"/>
        <w:gridCol w:w="2820"/>
        <w:gridCol w:w="983"/>
        <w:gridCol w:w="833"/>
        <w:gridCol w:w="2025"/>
        <w:gridCol w:w="2279"/>
      </w:tblGrid>
      <w:tr>
        <w:trPr>
          <w:trHeight w:val="503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widowControl w:val="fals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center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94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>
        <w:trPr/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Opravy minulého obdobia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</w:rPr>
              <w:t>Patrí do obdobia</w:t>
            </w:r>
          </w:p>
        </w:tc>
        <w:tc>
          <w:tcPr>
            <w:tcW w:w="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</w:rPr>
              <w:t>Účet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Účtované na účet HV min. období (EUR)</w:t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Účtované do HV bežného  obdobia(EUR)</w:t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</w:tbl>
    <w:p>
      <w:pPr>
        <w:pStyle w:val="Normal"/>
        <w:ind w:left="360" w:hanging="0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ind w:left="360" w:hanging="0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hanging="709"/>
        <w:jc w:val="center"/>
        <w:rPr/>
      </w:pPr>
      <w:r>
        <w:rPr>
          <w:i/>
          <w:szCs w:val="20"/>
        </w:rPr>
        <w:t>Informácie, ktoré vysvetľujú a dopĺňajú súvahu a výkaz ziskov a strát</w:t>
      </w:r>
    </w:p>
    <w:p>
      <w:pPr>
        <w:pStyle w:val="Normal"/>
        <w:ind w:left="1481" w:hanging="0"/>
        <w:jc w:val="both"/>
        <w:rPr>
          <w:rFonts w:ascii="Arial;Arial Narrow" w:hAnsi="Arial;Arial Narrow" w:cs="Arial;Arial Narrow"/>
          <w:i/>
          <w:i/>
          <w:sz w:val="20"/>
          <w:szCs w:val="20"/>
        </w:rPr>
      </w:pPr>
      <w:r>
        <w:rPr>
          <w:rFonts w:cs="Arial;Arial Narrow" w:ascii="Arial;Arial Narrow" w:hAnsi="Arial;Arial Narrow"/>
          <w:i/>
          <w:sz w:val="20"/>
          <w:szCs w:val="20"/>
        </w:rPr>
      </w:r>
    </w:p>
    <w:p>
      <w:pPr>
        <w:pStyle w:val="Normal"/>
        <w:ind w:left="1481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4"/>
        <w:gridCol w:w="3971"/>
        <w:gridCol w:w="3117"/>
        <w:gridCol w:w="1714"/>
      </w:tblGrid>
      <w:tr>
        <w:trPr>
          <w:trHeight w:val="751" w:hRule="atLeast"/>
        </w:trPr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</w:rPr>
            </w:r>
          </w:p>
          <w:p>
            <w:pPr>
              <w:pStyle w:val="Odsekzoznamu"/>
              <w:widowControl w:val="false"/>
              <w:ind w:left="1277" w:hanging="0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  <w:lang w:eastAsia="sk-SK"/>
              </w:rPr>
            </w:r>
          </w:p>
          <w:p>
            <w:pPr>
              <w:pStyle w:val="Odsekzoznamu"/>
              <w:widowControl w:val="false"/>
              <w:ind w:left="1277" w:hanging="0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  <w:lang w:eastAsia="sk-SK"/>
              </w:rPr>
            </w:r>
          </w:p>
        </w:tc>
        <w:tc>
          <w:tcPr>
            <w:tcW w:w="880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cs="Arial;Arial Narrow" w:ascii="Arial;Arial Narrow" w:hAnsi="Arial;Arial Narrow"/>
                <w:i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/>
                <w:sz w:val="20"/>
              </w:rPr>
              <w:t>alebo výskyt</w:t>
            </w:r>
            <w:r>
              <w:rPr>
                <w:rFonts w:cs="Arial;Arial Narrow" w:ascii="Arial;Arial Narrow" w:hAnsi="Arial;Arial Narrow"/>
                <w:i/>
                <w:sz w:val="20"/>
              </w:rPr>
              <w:t xml:space="preserve">, </w:t>
            </w:r>
            <w:r>
              <w:rPr>
                <w:rFonts w:cs="Arial;Arial Narrow" w:ascii="Arial;Arial Narrow" w:hAnsi="Arial;Arial Narrow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>
        <w:trPr>
          <w:trHeight w:val="340" w:hRule="atLeast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widowControl w:val="false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Popis nákladov ,výnosov výnimočného rozsahu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widowControl w:val="false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Dôvod vzniku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widowControl w:val="false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</w:tr>
      <w:tr>
        <w:trPr>
          <w:trHeight w:val="340" w:hRule="atLeast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</w:tr>
    </w:tbl>
    <w:p>
      <w:pPr>
        <w:pStyle w:val="Normal"/>
        <w:ind w:left="1134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ind w:left="1134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4"/>
        <w:gridCol w:w="3831"/>
        <w:gridCol w:w="3257"/>
        <w:gridCol w:w="1714"/>
      </w:tblGrid>
      <w:tr>
        <w:trPr>
          <w:trHeight w:val="250" w:hRule="atLeast"/>
        </w:trPr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</w:rPr>
            </w:r>
          </w:p>
        </w:tc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widowControl w:val="false"/>
              <w:ind w:left="0" w:hanging="0"/>
              <w:jc w:val="center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opHeader"/>
              <w:widowControl w:val="false"/>
              <w:rPr>
                <w:rFonts w:ascii="Arial;Arial Narrow" w:hAnsi="Arial;Arial Narrow" w:cs="Arial;Arial Narrow"/>
                <w:b w:val="false"/>
                <w:b w:val="false"/>
                <w:bCs w:val="false"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569" w:hRule="atLeast"/>
        </w:trPr>
        <w:tc>
          <w:tcPr>
            <w:tcW w:w="76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936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numPr>
                <w:ilvl w:val="0"/>
                <w:numId w:val="4"/>
              </w:numPr>
              <w:jc w:val="both"/>
              <w:rPr>
                <w:rFonts w:ascii="Arial;Arial Narrow" w:hAnsi="Arial;Arial Narrow" w:cs="Arial;Arial Narrow"/>
                <w:bCs/>
                <w:color w:val="000000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>
        <w:trPr>
          <w:trHeight w:val="340" w:hRule="atLeast"/>
        </w:trPr>
        <w:tc>
          <w:tcPr>
            <w:tcW w:w="76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widowControl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Spôsob zabezpečenia: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widowControl w:val="false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Záložné právo</w:t>
            </w:r>
          </w:p>
        </w:tc>
        <w:tc>
          <w:tcPr>
            <w:tcW w:w="3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</w:tbl>
    <w:p>
      <w:pPr>
        <w:pStyle w:val="Normal"/>
        <w:ind w:left="1134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numPr>
          <w:ilvl w:val="0"/>
          <w:numId w:val="5"/>
        </w:numPr>
        <w:ind w:left="709" w:hanging="567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b/>
          <w:bCs/>
          <w:kern w:val="2"/>
          <w:sz w:val="20"/>
          <w:lang w:eastAsia="en-US"/>
        </w:rPr>
        <w:t>Informácie o vlastných akciách</w:t>
      </w:r>
    </w:p>
    <w:p>
      <w:pPr>
        <w:pStyle w:val="Normal"/>
        <w:numPr>
          <w:ilvl w:val="0"/>
          <w:numId w:val="9"/>
        </w:numPr>
        <w:ind w:left="1276" w:hanging="567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dôvod nadobudnutia vlastných akcií počas účtovného obdobia,</w:t>
      </w:r>
    </w:p>
    <w:p>
      <w:pPr>
        <w:pStyle w:val="Normal"/>
        <w:numPr>
          <w:ilvl w:val="0"/>
          <w:numId w:val="9"/>
        </w:numPr>
        <w:ind w:left="1276" w:hanging="567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informácie</w:t>
      </w:r>
    </w:p>
    <w:p>
      <w:pPr>
        <w:pStyle w:val="Normal"/>
        <w:numPr>
          <w:ilvl w:val="0"/>
          <w:numId w:val="8"/>
        </w:numPr>
        <w:tabs>
          <w:tab w:val="clear" w:pos="709"/>
          <w:tab w:val="left" w:pos="851" w:leader="none"/>
        </w:tabs>
        <w:ind w:left="1701" w:hanging="425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>
      <w:pPr>
        <w:pStyle w:val="Normal"/>
        <w:numPr>
          <w:ilvl w:val="0"/>
          <w:numId w:val="3"/>
        </w:numPr>
        <w:tabs>
          <w:tab w:val="clear" w:pos="709"/>
          <w:tab w:val="left" w:pos="851" w:leader="none"/>
        </w:tabs>
        <w:ind w:left="1701" w:hanging="425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>
      <w:pPr>
        <w:pStyle w:val="Normal"/>
        <w:numPr>
          <w:ilvl w:val="0"/>
          <w:numId w:val="9"/>
        </w:numPr>
        <w:ind w:left="1276" w:hanging="567"/>
        <w:jc w:val="both"/>
        <w:rPr>
          <w:rFonts w:ascii="Arial;Arial Narrow" w:hAnsi="Arial;Arial Narrow" w:cs="Arial;Arial Narrow"/>
          <w:bCs/>
          <w:i/>
          <w:i/>
          <w:kern w:val="2"/>
          <w:sz w:val="20"/>
          <w:lang w:eastAsia="en-US"/>
        </w:rPr>
      </w:pPr>
      <w:r>
        <w:rPr>
          <w:rFonts w:cs="Arial;Arial Narrow" w:ascii="Arial;Arial Narrow" w:hAnsi="Arial;Arial Narrow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cs="Arial;Arial Narrow" w:ascii="Arial;Arial Narrow" w:hAnsi="Arial;Arial Narrow"/>
          <w:bCs/>
          <w:i/>
          <w:kern w:val="2"/>
          <w:sz w:val="18"/>
          <w:lang w:eastAsia="en-US"/>
        </w:rPr>
        <w:t>uvádza  sa aj ich percentuálny podiel na upísanom základnom imaní</w:t>
      </w:r>
      <w:r>
        <w:rPr>
          <w:rFonts w:cs="Arial;Arial Narrow" w:ascii="Arial;Arial Narrow" w:hAnsi="Arial;Arial Narrow"/>
          <w:bCs/>
          <w:i/>
          <w:kern w:val="2"/>
          <w:sz w:val="20"/>
          <w:lang w:eastAsia="en-US"/>
        </w:rPr>
        <w:t>.</w:t>
      </w:r>
    </w:p>
    <w:p>
      <w:pPr>
        <w:pStyle w:val="Normal"/>
        <w:ind w:left="1276" w:hanging="0"/>
        <w:jc w:val="both"/>
        <w:rPr>
          <w:rFonts w:ascii="Arial;Arial Narrow" w:hAnsi="Arial;Arial Narrow" w:cs="Arial;Arial Narrow"/>
          <w:bCs/>
          <w:i/>
          <w:i/>
          <w:kern w:val="2"/>
          <w:sz w:val="20"/>
          <w:lang w:eastAsia="en-US"/>
        </w:rPr>
      </w:pPr>
      <w:r>
        <w:rPr>
          <w:rFonts w:cs="Arial;Arial Narrow" w:ascii="Arial;Arial Narrow" w:hAnsi="Arial;Arial Narrow"/>
          <w:bCs/>
          <w:i/>
          <w:kern w:val="2"/>
          <w:sz w:val="20"/>
          <w:lang w:eastAsia="en-US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6"/>
        <w:gridCol w:w="5660"/>
        <w:gridCol w:w="993"/>
        <w:gridCol w:w="425"/>
        <w:gridCol w:w="1279"/>
        <w:gridCol w:w="432"/>
      </w:tblGrid>
      <w:tr>
        <w:trPr>
          <w:trHeight w:val="522" w:hRule="exact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5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b/>
                <w:b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nevytvorila</w:t>
            </w:r>
          </w:p>
        </w:tc>
        <w:tc>
          <w:tcPr>
            <w:tcW w:w="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X</w:t>
            </w:r>
          </w:p>
        </w:tc>
      </w:tr>
    </w:tbl>
    <w:p>
      <w:pPr>
        <w:pStyle w:val="Normal"/>
        <w:rPr>
          <w:rFonts w:ascii="Arial;Arial Narrow" w:hAnsi="Arial;Arial Narrow" w:cs="Arial;Arial Narrow"/>
          <w:bCs/>
          <w:i/>
          <w:i/>
          <w:sz w:val="14"/>
          <w:szCs w:val="22"/>
        </w:rPr>
      </w:pPr>
      <w:r>
        <w:rPr>
          <w:rFonts w:cs="Arial;Arial Narrow" w:ascii="Arial;Arial Narrow" w:hAnsi="Arial;Arial Narrow"/>
          <w:bCs/>
          <w:i/>
          <w:sz w:val="14"/>
          <w:szCs w:val="22"/>
        </w:rPr>
      </w:r>
    </w:p>
    <w:p>
      <w:pPr>
        <w:pStyle w:val="Normal"/>
        <w:rPr>
          <w:rFonts w:ascii="Arial;Arial Narrow" w:hAnsi="Arial;Arial Narrow" w:cs="Arial;Arial Narrow"/>
          <w:bCs/>
          <w:i/>
          <w:i/>
          <w:sz w:val="14"/>
          <w:szCs w:val="22"/>
        </w:rPr>
      </w:pPr>
      <w:r>
        <w:rPr>
          <w:rFonts w:cs="Arial;Arial Narrow" w:ascii="Arial;Arial Narrow" w:hAnsi="Arial;Arial Narrow"/>
          <w:bCs/>
          <w:i/>
          <w:sz w:val="14"/>
          <w:szCs w:val="22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4"/>
        <w:gridCol w:w="5223"/>
        <w:gridCol w:w="1953"/>
        <w:gridCol w:w="1626"/>
      </w:tblGrid>
      <w:tr>
        <w:trPr>
          <w:trHeight w:val="258" w:hRule="atLeast"/>
        </w:trPr>
        <w:tc>
          <w:tcPr>
            <w:tcW w:w="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80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 orgánoch účtovnej jednotky</w:t>
            </w:r>
          </w:p>
        </w:tc>
      </w:tr>
      <w:tr>
        <w:trPr>
          <w:trHeight w:val="283" w:hRule="atLeast"/>
        </w:trPr>
        <w:tc>
          <w:tcPr>
            <w:tcW w:w="936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>
        <w:trPr>
          <w:trHeight w:val="340" w:hRule="atLeast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Druh záruky</w:t>
            </w:r>
          </w:p>
        </w:tc>
        <w:tc>
          <w:tcPr>
            <w:tcW w:w="1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rPr>
          <w:rFonts w:ascii="Arial;Arial Narrow" w:hAnsi="Arial;Arial Narrow" w:cs="Arial;Arial Narrow"/>
        </w:rPr>
      </w:pPr>
      <w:r>
        <w:rPr>
          <w:rFonts w:cs="Arial;Arial Narrow" w:ascii="Arial;Arial Narrow" w:hAnsi="Arial;Arial Narrow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7"/>
        <w:gridCol w:w="1539"/>
        <w:gridCol w:w="754"/>
        <w:gridCol w:w="1285"/>
      </w:tblGrid>
      <w:tr>
        <w:trPr>
          <w:trHeight w:val="340" w:hRule="atLeast"/>
        </w:trPr>
        <w:tc>
          <w:tcPr>
            <w:tcW w:w="93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b)pôžičky poskytnuté členom štatutárneho orgánu, dozorného orgánu a iného orgánu ÚJ</w:t>
            </w:r>
          </w:p>
        </w:tc>
      </w:tr>
      <w:tr>
        <w:trPr>
          <w:trHeight w:val="283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Celková suma poskytnutých pôžičiek k poslednému dňu účtovného obdobia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;Arial Narrow" w:ascii="Arial;Arial Narrow" w:hAnsi="Arial;Arial Narrow"/>
                <w:sz w:val="20"/>
              </w:rPr>
              <w:t>Úrok v %</w:t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1</w:t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color w:val="000000"/>
                <w:sz w:val="20"/>
              </w:rPr>
            </w:pPr>
            <w:r>
              <w:rPr>
                <w:rFonts w:cs="Arial;Arial Narrow" w:ascii="Arial;Arial Narrow" w:hAnsi="Arial;Arial Narrow"/>
                <w:color w:val="000000"/>
                <w:sz w:val="20"/>
              </w:rPr>
              <w:t>2</w:t>
            </w:r>
            <w:r>
              <w:rPr>
                <w:rFonts w:cs="Arial;Arial Narrow" w:ascii="Arial;Arial Narrow" w:hAnsi="Arial;Arial Narrow"/>
                <w:color w:val="000000"/>
                <w:sz w:val="20"/>
              </w:rPr>
              <w:t>4</w:t>
            </w:r>
            <w:r>
              <w:rPr>
                <w:rFonts w:cs="Arial;Arial Narrow" w:ascii="Arial;Arial Narrow" w:hAnsi="Arial;Arial Narrow"/>
                <w:color w:val="000000"/>
                <w:sz w:val="20"/>
              </w:rPr>
              <w:t>0</w:t>
            </w:r>
            <w:r>
              <w:rPr>
                <w:rFonts w:cs="Arial;Arial Narrow" w:ascii="Arial;Arial Narrow" w:hAnsi="Arial;Arial Narrow"/>
                <w:color w:val="000000"/>
                <w:sz w:val="20"/>
              </w:rPr>
              <w:t>00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93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Celková suma splatených pôžičiek k poslednému dňu účt. obdobia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93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Celková suma odpustených pôžičiek a odpísaných pôžičiek k poslednému dňu účtovného obdobia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rPr>
          <w:rFonts w:ascii="Arial;Arial Narrow" w:hAnsi="Arial;Arial Narrow" w:cs="Arial;Arial Narrow"/>
        </w:rPr>
      </w:pPr>
      <w:r>
        <w:rPr>
          <w:rFonts w:cs="Arial;Arial Narrow" w:ascii="Arial;Arial Narrow" w:hAnsi="Arial;Arial Narrow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7"/>
        <w:gridCol w:w="1953"/>
        <w:gridCol w:w="1626"/>
      </w:tblGrid>
      <w:tr>
        <w:trPr>
          <w:trHeight w:val="283" w:hRule="atLeast"/>
        </w:trPr>
        <w:tc>
          <w:tcPr>
            <w:tcW w:w="93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Plnenie na súkromné účely k vyúčtovaniu</w:t>
            </w:r>
          </w:p>
        </w:tc>
        <w:tc>
          <w:tcPr>
            <w:tcW w:w="1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6518"/>
        <w:gridCol w:w="425"/>
        <w:gridCol w:w="1714"/>
      </w:tblGrid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bCs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/>
              </w:rPr>
            </w:r>
          </w:p>
        </w:tc>
        <w:tc>
          <w:tcPr>
            <w:tcW w:w="8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ind w:left="1480" w:hanging="0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 povinnostiach účtovnej jednotky</w:t>
            </w:r>
          </w:p>
        </w:tc>
      </w:tr>
      <w:tr>
        <w:trPr/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widowControl w:val="false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  <w:lang w:eastAsia="sk-SK"/>
              </w:rPr>
            </w:r>
          </w:p>
        </w:tc>
        <w:tc>
          <w:tcPr>
            <w:tcW w:w="8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Odsekzoznamu"/>
              <w:widowControl w:val="false"/>
              <w:ind w:left="0" w:hanging="0"/>
              <w:jc w:val="both"/>
              <w:rPr>
                <w:rFonts w:ascii="Arial;Arial Narrow" w:hAnsi="Arial;Arial Narrow" w:cs="Arial;Arial Narrow"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>
        <w:trPr>
          <w:trHeight w:val="340" w:hRule="atLeast"/>
        </w:trPr>
        <w:tc>
          <w:tcPr>
            <w:tcW w:w="72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widowControl w:val="false"/>
              <w:ind w:lef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widowControl w:val="false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widowControl w:val="false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widowControl w:val="false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widowControl w:val="false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Pripravované investície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widowControl w:val="false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widowControl w:val="false"/>
              <w:ind w:lef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widowControl w:val="false"/>
              <w:ind w:lef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6530"/>
        <w:gridCol w:w="426"/>
        <w:gridCol w:w="1701"/>
      </w:tblGrid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widowControl w:val="false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widowControl w:val="false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widowControl w:val="false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 w:val="false"/>
                <w:b w:val="false"/>
                <w:bCs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 w:val="false"/>
                <w:bCs/>
                <w:sz w:val="20"/>
                <w:szCs w:val="20"/>
                <w:lang w:val="sk-SK"/>
              </w:rPr>
            </w: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widowControl w:val="false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O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pis a hodnota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 xml:space="preserve">významných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72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Poskytnuté záruky za úver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Ručenie za ...............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Neobmedzené ručenie v inej spoločnosti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jc w:val="left"/>
              <w:rPr/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ÚJ predala pohľadávky a ručí za ich vymožiteľnosť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Iné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Odsekzoznamu"/>
        <w:spacing w:before="0" w:after="0"/>
        <w:ind w:left="641" w:hanging="0"/>
        <w:contextualSpacing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tbl>
      <w:tblPr>
        <w:tblW w:w="9366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6509"/>
        <w:gridCol w:w="425"/>
        <w:gridCol w:w="1711"/>
      </w:tblGrid>
      <w:tr>
        <w:trPr>
          <w:trHeight w:val="340" w:hRule="atLeast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widowControl w:val="false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  <w:tc>
          <w:tcPr>
            <w:tcW w:w="6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widowControl w:val="false"/>
              <w:spacing w:before="0" w:after="0"/>
              <w:ind w:left="-119" w:hanging="0"/>
              <w:contextualSpacing/>
              <w:jc w:val="both"/>
              <w:rPr>
                <w:rFonts w:ascii="Arial;Arial Narrow" w:hAnsi="Arial;Arial Narrow" w:cs="Arial;Arial Narrow"/>
                <w:i/>
                <w:i/>
                <w:sz w:val="20"/>
                <w:lang w:val="sk-SK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ÚJ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 a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 xml:space="preserve"> ÚJ s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widowControl w:val="false"/>
              <w:snapToGrid w:val="false"/>
              <w:rPr>
                <w:rFonts w:ascii="Arial;Arial Narrow" w:hAnsi="Arial;Arial Narrow" w:cs="Arial;Arial Narrow"/>
                <w:b/>
                <w:b/>
                <w:i/>
                <w:i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/>
                <w:i/>
                <w:sz w:val="20"/>
                <w:szCs w:val="20"/>
                <w:lang w:val="sk-SK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</w:tbl>
    <w:p>
      <w:pPr>
        <w:pStyle w:val="Odsekzoznamu"/>
        <w:spacing w:before="0" w:after="0"/>
        <w:contextualSpacing/>
        <w:jc w:val="both"/>
        <w:rPr>
          <w:rFonts w:ascii="Arial;Arial Narrow" w:hAnsi="Arial;Arial Narrow" w:cs="Arial;Arial Narrow"/>
          <w:i/>
          <w:i/>
          <w:sz w:val="20"/>
          <w:lang w:val="sk-SK"/>
        </w:rPr>
      </w:pPr>
      <w:r>
        <w:rPr>
          <w:rFonts w:cs="Arial;Arial Narrow" w:ascii="Arial;Arial Narrow" w:hAnsi="Arial;Arial Narrow"/>
          <w:i/>
          <w:sz w:val="20"/>
          <w:lang w:val="sk-SK"/>
        </w:rPr>
      </w:r>
    </w:p>
    <w:p>
      <w:pPr>
        <w:pStyle w:val="Odsekzoznamu"/>
        <w:spacing w:before="0" w:after="0"/>
        <w:contextualSpacing/>
        <w:jc w:val="both"/>
        <w:rPr>
          <w:rFonts w:ascii="Arial;Arial Narrow" w:hAnsi="Arial;Arial Narrow" w:cs="Arial;Arial Narrow"/>
          <w:i/>
          <w:i/>
          <w:sz w:val="20"/>
          <w:lang w:val="sk-SK"/>
        </w:rPr>
      </w:pPr>
      <w:r>
        <w:rPr>
          <w:rFonts w:cs="Arial;Arial Narrow" w:ascii="Arial;Arial Narrow" w:hAnsi="Arial;Arial Narrow"/>
          <w:i/>
          <w:sz w:val="20"/>
          <w:lang w:val="sk-SK"/>
        </w:rPr>
      </w:r>
    </w:p>
    <w:p>
      <w:pPr>
        <w:pStyle w:val="Odsekzoznamu"/>
        <w:numPr>
          <w:ilvl w:val="0"/>
          <w:numId w:val="7"/>
        </w:numPr>
        <w:spacing w:before="0" w:after="0"/>
        <w:ind w:left="641" w:hanging="284"/>
        <w:contextualSpacing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  <w:t>opise významných povinností účtovnej jednotky vyplývajúcich z dôchodkových programov pre zamestnancov.</w:t>
      </w:r>
    </w:p>
    <w:p>
      <w:pPr>
        <w:pStyle w:val="Normal"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p>
      <w:pPr>
        <w:pStyle w:val="Normal"/>
        <w:numPr>
          <w:ilvl w:val="0"/>
          <w:numId w:val="5"/>
        </w:numPr>
        <w:ind w:left="709" w:hanging="567"/>
        <w:jc w:val="both"/>
        <w:rPr>
          <w:rFonts w:ascii="Arial;Arial Narrow" w:hAnsi="Arial;Arial Narrow" w:cs="Arial;Arial Narrow"/>
          <w:b/>
          <w:b/>
          <w:sz w:val="20"/>
        </w:rPr>
      </w:pPr>
      <w:bookmarkStart w:id="0" w:name="OLE_LINK1"/>
      <w:r>
        <w:rPr>
          <w:rFonts w:cs="Arial;Arial Narrow" w:ascii="Arial;Arial Narrow" w:hAnsi="Arial;Arial Narrow"/>
          <w:sz w:val="20"/>
        </w:rPr>
        <w:t>Informácie o udelení výlučného práva alebo osobitného práva, ktorým sa udelilo právo poskytovať služby vo verejnom záujme</w:t>
      </w:r>
      <w:bookmarkEnd w:id="0"/>
    </w:p>
    <w:p>
      <w:pPr>
        <w:pStyle w:val="Normal"/>
        <w:jc w:val="right"/>
        <w:rPr>
          <w:rFonts w:ascii="Arial;Arial Narrow" w:hAnsi="Arial;Arial Narrow" w:cs="Arial;Arial Narrow"/>
          <w:b/>
          <w:b/>
          <w:sz w:val="20"/>
        </w:rPr>
      </w:pPr>
      <w:r>
        <w:rPr>
          <w:rFonts w:cs="Arial;Arial Narrow" w:ascii="Arial;Arial Narrow" w:hAnsi="Arial;Arial Narrow"/>
          <w:b/>
          <w:sz w:val="20"/>
        </w:rPr>
      </w:r>
    </w:p>
    <w:p>
      <w:pPr>
        <w:pStyle w:val="Normal"/>
        <w:jc w:val="right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Default"/>
        <w:bidi w:val="0"/>
        <w:jc w:val="left"/>
        <w:rPr>
          <w:rFonts w:ascii="Arial;Arial Narrow" w:hAnsi="Arial;Arial Narrow" w:cs="Arial;Arial Narrow"/>
          <w:sz w:val="22"/>
          <w:szCs w:val="23"/>
        </w:rPr>
      </w:pPr>
      <w:r>
        <w:rPr>
          <w:rFonts w:cs="Arial;Arial Narrow" w:ascii="Arial;Arial Narrow" w:hAnsi="Arial;Arial Narrow"/>
          <w:sz w:val="22"/>
          <w:szCs w:val="23"/>
        </w:rPr>
        <w:t>Použité skratky:</w:t>
      </w:r>
    </w:p>
    <w:p>
      <w:pPr>
        <w:pStyle w:val="Normal"/>
        <w:jc w:val="both"/>
        <w:rPr/>
      </w:pPr>
      <w:r>
        <w:rPr>
          <w:rFonts w:cs="Arial;Arial Narrow" w:ascii="Arial;Arial Narrow" w:hAnsi="Arial;Arial Narrow"/>
          <w:sz w:val="20"/>
        </w:rPr>
        <w:t xml:space="preserve">ÚJ - účtovná jednotka; BO- bežné účtovné obdobie; X= ÚJ má náplň pre jednotlivú položku </w:t>
      </w:r>
    </w:p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cs="Arial;Arial Narrow" w:ascii="Arial;Arial Narrow" w:hAnsi="Arial;Arial Narrow"/>
          <w:i/>
          <w:sz w:val="18"/>
          <w:szCs w:val="18"/>
        </w:rPr>
        <w:t>Údaje v poznámkach sú uvádzané za bežne účtovné obdobie. Sumy sú uvádzané v celých eurách.</w:t>
      </w:r>
    </w:p>
    <w:p>
      <w:pPr>
        <w:pStyle w:val="Default"/>
        <w:bidi w:val="0"/>
        <w:jc w:val="left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cs="Arial;Arial Narrow" w:ascii="Arial;Arial Narrow" w:hAnsi="Arial;Arial Narrow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>
      <w:pPr>
        <w:pStyle w:val="Default"/>
        <w:bidi w:val="0"/>
        <w:jc w:val="left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eastAsia="Arial;Arial Narrow" w:cs="Arial;Arial Narrow" w:ascii="Arial;Arial Narrow" w:hAnsi="Arial;Arial Narrow"/>
          <w:i/>
          <w:sz w:val="18"/>
          <w:szCs w:val="18"/>
        </w:rPr>
        <w:t xml:space="preserve"> </w:t>
      </w:r>
      <w:r>
        <w:rPr>
          <w:rFonts w:cs="Arial;Arial Narrow" w:ascii="Arial;Arial Narrow" w:hAnsi="Arial;Arial Narrow"/>
          <w:i/>
          <w:sz w:val="18"/>
          <w:szCs w:val="18"/>
        </w:rPr>
        <w:t xml:space="preserve"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>
      <w:pPr>
        <w:pStyle w:val="Default"/>
        <w:widowControl/>
        <w:bidi w:val="0"/>
        <w:jc w:val="left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b/>
          <w:i/>
          <w:sz w:val="18"/>
          <w:szCs w:val="18"/>
        </w:rPr>
        <w:t>Údaje v poznámkach sa uvádzajú za bežné účtovné obdobie. Sumy v poznámkach sa uvádzajú v celých eurách</w:t>
      </w:r>
      <w:r>
        <w:rPr>
          <w:rFonts w:cs="Arial;Arial Narrow" w:ascii="Arial;Arial Narrow" w:hAnsi="Arial;Arial Narrow"/>
          <w:i/>
          <w:sz w:val="18"/>
          <w:szCs w:val="18"/>
        </w:rPr>
        <w:t xml:space="preserve">. </w:t>
      </w:r>
    </w:p>
    <w:p>
      <w:pPr>
        <w:pStyle w:val="Normal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rPr>
          <w:rFonts w:ascii="Arial;Arial Narrow" w:hAnsi="Arial;Arial Narrow" w:cs="Arial;Arial Narrow"/>
          <w:sz w:val="20"/>
        </w:rPr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021" w:right="1559" w:header="567" w:top="1107" w:footer="567" w:bottom="1418" w:gutter="0"/>
      <w:pgNumType w:start="1"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">
    <w:altName w:val="Arial Narrow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343" w:type="dxa"/>
      <w:jc w:val="left"/>
      <w:tblInd w:w="18" w:type="dxa"/>
      <w:tblLayout w:type="fixed"/>
      <w:tblCellMar>
        <w:top w:w="0" w:type="dxa"/>
        <w:left w:w="70" w:type="dxa"/>
        <w:bottom w:w="0" w:type="dxa"/>
        <w:right w:w="70" w:type="dxa"/>
      </w:tblCellMar>
    </w:tblPr>
    <w:tblGrid>
      <w:gridCol w:w="2954"/>
      <w:gridCol w:w="709"/>
      <w:gridCol w:w="2693"/>
      <w:gridCol w:w="284"/>
      <w:gridCol w:w="2703"/>
    </w:tblGrid>
    <w:tr>
      <w:trPr>
        <w:trHeight w:val="326" w:hRule="atLeast"/>
      </w:trPr>
      <w:tc>
        <w:tcPr>
          <w:tcW w:w="295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fill="auto" w:val="clear"/>
          <w:vAlign w:val="center"/>
        </w:tcPr>
        <w:p>
          <w:pPr>
            <w:pStyle w:val="Zhlavie"/>
            <w:widowControl w:val="false"/>
            <w:rPr/>
          </w:pPr>
          <w:r>
            <w:rPr/>
            <w:t>Poznámky Úč</w:t>
          </w:r>
          <w:r>
            <w:rPr>
              <w:lang w:val="sk-SK"/>
            </w:rPr>
            <w:t xml:space="preserve"> </w:t>
          </w:r>
          <w:r>
            <w:rPr/>
            <w:t xml:space="preserve"> </w:t>
          </w:r>
          <w:r>
            <w:rPr>
              <w:lang w:val="sk-SK"/>
            </w:rPr>
            <w:t>MÚJ</w:t>
          </w:r>
          <w:r>
            <w:rPr/>
            <w:t xml:space="preserve"> 3-01</w:t>
          </w:r>
        </w:p>
      </w:tc>
      <w:tc>
        <w:tcPr>
          <w:tcW w:w="709" w:type="dxa"/>
          <w:tcBorders>
            <w:left w:val="single" w:sz="4" w:space="0" w:color="000000"/>
          </w:tcBorders>
          <w:shd w:fill="auto" w:val="clear"/>
          <w:vAlign w:val="center"/>
        </w:tcPr>
        <w:p>
          <w:pPr>
            <w:pStyle w:val="Normal"/>
            <w:widowControl w:val="false"/>
            <w:snapToGrid w:val="false"/>
            <w:rPr/>
          </w:pPr>
          <w:r>
            <w:rPr/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fill="auto" w:val="clear"/>
          <w:vAlign w:val="center"/>
        </w:tcPr>
        <w:p>
          <w:pPr>
            <w:pStyle w:val="Normal"/>
            <w:widowControl w:val="false"/>
            <w:rPr/>
          </w:pPr>
          <w:r>
            <w:rPr/>
            <w:t>IČO:43947522</w:t>
          </w:r>
        </w:p>
      </w:tc>
      <w:tc>
        <w:tcPr>
          <w:tcW w:w="284" w:type="dxa"/>
          <w:tcBorders>
            <w:left w:val="single" w:sz="4" w:space="0" w:color="000000"/>
          </w:tcBorders>
          <w:shd w:fill="auto" w:val="clear"/>
          <w:vAlign w:val="center"/>
        </w:tcPr>
        <w:p>
          <w:pPr>
            <w:pStyle w:val="Normal"/>
            <w:widowControl w:val="false"/>
            <w:snapToGrid w:val="false"/>
            <w:rPr/>
          </w:pPr>
          <w:r>
            <w:rPr/>
          </w:r>
        </w:p>
      </w:tc>
      <w:tc>
        <w:tcPr>
          <w:tcW w:w="270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center"/>
        </w:tcPr>
        <w:p>
          <w:pPr>
            <w:pStyle w:val="Normal"/>
            <w:widowControl w:val="false"/>
            <w:rPr/>
          </w:pPr>
          <w:r>
            <w:rPr/>
            <w:t>DIČ:2022547637</w:t>
          </w:r>
        </w:p>
      </w:tc>
    </w:tr>
  </w:tbl>
  <w:p>
    <w:pPr>
      <w:pStyle w:val="Zhlavie"/>
      <w:rPr>
        <w:lang w:val="sk-SK"/>
      </w:rPr>
    </w:pPr>
    <w:r>
      <w:rPr>
        <w:lang w:val="sk-SK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4613"/>
        </w:tabs>
        <w:ind w:left="3893" w:firstLine="360"/>
      </w:pPr>
      <w:rPr>
        <w:sz w:val="24"/>
        <w:b/>
        <w:szCs w:val="24"/>
        <w:bCs/>
        <w:rFonts w:ascii="Times New Roman" w:hAnsi="Times New Roman" w:cs="Times New Roman"/>
        <w:lang w:val="sk-SK" w:bidi="sk-SK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abstractNum w:abstractNumId="2">
    <w:lvl w:ilvl="0">
      <w:start w:val="1"/>
      <w:numFmt w:val="decimal"/>
      <w:lvlText w:val="(%1)"/>
      <w:lvlJc w:val="left"/>
      <w:pPr>
        <w:tabs>
          <w:tab w:val="num" w:pos="0"/>
        </w:tabs>
        <w:ind w:left="644" w:hanging="360"/>
      </w:pPr>
      <w:rPr>
        <w:sz w:val="20"/>
        <w:b w:val="false"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2"/>
      <w:numFmt w:val="decimal"/>
      <w:lvlText w:val="%1."/>
      <w:lvlJc w:val="left"/>
      <w:pPr>
        <w:tabs>
          <w:tab w:val="num" w:pos="0"/>
        </w:tabs>
        <w:ind w:left="251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lowerLetter"/>
      <w:lvlText w:val="%1)"/>
      <w:lvlJc w:val="left"/>
      <w:pPr>
        <w:tabs>
          <w:tab w:val="num" w:pos="0"/>
        </w:tabs>
        <w:ind w:left="641" w:hanging="284"/>
      </w:pPr>
      <w:rPr>
        <w:b w:val="false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decimal"/>
      <w:lvlText w:val="(%1)"/>
      <w:lvlJc w:val="left"/>
      <w:pPr>
        <w:tabs>
          <w:tab w:val="num" w:pos="0"/>
        </w:tabs>
        <w:ind w:left="786" w:hanging="360"/>
      </w:pPr>
      <w:rPr>
        <w:sz w:val="20"/>
        <w:i w:val="false"/>
        <w:b w:val="false"/>
        <w:szCs w:val="24"/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lvl w:ilvl="0">
      <w:start w:val="1"/>
      <w:numFmt w:val="upperRoman"/>
      <w:lvlText w:val="%1."/>
      <w:lvlJc w:val="right"/>
      <w:pPr>
        <w:tabs>
          <w:tab w:val="num" w:pos="0"/>
        </w:tabs>
        <w:ind w:left="720" w:hanging="360"/>
      </w:pPr>
      <w:rPr>
        <w:i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644" w:hanging="360"/>
      </w:pPr>
      <w:rPr>
        <w:b w:val="false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lvl w:ilvl="0">
      <w:start w:val="1"/>
      <w:numFmt w:val="decimal"/>
      <w:lvlText w:val="%1."/>
      <w:lvlJc w:val="left"/>
      <w:pPr>
        <w:tabs>
          <w:tab w:val="num" w:pos="0"/>
        </w:tabs>
        <w:ind w:left="2487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>
    <w:lvl w:ilvl="0">
      <w:start w:val="1"/>
      <w:numFmt w:val="lowerLetter"/>
      <w:lvlText w:val="%1)"/>
      <w:lvlJc w:val="left"/>
      <w:pPr>
        <w:tabs>
          <w:tab w:val="num" w:pos="0"/>
        </w:tabs>
        <w:ind w:left="786" w:hanging="360"/>
      </w:pPr>
      <w:rPr>
        <w:sz w:val="18"/>
        <w:i/>
        <w:szCs w:val="24"/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>
    <w:lvl w:ilvl="0">
      <w:start w:val="1"/>
      <w:numFmt w:val="decimal"/>
      <w:lvlText w:val="(%1)"/>
      <w:lvlJc w:val="left"/>
      <w:pPr>
        <w:tabs>
          <w:tab w:val="num" w:pos="0"/>
        </w:tabs>
        <w:ind w:left="644" w:hanging="360"/>
      </w:pPr>
      <w:rPr>
        <w:sz w:val="20"/>
        <w:b w:val="false"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</w:numbering>
</file>

<file path=word/settings.xml><?xml version="1.0" encoding="utf-8"?>
<w:settings xmlns:w="http://schemas.openxmlformats.org/wordprocessingml/2006/main">
  <w:zoom w:percent="110"/>
  <w:defaultTabStop w:val="709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Nadpis1">
    <w:name w:val="Heading 1"/>
    <w:next w:val="Nadpis2"/>
    <w:qFormat/>
    <w:pPr>
      <w:keepNext w:val="true"/>
      <w:widowControl/>
      <w:numPr>
        <w:ilvl w:val="0"/>
        <w:numId w:val="1"/>
      </w:numPr>
      <w:suppressAutoHyphens w:val="true"/>
      <w:bidi w:val="0"/>
      <w:spacing w:before="240" w:after="60"/>
      <w:jc w:val="center"/>
      <w:outlineLvl w:val="0"/>
    </w:pPr>
    <w:rPr>
      <w:rFonts w:ascii="Times New Roman" w:hAnsi="Times New Roman" w:eastAsia="Times New Roman" w:cs="Arial;Arial Narrow"/>
      <w:b/>
      <w:bCs/>
      <w:color w:val="auto"/>
      <w:kern w:val="2"/>
      <w:sz w:val="24"/>
      <w:szCs w:val="32"/>
      <w:lang w:val="sk-SK" w:eastAsia="zh-CN" w:bidi="ar-SA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</w:rPr>
  </w:style>
  <w:style w:type="paragraph" w:styleId="Nadpis3">
    <w:name w:val="Heading 3"/>
    <w:basedOn w:val="Normal"/>
    <w:next w:val="Normal"/>
    <w:qFormat/>
    <w:pPr>
      <w:keepNext w:val="true"/>
      <w:jc w:val="both"/>
      <w:outlineLvl w:val="2"/>
    </w:pPr>
    <w:rPr>
      <w:b/>
      <w:u w:val="single"/>
    </w:rPr>
  </w:style>
  <w:style w:type="paragraph" w:styleId="Nadpis4">
    <w:name w:val="Heading 4"/>
    <w:basedOn w:val="Normal"/>
    <w:next w:val="Normal"/>
    <w:qFormat/>
    <w:pPr>
      <w:keepNext w:val="true"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al"/>
    <w:next w:val="Normal"/>
    <w:qFormat/>
    <w:pPr>
      <w:keepNext w:val="true"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al"/>
    <w:next w:val="Normal"/>
    <w:qFormat/>
    <w:pPr>
      <w:keepNext w:val="true"/>
      <w:ind w:left="360" w:hanging="0"/>
      <w:jc w:val="center"/>
      <w:outlineLvl w:val="5"/>
    </w:pPr>
    <w:rPr>
      <w:rFonts w:ascii="Arial Narrow" w:hAnsi="Arial Narrow" w:cs="Arial Narrow"/>
      <w:b/>
      <w:bCs/>
      <w:sz w:val="28"/>
      <w:szCs w:val="22"/>
    </w:rPr>
  </w:style>
  <w:style w:type="character" w:styleId="WW8Num1z0">
    <w:name w:val="WW8Num1z0"/>
    <w:qFormat/>
    <w:rPr>
      <w:b w:val="false"/>
      <w:sz w:val="20"/>
      <w:szCs w:val="20"/>
    </w:rPr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/>
  </w:style>
  <w:style w:type="character" w:styleId="WW8Num2z1">
    <w:name w:val="WW8Num2z1"/>
    <w:qFormat/>
    <w:rPr/>
  </w:style>
  <w:style w:type="character" w:styleId="WW8Num2z2">
    <w:name w:val="WW8Num2z2"/>
    <w:qFormat/>
    <w:rPr/>
  </w:style>
  <w:style w:type="character" w:styleId="WW8Num2z3">
    <w:name w:val="WW8Num2z3"/>
    <w:qFormat/>
    <w:rPr/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WW8Num3z0">
    <w:name w:val="WW8Num3z0"/>
    <w:qFormat/>
    <w:rPr>
      <w:b w:val="false"/>
    </w:rPr>
  </w:style>
  <w:style w:type="character" w:styleId="WW8Num3z1">
    <w:name w:val="WW8Num3z1"/>
    <w:qFormat/>
    <w:rPr/>
  </w:style>
  <w:style w:type="character" w:styleId="WW8Num3z2">
    <w:name w:val="WW8Num3z2"/>
    <w:qFormat/>
    <w:rPr/>
  </w:style>
  <w:style w:type="character" w:styleId="WW8Num3z3">
    <w:name w:val="WW8Num3z3"/>
    <w:qFormat/>
    <w:rPr/>
  </w:style>
  <w:style w:type="character" w:styleId="WW8Num3z4">
    <w:name w:val="WW8Num3z4"/>
    <w:qFormat/>
    <w:rPr/>
  </w:style>
  <w:style w:type="character" w:styleId="WW8Num3z5">
    <w:name w:val="WW8Num3z5"/>
    <w:qFormat/>
    <w:rPr/>
  </w:style>
  <w:style w:type="character" w:styleId="WW8Num3z6">
    <w:name w:val="WW8Num3z6"/>
    <w:qFormat/>
    <w:rPr/>
  </w:style>
  <w:style w:type="character" w:styleId="WW8Num3z7">
    <w:name w:val="WW8Num3z7"/>
    <w:qFormat/>
    <w:rPr/>
  </w:style>
  <w:style w:type="character" w:styleId="WW8Num3z8">
    <w:name w:val="WW8Num3z8"/>
    <w:qFormat/>
    <w:rPr/>
  </w:style>
  <w:style w:type="character" w:styleId="WW8Num4z0">
    <w:name w:val="WW8Num4z0"/>
    <w:qFormat/>
    <w:rPr>
      <w:rFonts w:ascii="Times New Roman" w:hAnsi="Times New Roman" w:cs="Times New Roman"/>
      <w:b w:val="false"/>
      <w:i w:val="false"/>
      <w:sz w:val="20"/>
      <w:szCs w:val="24"/>
    </w:rPr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i/>
      <w:szCs w:val="20"/>
    </w:rPr>
  </w:style>
  <w:style w:type="character" w:styleId="WW8Num5z1">
    <w:name w:val="WW8Num5z1"/>
    <w:qFormat/>
    <w:rPr/>
  </w:style>
  <w:style w:type="character" w:styleId="WW8Num5z2">
    <w:name w:val="WW8Num5z2"/>
    <w:qFormat/>
    <w:rPr/>
  </w:style>
  <w:style w:type="character" w:styleId="WW8Num5z3">
    <w:name w:val="WW8Num5z3"/>
    <w:qFormat/>
    <w:rPr/>
  </w:style>
  <w:style w:type="character" w:styleId="WW8Num5z4">
    <w:name w:val="WW8Num5z4"/>
    <w:qFormat/>
    <w:rPr/>
  </w:style>
  <w:style w:type="character" w:styleId="WW8Num5z5">
    <w:name w:val="WW8Num5z5"/>
    <w:qFormat/>
    <w:rPr/>
  </w:style>
  <w:style w:type="character" w:styleId="WW8Num5z6">
    <w:name w:val="WW8Num5z6"/>
    <w:qFormat/>
    <w:rPr/>
  </w:style>
  <w:style w:type="character" w:styleId="WW8Num5z7">
    <w:name w:val="WW8Num5z7"/>
    <w:qFormat/>
    <w:rPr/>
  </w:style>
  <w:style w:type="character" w:styleId="WW8Num5z8">
    <w:name w:val="WW8Num5z8"/>
    <w:qFormat/>
    <w:rPr/>
  </w:style>
  <w:style w:type="character" w:styleId="WW8Num6z0">
    <w:name w:val="WW8Num6z0"/>
    <w:qFormat/>
    <w:rPr>
      <w:b w:val="false"/>
    </w:rPr>
  </w:style>
  <w:style w:type="character" w:styleId="WW8Num6z1">
    <w:name w:val="WW8Num6z1"/>
    <w:qFormat/>
    <w:rPr/>
  </w:style>
  <w:style w:type="character" w:styleId="WW8Num6z2">
    <w:name w:val="WW8Num6z2"/>
    <w:qFormat/>
    <w:rPr/>
  </w:style>
  <w:style w:type="character" w:styleId="WW8Num6z3">
    <w:name w:val="WW8Num6z3"/>
    <w:qFormat/>
    <w:rPr/>
  </w:style>
  <w:style w:type="character" w:styleId="WW8Num6z4">
    <w:name w:val="WW8Num6z4"/>
    <w:qFormat/>
    <w:rPr/>
  </w:style>
  <w:style w:type="character" w:styleId="WW8Num6z5">
    <w:name w:val="WW8Num6z5"/>
    <w:qFormat/>
    <w:rPr/>
  </w:style>
  <w:style w:type="character" w:styleId="WW8Num6z6">
    <w:name w:val="WW8Num6z6"/>
    <w:qFormat/>
    <w:rPr/>
  </w:style>
  <w:style w:type="character" w:styleId="WW8Num6z7">
    <w:name w:val="WW8Num6z7"/>
    <w:qFormat/>
    <w:rPr/>
  </w:style>
  <w:style w:type="character" w:styleId="WW8Num6z8">
    <w:name w:val="WW8Num6z8"/>
    <w:qFormat/>
    <w:rPr/>
  </w:style>
  <w:style w:type="character" w:styleId="WW8Num7z0">
    <w:name w:val="WW8Num7z0"/>
    <w:qFormat/>
    <w:rPr/>
  </w:style>
  <w:style w:type="character" w:styleId="WW8Num7z1">
    <w:name w:val="WW8Num7z1"/>
    <w:qFormat/>
    <w:rPr/>
  </w:style>
  <w:style w:type="character" w:styleId="WW8Num7z2">
    <w:name w:val="WW8Num7z2"/>
    <w:qFormat/>
    <w:rPr/>
  </w:style>
  <w:style w:type="character" w:styleId="WW8Num7z3">
    <w:name w:val="WW8Num7z3"/>
    <w:qFormat/>
    <w:rPr/>
  </w:style>
  <w:style w:type="character" w:styleId="WW8Num7z4">
    <w:name w:val="WW8Num7z4"/>
    <w:qFormat/>
    <w:rPr/>
  </w:style>
  <w:style w:type="character" w:styleId="WW8Num7z5">
    <w:name w:val="WW8Num7z5"/>
    <w:qFormat/>
    <w:rPr/>
  </w:style>
  <w:style w:type="character" w:styleId="WW8Num7z6">
    <w:name w:val="WW8Num7z6"/>
    <w:qFormat/>
    <w:rPr/>
  </w:style>
  <w:style w:type="character" w:styleId="WW8Num7z7">
    <w:name w:val="WW8Num7z7"/>
    <w:qFormat/>
    <w:rPr/>
  </w:style>
  <w:style w:type="character" w:styleId="WW8Num7z8">
    <w:name w:val="WW8Num7z8"/>
    <w:qFormat/>
    <w:rPr/>
  </w:style>
  <w:style w:type="character" w:styleId="WW8Num8z0">
    <w:name w:val="WW8Num8z0"/>
    <w:qFormat/>
    <w:rPr/>
  </w:style>
  <w:style w:type="character" w:styleId="WW8Num8z1">
    <w:name w:val="WW8Num8z1"/>
    <w:qFormat/>
    <w:rPr/>
  </w:style>
  <w:style w:type="character" w:styleId="WW8Num8z2">
    <w:name w:val="WW8Num8z2"/>
    <w:qFormat/>
    <w:rPr/>
  </w:style>
  <w:style w:type="character" w:styleId="WW8Num8z3">
    <w:name w:val="WW8Num8z3"/>
    <w:qFormat/>
    <w:rPr/>
  </w:style>
  <w:style w:type="character" w:styleId="WW8Num8z4">
    <w:name w:val="WW8Num8z4"/>
    <w:qFormat/>
    <w:rPr/>
  </w:style>
  <w:style w:type="character" w:styleId="WW8Num8z5">
    <w:name w:val="WW8Num8z5"/>
    <w:qFormat/>
    <w:rPr/>
  </w:style>
  <w:style w:type="character" w:styleId="WW8Num8z6">
    <w:name w:val="WW8Num8z6"/>
    <w:qFormat/>
    <w:rPr/>
  </w:style>
  <w:style w:type="character" w:styleId="WW8Num8z7">
    <w:name w:val="WW8Num8z7"/>
    <w:qFormat/>
    <w:rPr/>
  </w:style>
  <w:style w:type="character" w:styleId="WW8Num8z8">
    <w:name w:val="WW8Num8z8"/>
    <w:qFormat/>
    <w:rPr/>
  </w:style>
  <w:style w:type="character" w:styleId="WW8Num9z0">
    <w:name w:val="WW8Num9z0"/>
    <w:qFormat/>
    <w:rPr>
      <w:rFonts w:ascii="Times New Roman" w:hAnsi="Times New Roman" w:cs="Times New Roman"/>
      <w:i/>
      <w:sz w:val="18"/>
      <w:szCs w:val="24"/>
    </w:rPr>
  </w:style>
  <w:style w:type="character" w:styleId="WW8Num9z1">
    <w:name w:val="WW8Num9z1"/>
    <w:qFormat/>
    <w:rPr/>
  </w:style>
  <w:style w:type="character" w:styleId="WW8Num9z2">
    <w:name w:val="WW8Num9z2"/>
    <w:qFormat/>
    <w:rPr/>
  </w:style>
  <w:style w:type="character" w:styleId="WW8Num9z3">
    <w:name w:val="WW8Num9z3"/>
    <w:qFormat/>
    <w:rPr/>
  </w:style>
  <w:style w:type="character" w:styleId="WW8Num9z4">
    <w:name w:val="WW8Num9z4"/>
    <w:qFormat/>
    <w:rPr/>
  </w:style>
  <w:style w:type="character" w:styleId="WW8Num9z5">
    <w:name w:val="WW8Num9z5"/>
    <w:qFormat/>
    <w:rPr/>
  </w:style>
  <w:style w:type="character" w:styleId="WW8Num9z6">
    <w:name w:val="WW8Num9z6"/>
    <w:qFormat/>
    <w:rPr/>
  </w:style>
  <w:style w:type="character" w:styleId="WW8Num9z7">
    <w:name w:val="WW8Num9z7"/>
    <w:qFormat/>
    <w:rPr/>
  </w:style>
  <w:style w:type="character" w:styleId="WW8Num9z8">
    <w:name w:val="WW8Num9z8"/>
    <w:qFormat/>
    <w:rPr/>
  </w:style>
  <w:style w:type="character" w:styleId="WW8Num10z0">
    <w:name w:val="WW8Num10z0"/>
    <w:qFormat/>
    <w:rPr>
      <w:b w:val="false"/>
      <w:sz w:val="20"/>
      <w:szCs w:val="20"/>
    </w:rPr>
  </w:style>
  <w:style w:type="character" w:styleId="WW8Num10z1">
    <w:name w:val="WW8Num10z1"/>
    <w:qFormat/>
    <w:rPr/>
  </w:style>
  <w:style w:type="character" w:styleId="WW8Num10z2">
    <w:name w:val="WW8Num10z2"/>
    <w:qFormat/>
    <w:rPr/>
  </w:style>
  <w:style w:type="character" w:styleId="WW8Num10z3">
    <w:name w:val="WW8Num10z3"/>
    <w:qFormat/>
    <w:rPr/>
  </w:style>
  <w:style w:type="character" w:styleId="WW8Num10z4">
    <w:name w:val="WW8Num10z4"/>
    <w:qFormat/>
    <w:rPr/>
  </w:style>
  <w:style w:type="character" w:styleId="WW8Num10z5">
    <w:name w:val="WW8Num10z5"/>
    <w:qFormat/>
    <w:rPr/>
  </w:style>
  <w:style w:type="character" w:styleId="WW8Num10z6">
    <w:name w:val="WW8Num10z6"/>
    <w:qFormat/>
    <w:rPr/>
  </w:style>
  <w:style w:type="character" w:styleId="WW8Num10z7">
    <w:name w:val="WW8Num10z7"/>
    <w:qFormat/>
    <w:rPr/>
  </w:style>
  <w:style w:type="character" w:styleId="WW8Num10z8">
    <w:name w:val="WW8Num10z8"/>
    <w:qFormat/>
    <w:rPr/>
  </w:style>
  <w:style w:type="character" w:styleId="WW8Num11z0">
    <w:name w:val="WW8Num11z0"/>
    <w:qFormat/>
    <w:rPr>
      <w:rFonts w:ascii="Times New Roman" w:hAnsi="Times New Roman" w:cs="Times New Roman"/>
      <w:b/>
      <w:bCs/>
      <w:sz w:val="24"/>
      <w:szCs w:val="24"/>
      <w:lang w:val="sk-SK" w:bidi="sk-SK"/>
    </w:rPr>
  </w:style>
  <w:style w:type="character" w:styleId="WW8Num11z1">
    <w:name w:val="WW8Num11z1"/>
    <w:qFormat/>
    <w:rPr/>
  </w:style>
  <w:style w:type="character" w:styleId="WW8Num11z2">
    <w:name w:val="WW8Num11z2"/>
    <w:qFormat/>
    <w:rPr/>
  </w:style>
  <w:style w:type="character" w:styleId="WW8Num11z3">
    <w:name w:val="WW8Num11z3"/>
    <w:qFormat/>
    <w:rPr/>
  </w:style>
  <w:style w:type="character" w:styleId="WW8Num11z4">
    <w:name w:val="WW8Num11z4"/>
    <w:qFormat/>
    <w:rPr/>
  </w:style>
  <w:style w:type="character" w:styleId="WW8Num11z5">
    <w:name w:val="WW8Num11z5"/>
    <w:qFormat/>
    <w:rPr/>
  </w:style>
  <w:style w:type="character" w:styleId="WW8Num11z6">
    <w:name w:val="WW8Num11z6"/>
    <w:qFormat/>
    <w:rPr/>
  </w:style>
  <w:style w:type="character" w:styleId="WW8Num11z7">
    <w:name w:val="WW8Num11z7"/>
    <w:qFormat/>
    <w:rPr/>
  </w:style>
  <w:style w:type="character" w:styleId="WW8Num11z8">
    <w:name w:val="WW8Num11z8"/>
    <w:qFormat/>
    <w:rPr/>
  </w:style>
  <w:style w:type="character" w:styleId="Predvolenpsmoodseku">
    <w:name w:val="Predvolené písmo odseku"/>
    <w:qFormat/>
    <w:rPr/>
  </w:style>
  <w:style w:type="character" w:styleId="Znakyprepoznmkupodiarou">
    <w:name w:val="Znaky pre poznámku pod čiarou"/>
    <w:qFormat/>
    <w:rPr>
      <w:vertAlign w:val="superscript"/>
    </w:rPr>
  </w:style>
  <w:style w:type="character" w:styleId="Slostrany">
    <w:name w:val="Číslo strany"/>
    <w:basedOn w:val="Predvolenpsmoodseku"/>
    <w:rPr/>
  </w:style>
  <w:style w:type="character" w:styleId="PtaChar">
    <w:name w:val="Päta Char"/>
    <w:qFormat/>
    <w:rPr>
      <w:sz w:val="24"/>
      <w:szCs w:val="24"/>
    </w:rPr>
  </w:style>
  <w:style w:type="character" w:styleId="TextkoncovejpoznmkyChar">
    <w:name w:val="Text koncovej poznámky Char"/>
    <w:basedOn w:val="Predvolenpsmoodseku"/>
    <w:qFormat/>
    <w:rPr/>
  </w:style>
  <w:style w:type="character" w:styleId="Znakyprekoncovpoznmku">
    <w:name w:val="Znaky pre koncovú poznámku"/>
    <w:qFormat/>
    <w:rPr>
      <w:vertAlign w:val="superscript"/>
    </w:rPr>
  </w:style>
  <w:style w:type="character" w:styleId="HlavikaChar">
    <w:name w:val="Hlavička Char"/>
    <w:qFormat/>
    <w:rPr>
      <w:sz w:val="24"/>
      <w:szCs w:val="24"/>
    </w:rPr>
  </w:style>
  <w:style w:type="character" w:styleId="TextbublinyChar">
    <w:name w:val="Text bubliny Char"/>
    <w:qFormat/>
    <w:rPr>
      <w:rFonts w:ascii="Tahoma" w:hAnsi="Tahoma" w:cs="Tahoma"/>
      <w:sz w:val="16"/>
      <w:szCs w:val="16"/>
    </w:rPr>
  </w:style>
  <w:style w:type="character" w:styleId="Tl">
    <w:name w:val="tl"/>
    <w:basedOn w:val="Predvolenpsmoodseku"/>
    <w:qFormat/>
    <w:rPr/>
  </w:style>
  <w:style w:type="character" w:styleId="Tl1Char">
    <w:name w:val="Štýl1 Char"/>
    <w:basedOn w:val="PtaChar"/>
    <w:qFormat/>
    <w:rPr/>
  </w:style>
  <w:style w:type="character" w:styleId="Ra">
    <w:name w:val="ra"/>
    <w:basedOn w:val="Predvolenpsmoodseku"/>
    <w:qFormat/>
    <w:rPr/>
  </w:style>
  <w:style w:type="character" w:styleId="OdsekzoznamuChar">
    <w:name w:val="Odsek zoznamu Char"/>
    <w:qFormat/>
    <w:rPr>
      <w:sz w:val="24"/>
      <w:szCs w:val="24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/>
    <w:rPr>
      <w:rFonts w:ascii="Arial;Arial Narrow" w:hAnsi="Arial;Arial Narrow" w:cs="Arial;Arial Narrow"/>
      <w:sz w:val="20"/>
      <w:szCs w:val="18"/>
      <w:lang w:val="en-GB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Zkladntext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0"/>
      <w:lang w:val="sk-SK" w:eastAsia="zh-CN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>
      <w:suppressLineNumbers/>
      <w:tabs>
        <w:tab w:val="clear" w:pos="709"/>
        <w:tab w:val="center" w:pos="4819" w:leader="none"/>
        <w:tab w:val="right" w:pos="9638" w:leader="none"/>
      </w:tabs>
    </w:pPr>
    <w:rPr/>
  </w:style>
  <w:style w:type="paragraph" w:styleId="Pta">
    <w:name w:val="Footer"/>
    <w:basedOn w:val="Normal"/>
    <w:pPr>
      <w:tabs>
        <w:tab w:val="clear" w:pos="709"/>
        <w:tab w:val="center" w:pos="4536" w:leader="none"/>
        <w:tab w:val="right" w:pos="9072" w:leader="none"/>
      </w:tabs>
      <w:jc w:val="right"/>
    </w:pPr>
    <w:rPr>
      <w:lang w:val="sk-SK"/>
    </w:rPr>
  </w:style>
  <w:style w:type="paragraph" w:styleId="Zkladntext2">
    <w:name w:val="Základný text 2"/>
    <w:basedOn w:val="Normal"/>
    <w:qFormat/>
    <w:pPr>
      <w:jc w:val="both"/>
    </w:pPr>
    <w:rPr/>
  </w:style>
  <w:style w:type="paragraph" w:styleId="Odsadenietelatextu">
    <w:name w:val="Body Text Indent"/>
    <w:basedOn w:val="Normal"/>
    <w:pPr>
      <w:ind w:firstLine="360"/>
      <w:jc w:val="both"/>
    </w:pPr>
    <w:rPr/>
  </w:style>
  <w:style w:type="paragraph" w:styleId="Zarkazkladnhotextu2">
    <w:name w:val="Zarážka základného textu 2"/>
    <w:basedOn w:val="Normal"/>
    <w:qFormat/>
    <w:pPr>
      <w:ind w:firstLine="360"/>
    </w:pPr>
    <w:rPr/>
  </w:style>
  <w:style w:type="paragraph" w:styleId="Zkladntext3">
    <w:name w:val="Základný text 3"/>
    <w:basedOn w:val="Normal"/>
    <w:qFormat/>
    <w:pPr>
      <w:ind w:right="-468" w:hanging="0"/>
      <w:jc w:val="both"/>
    </w:pPr>
    <w:rPr>
      <w:b/>
      <w:bCs/>
    </w:rPr>
  </w:style>
  <w:style w:type="paragraph" w:styleId="Oznaitext">
    <w:name w:val="Označiť text"/>
    <w:basedOn w:val="Normal"/>
    <w:qFormat/>
    <w:pPr>
      <w:ind w:left="1680" w:right="-468" w:hanging="240"/>
    </w:pPr>
    <w:rPr/>
  </w:style>
  <w:style w:type="paragraph" w:styleId="Zarkazkladnhotextu3">
    <w:name w:val="Zarážka základného textu 3"/>
    <w:basedOn w:val="Normal"/>
    <w:qFormat/>
    <w:pPr>
      <w:ind w:right="-468" w:firstLine="720"/>
      <w:jc w:val="both"/>
    </w:pPr>
    <w:rPr>
      <w:bCs/>
    </w:rPr>
  </w:style>
  <w:style w:type="paragraph" w:styleId="Zhlavie">
    <w:name w:val="Header"/>
    <w:basedOn w:val="Normal"/>
    <w:pPr>
      <w:tabs>
        <w:tab w:val="clear" w:pos="709"/>
        <w:tab w:val="center" w:pos="4703" w:leader="none"/>
        <w:tab w:val="right" w:pos="9406" w:leader="none"/>
      </w:tabs>
    </w:pPr>
    <w:rPr>
      <w:lang w:val="sk-SK"/>
    </w:rPr>
  </w:style>
  <w:style w:type="paragraph" w:styleId="Odsekzoznamu">
    <w:name w:val="Odsek zoznamu"/>
    <w:basedOn w:val="Normal"/>
    <w:qFormat/>
    <w:pPr>
      <w:ind w:left="708" w:hanging="0"/>
    </w:pPr>
    <w:rPr>
      <w:lang w:val="sk-SK"/>
    </w:rPr>
  </w:style>
  <w:style w:type="paragraph" w:styleId="Koncovpoznmka">
    <w:name w:val="Endnote Text"/>
    <w:basedOn w:val="Normal"/>
    <w:pPr/>
    <w:rPr>
      <w:sz w:val="20"/>
      <w:szCs w:val="20"/>
    </w:rPr>
  </w:style>
  <w:style w:type="paragraph" w:styleId="Textbubliny">
    <w:name w:val="Text bubliny"/>
    <w:basedOn w:val="Normal"/>
    <w:qFormat/>
    <w:pPr/>
    <w:rPr>
      <w:rFonts w:ascii="Tahoma" w:hAnsi="Tahoma" w:cs="Tahoma"/>
      <w:sz w:val="16"/>
      <w:szCs w:val="16"/>
      <w:lang w:val="sk-SK"/>
    </w:rPr>
  </w:style>
  <w:style w:type="paragraph" w:styleId="Tl1">
    <w:name w:val="Štýl1"/>
    <w:basedOn w:val="Pta"/>
    <w:qFormat/>
    <w:pPr/>
    <w:rPr/>
  </w:style>
  <w:style w:type="paragraph" w:styleId="TopHeader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Default">
    <w:name w:val="Default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  <w:style w:type="numbering" w:styleId="WW8Num8">
    <w:name w:val="WW8Num8"/>
    <w:qFormat/>
  </w:style>
  <w:style w:type="numbering" w:styleId="WW8Num9">
    <w:name w:val="WW8Num9"/>
    <w:qFormat/>
  </w:style>
  <w:style w:type="numbering" w:styleId="WW8Num10">
    <w:name w:val="WW8Num10"/>
    <w:qFormat/>
  </w:style>
  <w:style w:type="numbering" w:styleId="WW8Num11">
    <w:name w:val="WW8Num1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344</TotalTime>
  <Application>LibreOffice/7.0.3.1$Windows_X86_64 LibreOffice_project/d7547858d014d4cf69878db179d326fc3483e082</Application>
  <Pages>5</Pages>
  <Words>1369</Words>
  <Characters>8157</Characters>
  <CharactersWithSpaces>9351</CharactersWithSpaces>
  <Paragraphs>205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2016-01-30T15:32:00Z</dcterms:created>
  <dc:creator>EK</dc:creator>
  <dc:description/>
  <dc:language>sk-SK</dc:language>
  <cp:lastModifiedBy/>
  <cp:lastPrinted>2019-01-11T10:52:00Z</cp:lastPrinted>
  <dcterms:modified xsi:type="dcterms:W3CDTF">2026-03-09T18:54:08Z</dcterms:modified>
  <cp:revision>29</cp:revision>
  <dc:subject/>
  <dc:title>Opatrenie</dc:title>
</cp:coreProperties>
</file>