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607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532"/>
        <w:gridCol w:w="1100"/>
        <w:gridCol w:w="1100"/>
        <w:gridCol w:w="978"/>
        <w:gridCol w:w="1030"/>
        <w:gridCol w:w="1030"/>
        <w:gridCol w:w="978"/>
        <w:gridCol w:w="1100"/>
        <w:gridCol w:w="978"/>
        <w:gridCol w:w="1263"/>
      </w:tblGrid>
      <w:tr w:rsidR="000E7FD9" w:rsidRPr="000E7FD9" w:rsidTr="000E7FD9">
        <w:trPr>
          <w:trHeight w:val="375"/>
        </w:trPr>
        <w:tc>
          <w:tcPr>
            <w:tcW w:w="24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Poznámky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MÚJ 3 - 01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IČO: </w:t>
            </w:r>
            <w:r w:rsidR="009D3E3E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47182156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</w:t>
            </w:r>
            <w:r w:rsidR="0080692B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DIČ:2023</w:t>
            </w:r>
            <w:r w:rsidR="009D3E3E"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>785709</w:t>
            </w: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w:t xml:space="preserve">         </w: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192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192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75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Všeobecné údaje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B05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Názov právnickej osoby: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6975A8" w:rsidP="006975A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proofErr w:type="spellStart"/>
            <w:r>
              <w:rPr>
                <w:rFonts w:ascii="Arial" w:eastAsia="Times New Roman" w:hAnsi="Arial" w:cs="Arial"/>
                <w:b/>
                <w:bCs/>
                <w:lang w:eastAsia="sk-SK"/>
              </w:rPr>
              <w:t>Research</w:t>
            </w:r>
            <w:proofErr w:type="spellEnd"/>
            <w:r>
              <w:rPr>
                <w:rFonts w:ascii="Arial" w:eastAsia="Times New Roman" w:hAnsi="Arial" w:cs="Arial"/>
                <w:b/>
                <w:bCs/>
                <w:lang w:eastAsia="sk-SK"/>
              </w:rPr>
              <w:t xml:space="preserve"> </w:t>
            </w:r>
            <w:proofErr w:type="spellStart"/>
            <w:r>
              <w:rPr>
                <w:rFonts w:ascii="Arial" w:eastAsia="Times New Roman" w:hAnsi="Arial" w:cs="Arial"/>
                <w:b/>
                <w:bCs/>
                <w:lang w:eastAsia="sk-SK"/>
              </w:rPr>
              <w:t>Services</w:t>
            </w:r>
            <w:proofErr w:type="spellEnd"/>
            <w:r>
              <w:rPr>
                <w:rFonts w:ascii="Arial" w:eastAsia="Times New Roman" w:hAnsi="Arial" w:cs="Arial"/>
                <w:b/>
                <w:bCs/>
                <w:lang w:eastAsia="sk-SK"/>
              </w:rPr>
              <w:t>, s.r.o.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Sídlo: </w:t>
            </w:r>
          </w:p>
        </w:tc>
        <w:tc>
          <w:tcPr>
            <w:tcW w:w="6153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6975A8" w:rsidP="006975A8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Komenského 583/1, 058 01 Poprad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konsolidovanom celku, ak je účtovná jednotka jeho súčasťou: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12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2.a)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24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Obchodné meno a sídlo konsolidujúcej účtovnej jednotky, ktorá zostavuje konsolidovanú  účtovnú závierku za tú skupinu účtovných jednotiek konsolidovaného celku, ktorého súčasťou je aj účtovná jednotka; uvádza sa aj obchodné meno a sídlo účtovnej jednotky, ktorá je bezprostredne konsolidujúcou účtovnou jednotkou: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0E7FD9" w:rsidRPr="000E7FD9" w:rsidTr="000E7FD9">
        <w:trPr>
          <w:trHeight w:val="43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868" w:type="dxa"/>
            <w:gridSpan w:val="6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nie je súčasťou konsolidovaného celku.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2.b)</w:t>
            </w:r>
            <w:r w:rsidRPr="000E7FD9">
              <w:rPr>
                <w:rFonts w:ascii="Calibri" w:eastAsia="Times New Roman" w:hAnsi="Calibri" w:cs="Arial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Oslobodenie materskej účtovnej jednotky od povinnosti zostavenia konsolidovanej účtovnej závierky a konsolidovanej výročnej správy</w:t>
            </w:r>
          </w:p>
        </w:tc>
      </w:tr>
      <w:tr w:rsidR="000E7FD9" w:rsidRPr="000E7FD9" w:rsidTr="000E7FD9">
        <w:trPr>
          <w:trHeight w:val="300"/>
        </w:trPr>
        <w:tc>
          <w:tcPr>
            <w:tcW w:w="8344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5868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Informácie o počte zamestnancov: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53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690500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lang w:eastAsia="sk-SK"/>
              </w:rPr>
              <w:t>Priemerný prepočítaný počet zamestnancov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492A77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0E7FD9" w:rsidRPr="000E7FD9" w:rsidTr="000E7FD9">
        <w:trPr>
          <w:trHeight w:val="45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9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 o prijatých postupoch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1.   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Účtovná jednotka bude nepretržite pokračovať vo svojej činnosti: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7216" behindDoc="0" locked="0" layoutInCell="1" allowOverlap="1">
                  <wp:simplePos x="0" y="0"/>
                  <wp:positionH relativeFrom="column">
                    <wp:posOffset>123825</wp:posOffset>
                  </wp:positionH>
                  <wp:positionV relativeFrom="paragraph">
                    <wp:posOffset>142875</wp:posOffset>
                  </wp:positionV>
                  <wp:extent cx="266700" cy="247650"/>
                  <wp:effectExtent l="0" t="0" r="0" b="0"/>
                  <wp:wrapNone/>
                  <wp:docPr id="2" name="TextovéPole 11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457200" y="6305549"/>
                            <a:ext cx="200025" cy="190501"/>
                            <a:chOff x="457200" y="6305549"/>
                            <a:chExt cx="200025" cy="190501"/>
                          </a:xfrm>
                        </a:grpSpPr>
                        <a:sp>
                          <a:nvSpPr>
                            <a:cNvPr id="12" name="TextovéPole 11"/>
                            <a:cNvSpPr txBox="1"/>
                          </a:nvSpPr>
                          <a:spPr>
                            <a:xfrm>
                              <a:off x="457200" y="10582274"/>
                              <a:ext cx="200025" cy="190501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r>
                                  <a:rPr lang="sk-SK"/>
                                  <a:t>X</a:t>
                                </a:r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lang w:eastAsia="sk-SK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428625</wp:posOffset>
                  </wp:positionH>
                  <wp:positionV relativeFrom="paragraph">
                    <wp:posOffset>180975</wp:posOffset>
                  </wp:positionV>
                  <wp:extent cx="228600" cy="219075"/>
                  <wp:effectExtent l="0" t="0" r="0" b="0"/>
                  <wp:wrapNone/>
                  <wp:docPr id="3" name="TextovéPole 12"/>
                  <wp:cNvGraphicFramePr/>
                  <a:graphic xmlns:a="http://schemas.openxmlformats.org/drawingml/2006/main">
                    <a:graphicData uri="http://schemas.openxmlformats.org/drawingml/2006/lockedCanvas">
                      <lc:lockedCanvas xmlns:lc="http://schemas.openxmlformats.org/drawingml/2006/lockedCanvas">
                        <a:nvGrpSpPr>
                          <a:cNvPr id="0" name=""/>
                          <a:cNvGrpSpPr/>
                        </a:nvGrpSpPr>
                        <a:grpSpPr>
                          <a:xfrm>
                            <a:off x="1371600" y="6315076"/>
                            <a:ext cx="200025" cy="190500"/>
                            <a:chOff x="1371600" y="6315076"/>
                            <a:chExt cx="200025" cy="190500"/>
                          </a:xfrm>
                        </a:grpSpPr>
                        <a:sp>
                          <a:nvSpPr>
                            <a:cNvPr id="13" name="TextovéPole 12"/>
                            <a:cNvSpPr txBox="1"/>
                          </a:nvSpPr>
                          <a:spPr>
                            <a:xfrm>
                              <a:off x="1368669" y="6872655"/>
                              <a:ext cx="198560" cy="190500"/>
                            </a:xfrm>
                            <a:prstGeom prst="rect">
                              <a:avLst/>
                            </a:prstGeom>
                            <a:solidFill>
                              <a:schemeClr val="lt1"/>
                            </a:solidFill>
                            <a:ln w="19050" cmpd="sng">
                              <a:solidFill>
                                <a:schemeClr val="tx1"/>
                              </a:solidFill>
                            </a:ln>
                          </a:spPr>
                          <a:txSp>
                            <a:txBody>
                              <a:bodyPr vertOverflow="clip" wrap="square" rtlCol="0" anchor="ctr" anchorCtr="0"/>
                              <a:lstStyle>
                                <a:lvl1pPr marL="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1pPr>
                                <a:lvl2pPr marL="457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2pPr>
                                <a:lvl3pPr marL="914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3pPr>
                                <a:lvl4pPr marL="1371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4pPr>
                                <a:lvl5pPr marL="18288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5pPr>
                                <a:lvl6pPr marL="22860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6pPr>
                                <a:lvl7pPr marL="27432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7pPr>
                                <a:lvl8pPr marL="32004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8pPr>
                                <a:lvl9pPr marL="3657600" indent="0">
                                  <a:defRPr sz="1100">
                                    <a:solidFill>
                                      <a:schemeClr val="dk1"/>
                                    </a:solidFill>
                                    <a:latin typeface="+mn-lt"/>
                                    <a:ea typeface="+mn-ea"/>
                                    <a:cs typeface="+mn-cs"/>
                                  </a:defRPr>
                                </a:lvl9pPr>
                              </a:lstStyle>
                              <a:p>
                                <a:endParaRPr lang="sk-SK"/>
                              </a:p>
                              <a:p>
                                <a:endParaRPr lang="sk-SK"/>
                              </a:p>
                            </a:txBody>
                            <a:useSpRect/>
                          </a:txSp>
                          <a:style>
                            <a:lnRef idx="0">
                              <a:scrgbClr r="0" g="0" b="0"/>
                            </a:lnRef>
                            <a:fillRef idx="0">
                              <a:scrgbClr r="0" g="0" b="0"/>
                            </a:fillRef>
                            <a:effectRef idx="0">
                              <a:scrgbClr r="0" g="0" b="0"/>
                            </a:effectRef>
                            <a:fontRef idx="minor">
                              <a:schemeClr val="dk1"/>
                            </a:fontRef>
                          </a:style>
                        </a:sp>
                      </lc:lockedCanvas>
                    </a:graphicData>
                  </a:graphic>
                </wp:anchor>
              </w:drawing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/>
            </w:tblPr>
            <w:tblGrid>
              <w:gridCol w:w="960"/>
            </w:tblGrid>
            <w:tr w:rsidR="000E7FD9" w:rsidRPr="000E7FD9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0E7FD9" w:rsidRPr="000E7FD9" w:rsidRDefault="000E7FD9" w:rsidP="000E7FD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0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        áno</w:t>
            </w:r>
          </w:p>
        </w:tc>
        <w:tc>
          <w:tcPr>
            <w:tcW w:w="19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 nie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oceňovania jednotlivých zložiek majetku a záväzkov: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557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Náklady spojené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Pohľadávky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585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vr. rezerv, dlhopisov, pôžičiek...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menovitou hodnotou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7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6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0E7FD9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zostavenia odpisového plánu dlhodobého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Spôsob zostavenia účtovného odpisového plánu pre dlhodobý hmotný majetok a dlhodobý nehmotný majetok, doba odpisovania a použité sadzby a odpisové metódy pri stanovení účtovných odpisov: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odpisovaný hmotný a nehmotný majetok.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Zmeny účtovných zásad a účtovných metód: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58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Účtovné metódy a zásady boli konzistentne aplikované v rámci platného zákona o účtovníctve počas celého účtovného obdobia.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Dotácie poskytnuté na obstaranie majetku: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Účtovnej jednotke neboli poskytnuté dotácie na obstaranie majetku.</w:t>
            </w:r>
          </w:p>
        </w:tc>
      </w:tr>
      <w:tr w:rsidR="000E7FD9" w:rsidRPr="000E7FD9" w:rsidTr="000E7FD9">
        <w:trPr>
          <w:trHeight w:val="300"/>
        </w:trPr>
        <w:tc>
          <w:tcPr>
            <w:tcW w:w="34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293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1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Oprava významných a nevýznamných chýb minulých účtovných období vykonaných v bežnom účtovnom období: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opravy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Suma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Popis chyby a vplyvu opravy</w:t>
            </w:r>
          </w:p>
        </w:tc>
      </w:tr>
      <w:tr w:rsidR="000E7FD9" w:rsidRPr="000E7FD9" w:rsidTr="000E7FD9">
        <w:trPr>
          <w:trHeight w:val="6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42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Oprava </w:t>
            </w: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nevýznamných</w:t>
            </w: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chýb minulých účtovných období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200" w:firstLine="400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197" w:type="dxa"/>
            <w:gridSpan w:val="4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100" w:firstLine="200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0E7FD9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účtovná jednotka nevykonala</w:t>
            </w:r>
          </w:p>
        </w:tc>
      </w:tr>
      <w:tr w:rsidR="000E7FD9" w:rsidRPr="000E7FD9" w:rsidTr="000E7FD9">
        <w:trPr>
          <w:trHeight w:val="37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Čl. III</w:t>
            </w:r>
          </w:p>
        </w:tc>
      </w:tr>
      <w:tr w:rsidR="000E7FD9" w:rsidRPr="000E7FD9" w:rsidTr="000E7FD9">
        <w:trPr>
          <w:trHeight w:val="300"/>
        </w:trPr>
        <w:tc>
          <w:tcPr>
            <w:tcW w:w="9607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i/>
                <w:iCs/>
                <w:lang w:eastAsia="sk-SK"/>
              </w:rPr>
              <w:t>Informácie, ktoré vysvetľujú a dopĺňajú súvahu a výkaz ziskov a strát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3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sume a dôvodoch vzniku jednotlivých položiek nákladov alebo výnosov, ktoré majú výnimočný rozsah alebo výskyt: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Účtovná jednotka nemá položky nákladov a výnosov, ktoré majú výnimočný rozsah alebo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výskyt.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:rsidR="0080692B" w:rsidRPr="000E7FD9" w:rsidRDefault="0080692B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2.a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záväzkoch:</w:t>
            </w:r>
          </w:p>
        </w:tc>
      </w:tr>
      <w:tr w:rsidR="000E7FD9" w:rsidRPr="000E7FD9" w:rsidTr="000E7FD9">
        <w:trPr>
          <w:trHeight w:val="3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80692B">
        <w:trPr>
          <w:trHeight w:val="831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60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315"/>
        </w:trPr>
        <w:tc>
          <w:tcPr>
            <w:tcW w:w="345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93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6CE" w:rsidRPr="000E7FD9" w:rsidRDefault="009D3E3E" w:rsidP="009D3E3E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963</w:t>
            </w:r>
          </w:p>
        </w:tc>
        <w:tc>
          <w:tcPr>
            <w:tcW w:w="3219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E7FD9" w:rsidRPr="000E7FD9" w:rsidRDefault="009D3E3E" w:rsidP="009D3E3E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2E75B6"/>
                <w:lang w:eastAsia="sk-SK"/>
              </w:rPr>
              <w:t>361</w:t>
            </w:r>
          </w:p>
        </w:tc>
      </w:tr>
      <w:tr w:rsidR="000E7FD9" w:rsidRPr="000E7FD9" w:rsidTr="000E7FD9">
        <w:trPr>
          <w:trHeight w:val="885"/>
        </w:trPr>
        <w:tc>
          <w:tcPr>
            <w:tcW w:w="345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934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9D3E3E" w:rsidP="009D3E3E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963</w:t>
            </w:r>
          </w:p>
        </w:tc>
        <w:tc>
          <w:tcPr>
            <w:tcW w:w="3219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0692B" w:rsidRPr="000E7FD9" w:rsidRDefault="009D3E3E" w:rsidP="009D3E3E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361</w:t>
            </w:r>
          </w:p>
        </w:tc>
      </w:tr>
      <w:tr w:rsidR="000E7FD9" w:rsidRPr="000E7FD9" w:rsidTr="000E7FD9">
        <w:trPr>
          <w:trHeight w:val="420"/>
        </w:trPr>
        <w:tc>
          <w:tcPr>
            <w:tcW w:w="345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934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  <w:tc>
          <w:tcPr>
            <w:tcW w:w="3219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color w:val="2E75B6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2E75B6"/>
                <w:lang w:eastAsia="sk-SK"/>
              </w:rPr>
              <w:t> </w:t>
            </w: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42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záväzkov zabezpečená záložným právom: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846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záväzky zabezpečené záložným právom.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vlastných akciách: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91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Účtovná jednotka nemá vlastné akcie.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orgánoch účtovnej jednotky: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Orgány účtovnej jednotky nemali poskytnuté záruky alebo zabezpečenia, poskytnuté pôžičky,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splatené pôžičky, </w:t>
            </w:r>
            <w:proofErr w:type="spellStart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odpustné</w:t>
            </w:r>
            <w:proofErr w:type="spellEnd"/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 xml:space="preserve"> alebo odpísané pôžičky, ani finančné prostriedky a iné plnenie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489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color w:val="000000"/>
                <w:lang w:eastAsia="sk-SK"/>
              </w:rPr>
              <w:t>použité na súkromné účely na vyúčtovanie.</w:t>
            </w: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4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4.d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Hlavné podmienky, na základe ktorých boli záruky alebo iné zabezpečenia poskytnuté (pri pôžičkách sa uvádzajú úrokové sadzby):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záruky ani iné zabezpečenia.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615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5.a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Informácie o celkovej sume finančných povinností, ktoré sa nevykazujú v súvahe: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žiadne finančné povinnosti, ktoré sa vykazujú v súvahe (povinnosti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8B1B9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nájomcu z operatívneho prenájmu, povinnosti z uzatvorených úverových zml</w:t>
            </w:r>
            <w:r w:rsidR="008B1B95">
              <w:rPr>
                <w:rFonts w:ascii="Arial" w:eastAsia="Times New Roman" w:hAnsi="Arial" w:cs="Arial"/>
                <w:lang w:eastAsia="sk-SK"/>
              </w:rPr>
              <w:t>ú</w:t>
            </w:r>
            <w:r w:rsidRPr="000E7FD9">
              <w:rPr>
                <w:rFonts w:ascii="Arial" w:eastAsia="Times New Roman" w:hAnsi="Arial" w:cs="Arial"/>
                <w:lang w:eastAsia="sk-SK"/>
              </w:rPr>
              <w:t>v, povinnosti</w:t>
            </w:r>
          </w:p>
        </w:tc>
      </w:tr>
      <w:tr w:rsidR="000E7FD9" w:rsidRPr="000E7FD9" w:rsidTr="000E7FD9">
        <w:trPr>
          <w:trHeight w:val="36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licenčných zmlúv, povinnosti z koncesionárskych zmlúv).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5.b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Informácie o významných podmienených záväzkoch: 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nemá žiadne významné podmienené záväzky (zo súdnych rozhodnutí,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poskytnutých záruk, zo všeobecných záväzných právnych predpisov, zo zmluvy o záväzku,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z ručenia).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0E7FD9" w:rsidRPr="000E7FD9" w:rsidTr="000E7FD9">
        <w:trPr>
          <w:trHeight w:val="6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5.e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povinností účtovnej jednotky vyplývajúcich z dôchodkových programov pre zamestnancov: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8B1B95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</w:t>
            </w:r>
            <w:r w:rsidR="008B1B95"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0E7FD9">
              <w:rPr>
                <w:rFonts w:ascii="Arial" w:eastAsia="Times New Roman" w:hAnsi="Arial" w:cs="Arial"/>
                <w:lang w:eastAsia="sk-SK"/>
              </w:rPr>
              <w:t xml:space="preserve">má </w:t>
            </w:r>
            <w:r w:rsidR="008B1B95">
              <w:rPr>
                <w:rFonts w:ascii="Arial" w:eastAsia="Times New Roman" w:hAnsi="Arial" w:cs="Arial"/>
                <w:lang w:eastAsia="sk-SK"/>
              </w:rPr>
              <w:t xml:space="preserve">1 </w:t>
            </w:r>
            <w:r w:rsidRPr="000E7FD9">
              <w:rPr>
                <w:rFonts w:ascii="Arial" w:eastAsia="Times New Roman" w:hAnsi="Arial" w:cs="Arial"/>
                <w:lang w:eastAsia="sk-SK"/>
              </w:rPr>
              <w:t>zamestnanc</w:t>
            </w:r>
            <w:r w:rsidR="008B1B95">
              <w:rPr>
                <w:rFonts w:ascii="Arial" w:eastAsia="Times New Roman" w:hAnsi="Arial" w:cs="Arial"/>
                <w:lang w:eastAsia="sk-SK"/>
              </w:rPr>
              <w:t>a.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9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6.</w:t>
            </w: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0E7FD9" w:rsidRPr="000E7FD9" w:rsidRDefault="000E7FD9" w:rsidP="000E7FD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0E7FD9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udelení výlučného práva alebo osobitného práva, ktorým sa udelilo právo poskytovať služby vo verejnom záujme (uvádza sa aj náhrada za túto činnosť v akejkoľvek forme):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Účtovná jednotka nemala udelené výlučné právo alebo osobitné právo poskytovať služby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0E7FD9">
              <w:rPr>
                <w:rFonts w:ascii="Arial" w:eastAsia="Times New Roman" w:hAnsi="Arial" w:cs="Arial"/>
                <w:lang w:eastAsia="sk-SK"/>
              </w:rPr>
              <w:t>vo verejnom záujme.</w:t>
            </w:r>
          </w:p>
        </w:tc>
      </w:tr>
      <w:tr w:rsidR="000E7FD9" w:rsidRPr="000E7FD9" w:rsidTr="000E7FD9">
        <w:trPr>
          <w:trHeight w:val="300"/>
        </w:trPr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087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E7FD9" w:rsidRPr="000E7FD9" w:rsidRDefault="000E7FD9" w:rsidP="000E7FD9">
            <w:pPr>
              <w:spacing w:after="0" w:line="240" w:lineRule="auto"/>
              <w:rPr>
                <w:rFonts w:ascii="Arial" w:eastAsia="Times New Roman" w:hAnsi="Arial" w:cs="Arial"/>
                <w:color w:val="2E75B6"/>
                <w:lang w:eastAsia="sk-SK"/>
              </w:rPr>
            </w:pPr>
          </w:p>
        </w:tc>
      </w:tr>
    </w:tbl>
    <w:p w:rsidR="00F44770" w:rsidRDefault="00F44770"/>
    <w:sectPr w:rsidR="00F44770" w:rsidSect="00F4477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0E7FD9"/>
    <w:rsid w:val="000E7FD9"/>
    <w:rsid w:val="001E163E"/>
    <w:rsid w:val="00492A77"/>
    <w:rsid w:val="005722D6"/>
    <w:rsid w:val="005C3D4E"/>
    <w:rsid w:val="00690500"/>
    <w:rsid w:val="006975A8"/>
    <w:rsid w:val="007B66CE"/>
    <w:rsid w:val="0080692B"/>
    <w:rsid w:val="00811B19"/>
    <w:rsid w:val="008B1B95"/>
    <w:rsid w:val="008C56E2"/>
    <w:rsid w:val="009D3E3E"/>
    <w:rsid w:val="00A30A0D"/>
    <w:rsid w:val="00AF6502"/>
    <w:rsid w:val="00B02E61"/>
    <w:rsid w:val="00C54C05"/>
    <w:rsid w:val="00CF0797"/>
    <w:rsid w:val="00DF1B7D"/>
    <w:rsid w:val="00E91F7C"/>
    <w:rsid w:val="00F447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477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02E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02E6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54046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834</Words>
  <Characters>4758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4</cp:revision>
  <cp:lastPrinted>2026-03-22T21:28:00Z</cp:lastPrinted>
  <dcterms:created xsi:type="dcterms:W3CDTF">2026-03-22T21:29:00Z</dcterms:created>
  <dcterms:modified xsi:type="dcterms:W3CDTF">2026-03-23T21:39:00Z</dcterms:modified>
</cp:coreProperties>
</file>