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7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532"/>
        <w:gridCol w:w="1100"/>
        <w:gridCol w:w="1100"/>
        <w:gridCol w:w="978"/>
        <w:gridCol w:w="1030"/>
        <w:gridCol w:w="1030"/>
        <w:gridCol w:w="978"/>
        <w:gridCol w:w="1100"/>
        <w:gridCol w:w="978"/>
        <w:gridCol w:w="1263"/>
      </w:tblGrid>
      <w:tr w:rsidR="000E7FD9" w:rsidRPr="000E7FD9" w:rsidTr="000E7FD9">
        <w:trPr>
          <w:trHeight w:val="375"/>
        </w:trPr>
        <w:tc>
          <w:tcPr>
            <w:tcW w:w="2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Poznámky </w:t>
            </w:r>
            <w:proofErr w:type="spellStart"/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</w:t>
            </w:r>
            <w:proofErr w:type="spellEnd"/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MÚJ 3 - 01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I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w:t xml:space="preserve">IČO: </w:t>
            </w:r>
            <w:r w:rsidR="009D3E3E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w:t>47182156</w:t>
            </w:r>
            <w:r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w:t xml:space="preserve">   </w:t>
            </w:r>
            <w:r w:rsidR="0080692B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w:t>DIČ:2023</w:t>
            </w:r>
            <w:r w:rsidR="009D3E3E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w:t>785709</w:t>
            </w:r>
            <w:r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w:t xml:space="preserve">        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20"/>
            </w:tblGrid>
            <w:tr w:rsidR="000E7FD9" w:rsidRPr="000E7FD9">
              <w:trPr>
                <w:trHeight w:val="375"/>
                <w:tblCellSpacing w:w="0" w:type="dxa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7FD9" w:rsidRPr="000E7FD9" w:rsidRDefault="000E7FD9" w:rsidP="000E7F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0E7FD9" w:rsidRPr="000E7FD9">
              <w:trPr>
                <w:trHeight w:val="37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7FD9" w:rsidRPr="000E7FD9" w:rsidRDefault="000E7FD9" w:rsidP="000E7FD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15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Čl. I</w:t>
            </w:r>
          </w:p>
        </w:tc>
      </w:tr>
      <w:tr w:rsidR="000E7FD9" w:rsidRPr="000E7FD9" w:rsidTr="000E7FD9">
        <w:trPr>
          <w:trHeight w:val="300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Všeobecné údaje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1.</w:t>
            </w: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</w:t>
            </w:r>
          </w:p>
        </w:tc>
        <w:tc>
          <w:tcPr>
            <w:tcW w:w="2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Názov právnickej osoby: </w:t>
            </w:r>
          </w:p>
        </w:tc>
        <w:tc>
          <w:tcPr>
            <w:tcW w:w="61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6975A8" w:rsidP="0069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lang w:eastAsia="sk-SK"/>
              </w:rPr>
              <w:t>Research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lang w:eastAsia="sk-SK"/>
              </w:rPr>
              <w:t>Services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lang w:eastAsia="sk-SK"/>
              </w:rPr>
              <w:t>, s.r.o.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   </w:t>
            </w:r>
          </w:p>
        </w:tc>
        <w:tc>
          <w:tcPr>
            <w:tcW w:w="2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Sídlo: </w:t>
            </w:r>
          </w:p>
        </w:tc>
        <w:tc>
          <w:tcPr>
            <w:tcW w:w="61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6975A8" w:rsidP="006975A8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Komenského 583/1, 058 01 Poprad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</w:t>
            </w: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konsolidovanom celku, ak je účtovná jednotka jeho súčasťou:</w:t>
            </w:r>
          </w:p>
        </w:tc>
      </w:tr>
      <w:tr w:rsidR="000E7FD9" w:rsidRPr="000E7FD9" w:rsidTr="000E7FD9">
        <w:trPr>
          <w:trHeight w:val="300"/>
        </w:trPr>
        <w:tc>
          <w:tcPr>
            <w:tcW w:w="83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123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2.a)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Obchodné meno a sídlo konsolidujúcej účtovnej jednotky, ktorá zostavuje konsolidovanú  účtovnú závierku za tú skupinu účtovných jednotiek konsolidovaného celku, ktorého súčasťou je aj účtovná jednotka; uvádza sa aj obchodné meno a sídlo účtovnej jednotky, ktorá je bezprostredne konsolidujúcou účtovnou jednotkou: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E7FD9" w:rsidRPr="000E7FD9" w:rsidTr="000E7FD9">
        <w:trPr>
          <w:trHeight w:val="43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5868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 nie je súčasťou konsolidovaného celku.</w:t>
            </w:r>
          </w:p>
        </w:tc>
        <w:tc>
          <w:tcPr>
            <w:tcW w:w="97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6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2.b)</w:t>
            </w:r>
            <w:r w:rsidRPr="000E7FD9"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Oslobodenie materskej účtovnej jednotky od povinnosti zostavenia konsolidovanej účtovnej závierky a konsolidovanej výročnej správy</w:t>
            </w:r>
          </w:p>
        </w:tc>
      </w:tr>
      <w:tr w:rsidR="000E7FD9" w:rsidRPr="000E7FD9" w:rsidTr="000E7FD9">
        <w:trPr>
          <w:trHeight w:val="300"/>
        </w:trPr>
        <w:tc>
          <w:tcPr>
            <w:tcW w:w="83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58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Informácie o počte zamestnancov: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80692B">
        <w:trPr>
          <w:trHeight w:val="853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E7FD9" w:rsidRPr="000E7FD9" w:rsidTr="000E7FD9">
        <w:trPr>
          <w:trHeight w:val="58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690500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492A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0E7FD9" w:rsidRPr="000E7FD9" w:rsidTr="000E7FD9">
        <w:trPr>
          <w:trHeight w:val="450"/>
        </w:trPr>
        <w:tc>
          <w:tcPr>
            <w:tcW w:w="34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390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Čl. II</w:t>
            </w:r>
          </w:p>
        </w:tc>
      </w:tr>
      <w:tr w:rsidR="000E7FD9" w:rsidRPr="000E7FD9" w:rsidTr="000E7FD9">
        <w:trPr>
          <w:trHeight w:val="300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Informácie o prijatých postupoch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1.   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Účtovná jednotka bude nepretržite pokračovať vo svojej činnosti: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142875</wp:posOffset>
                  </wp:positionV>
                  <wp:extent cx="266700" cy="247650"/>
                  <wp:effectExtent l="0" t="0" r="0" b="0"/>
                  <wp:wrapNone/>
                  <wp:docPr id="2" name="TextovéPole 1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57200" y="6305549"/>
                            <a:ext cx="200025" cy="190501"/>
                            <a:chOff x="457200" y="6305549"/>
                            <a:chExt cx="200025" cy="190501"/>
                          </a:xfrm>
                        </a:grpSpPr>
                        <a:sp>
                          <a:nvSpPr>
                            <a:cNvPr id="12" name="TextovéPole 11"/>
                            <a:cNvSpPr txBox="1"/>
                          </a:nvSpPr>
                          <a:spPr>
                            <a:xfrm>
                              <a:off x="457200" y="10582274"/>
                              <a:ext cx="200025" cy="19050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 cmpd="sng"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vertOverflow="clip" wrap="square" rtlCol="0" anchor="ctr" anchorCtr="0"/>
                              <a:lstStyle>
                                <a:lvl1pPr marL="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sk-SK"/>
                                  <a:t>X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0E7FD9" w:rsidRPr="000E7FD9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7FD9" w:rsidRPr="000E7FD9" w:rsidRDefault="000E7FD9" w:rsidP="000E7FD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180975</wp:posOffset>
                  </wp:positionV>
                  <wp:extent cx="228600" cy="219075"/>
                  <wp:effectExtent l="0" t="0" r="0" b="0"/>
                  <wp:wrapNone/>
                  <wp:docPr id="3" name="TextovéPole 1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371600" y="6315076"/>
                            <a:ext cx="200025" cy="190500"/>
                            <a:chOff x="1371600" y="6315076"/>
                            <a:chExt cx="200025" cy="190500"/>
                          </a:xfrm>
                        </a:grpSpPr>
                        <a:sp>
                          <a:nvSpPr>
                            <a:cNvPr id="13" name="TextovéPole 12"/>
                            <a:cNvSpPr txBox="1"/>
                          </a:nvSpPr>
                          <a:spPr>
                            <a:xfrm>
                              <a:off x="1368669" y="6872655"/>
                              <a:ext cx="198560" cy="190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 cmpd="sng"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vertOverflow="clip" wrap="square" rtlCol="0" anchor="ctr" anchorCtr="0"/>
                              <a:lstStyle>
                                <a:lvl1pPr marL="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sk-SK"/>
                              </a:p>
                              <a:p>
                                <a:endParaRPr lang="sk-SK"/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0E7FD9" w:rsidRPr="000E7FD9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7FD9" w:rsidRPr="000E7FD9" w:rsidRDefault="000E7FD9" w:rsidP="000E7FD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40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      áno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 nie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oceňovania jednotlivých zložiek majetku a záväzkov:</w:t>
            </w:r>
          </w:p>
        </w:tc>
      </w:tr>
      <w:tr w:rsidR="000E7FD9" w:rsidRPr="000E7FD9" w:rsidTr="000E7FD9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80692B">
        <w:trPr>
          <w:trHeight w:val="557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Náklady spojené </w:t>
            </w: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0E7FD9" w:rsidRPr="000E7FD9" w:rsidTr="000E7FD9">
        <w:trPr>
          <w:trHeight w:val="300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Pohľadávky</w:t>
            </w:r>
          </w:p>
        </w:tc>
        <w:tc>
          <w:tcPr>
            <w:tcW w:w="2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menovitou hodnotou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585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Záväzky vr. rezerv, dlhopisov, pôžičiek...</w:t>
            </w:r>
          </w:p>
        </w:tc>
        <w:tc>
          <w:tcPr>
            <w:tcW w:w="2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menovitou hodnotou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300"/>
        </w:trPr>
        <w:tc>
          <w:tcPr>
            <w:tcW w:w="3454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3.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zostavenia odpisového plánu dlhodobého majetku: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Spôsob zostavenia účtovného odpisového plánu pre dlhodobý hmotný majetok a dlhodobý nehmotný majetok, doba odpisovania a použité sadzby a odpisové metódy pri stanovení účtovných odpisov: 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Účtovná jednotka nemá odpisovaný hmotný a nehmotný majetok.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4.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Zmeny účtovných zásad a účtovných metód: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58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Účtovné metódy a zásady boli konzistentne aplikované v rámci platného zákona o účtovníctve počas celého účtovného obdobia.</w:t>
            </w:r>
          </w:p>
        </w:tc>
      </w:tr>
      <w:tr w:rsidR="000E7FD9" w:rsidRPr="000E7FD9" w:rsidTr="000E7FD9">
        <w:trPr>
          <w:trHeight w:val="300"/>
        </w:trPr>
        <w:tc>
          <w:tcPr>
            <w:tcW w:w="34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Dotácie poskytnuté na obstaranie majetku: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Účtovnej jednotke neboli poskytnuté dotácie na obstaranie majetku.</w:t>
            </w:r>
          </w:p>
        </w:tc>
      </w:tr>
      <w:tr w:rsidR="000E7FD9" w:rsidRPr="000E7FD9" w:rsidTr="000E7FD9">
        <w:trPr>
          <w:trHeight w:val="300"/>
        </w:trPr>
        <w:tc>
          <w:tcPr>
            <w:tcW w:w="34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6.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Oprava významných a nevýznamných chýb minulých účtovných období vykonaných v bežnom účtovnom období:</w:t>
            </w:r>
          </w:p>
        </w:tc>
      </w:tr>
      <w:tr w:rsidR="000E7FD9" w:rsidRPr="000E7FD9" w:rsidTr="000E7FD9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15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opravy</w:t>
            </w:r>
          </w:p>
        </w:tc>
        <w:tc>
          <w:tcPr>
            <w:tcW w:w="19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Suma</w:t>
            </w:r>
          </w:p>
        </w:tc>
        <w:tc>
          <w:tcPr>
            <w:tcW w:w="4197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Popis chyby a vplyvu opravy</w:t>
            </w:r>
          </w:p>
        </w:tc>
      </w:tr>
      <w:tr w:rsidR="000E7FD9" w:rsidRPr="000E7FD9" w:rsidTr="000E7FD9">
        <w:trPr>
          <w:trHeight w:val="615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Oprava </w:t>
            </w: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významných</w:t>
            </w: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chýb minulých účtovných období</w:t>
            </w:r>
          </w:p>
        </w:tc>
        <w:tc>
          <w:tcPr>
            <w:tcW w:w="195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200" w:firstLine="442"/>
              <w:jc w:val="right"/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  <w:t> </w:t>
            </w:r>
          </w:p>
        </w:tc>
        <w:tc>
          <w:tcPr>
            <w:tcW w:w="419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E7FD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účtovná jednotka nevykonala</w:t>
            </w:r>
          </w:p>
        </w:tc>
      </w:tr>
      <w:tr w:rsidR="000E7FD9" w:rsidRPr="000E7FD9" w:rsidTr="000E7FD9">
        <w:trPr>
          <w:trHeight w:val="600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Oprava </w:t>
            </w: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nevýznamných</w:t>
            </w: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chýb minulých účtovných období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E7FD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9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E7FD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účtovná jednotka nevykonala</w:t>
            </w:r>
          </w:p>
        </w:tc>
      </w:tr>
      <w:tr w:rsidR="000E7FD9" w:rsidRPr="000E7FD9" w:rsidTr="000E7FD9">
        <w:trPr>
          <w:trHeight w:val="3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15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Čl. III</w:t>
            </w:r>
          </w:p>
        </w:tc>
      </w:tr>
      <w:tr w:rsidR="000E7FD9" w:rsidRPr="000E7FD9" w:rsidTr="000E7FD9">
        <w:trPr>
          <w:trHeight w:val="300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Informácie, ktoré vysvetľujú a dopĺňajú súvahu a výkaz ziskov a strát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3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sume a dôvodoch vzniku jednotlivých položiek nákladov alebo výnosov, ktoré majú výnimočný rozsah alebo výskyt: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Účtovná jednotka nemá položky nákladov a výnosov, ktoré majú výnimočný rozsah alebo 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výskyt.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Pr="000E7FD9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2.a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záväzkoch:</w:t>
            </w:r>
          </w:p>
        </w:tc>
      </w:tr>
      <w:tr w:rsidR="000E7FD9" w:rsidRPr="000E7FD9" w:rsidTr="000E7FD9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80692B">
        <w:trPr>
          <w:trHeight w:val="831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E7FD9" w:rsidRPr="000E7FD9" w:rsidTr="000E7FD9">
        <w:trPr>
          <w:trHeight w:val="315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  <w:t> 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600"/>
        </w:trPr>
        <w:tc>
          <w:tcPr>
            <w:tcW w:w="345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32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600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9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315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6CE" w:rsidRPr="000E7FD9" w:rsidRDefault="009D3E3E" w:rsidP="009D3E3E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  <w:t>963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FD9" w:rsidRPr="000E7FD9" w:rsidRDefault="009D3E3E" w:rsidP="009D3E3E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  <w:t>361</w:t>
            </w:r>
          </w:p>
        </w:tc>
      </w:tr>
      <w:tr w:rsidR="000E7FD9" w:rsidRPr="000E7FD9" w:rsidTr="000E7FD9">
        <w:trPr>
          <w:trHeight w:val="885"/>
        </w:trPr>
        <w:tc>
          <w:tcPr>
            <w:tcW w:w="345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9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9D3E3E" w:rsidP="009D3E3E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963</w:t>
            </w:r>
          </w:p>
        </w:tc>
        <w:tc>
          <w:tcPr>
            <w:tcW w:w="32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0692B" w:rsidRPr="000E7FD9" w:rsidRDefault="009D3E3E" w:rsidP="009D3E3E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361</w:t>
            </w:r>
          </w:p>
        </w:tc>
      </w:tr>
      <w:tr w:rsidR="000E7FD9" w:rsidRPr="000E7FD9" w:rsidTr="000E7FD9">
        <w:trPr>
          <w:trHeight w:val="420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9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4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4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2.b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záväzkov zabezpečená záložným právom: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Účtovná jednotka nemá záväzky zabezpečené záložným právom.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vlastných akciách: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Účtovná jednotka nemá vlastné akcie.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4.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Informácie o orgánoch účtovnej jednotky: 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Orgány účtovnej jednotky nemali poskytnuté záruky alebo zabezpečenia, poskytnuté pôžičky,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splatené pôžičky, </w:t>
            </w:r>
            <w:proofErr w:type="spellStart"/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odpustné</w:t>
            </w:r>
            <w:proofErr w:type="spellEnd"/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alebo odpísané pôžičky, ani finančné prostriedky a iné plnenie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8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použité na súkromné účely na vyúčtovanie.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4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4.d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Hlavné podmienky, na základe ktorých boli záruky alebo iné zabezpečenia poskytnuté (pri pôžičkách sa uvádzajú úrokové sadzby):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 nemala záruky ani iné zabezpečenia.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</w:tr>
      <w:tr w:rsidR="000E7FD9" w:rsidRPr="000E7FD9" w:rsidTr="000E7FD9">
        <w:trPr>
          <w:trHeight w:val="6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5.a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 Informácie o celkovej sume finančných povinností, ktoré sa nevykazujú v súvahe:</w:t>
            </w:r>
          </w:p>
        </w:tc>
      </w:tr>
      <w:tr w:rsidR="000E7FD9" w:rsidRPr="000E7FD9" w:rsidTr="000E7FD9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 nemala žiadne finančné povinnosti, ktoré sa vykazujú v súvahe (povinnosti</w:t>
            </w:r>
          </w:p>
        </w:tc>
      </w:tr>
      <w:tr w:rsidR="000E7FD9" w:rsidRPr="000E7FD9" w:rsidTr="000E7FD9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8B1B95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nájomcu z operatívneho prenájmu, povinnosti z uzatvorených úverových zml</w:t>
            </w:r>
            <w:r w:rsidR="008B1B95">
              <w:rPr>
                <w:rFonts w:ascii="Arial" w:eastAsia="Times New Roman" w:hAnsi="Arial" w:cs="Arial"/>
                <w:lang w:eastAsia="sk-SK"/>
              </w:rPr>
              <w:t>ú</w:t>
            </w:r>
            <w:r w:rsidRPr="000E7FD9">
              <w:rPr>
                <w:rFonts w:ascii="Arial" w:eastAsia="Times New Roman" w:hAnsi="Arial" w:cs="Arial"/>
                <w:lang w:eastAsia="sk-SK"/>
              </w:rPr>
              <w:t>v, povinnosti</w:t>
            </w:r>
          </w:p>
        </w:tc>
      </w:tr>
      <w:tr w:rsidR="000E7FD9" w:rsidRPr="000E7FD9" w:rsidTr="000E7FD9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z licenčných zmlúv, povinnosti z koncesionárskych zmlúv).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5.b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Informácie o významných podmienených záväzkoch: 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 nemá žiadne významné podmienené záväzky (zo súdnych rozhodnutí,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z poskytnutých záruk, zo všeobecných záväzných právnych predpisov, zo zmluvy o záväzku,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z ručenia).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5.e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Opis významných povinností účtovnej jednotky vyplývajúcich z dôchodkových programov pre zamestnancov: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8B1B95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</w:t>
            </w:r>
            <w:r w:rsidR="008B1B95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0E7FD9">
              <w:rPr>
                <w:rFonts w:ascii="Arial" w:eastAsia="Times New Roman" w:hAnsi="Arial" w:cs="Arial"/>
                <w:lang w:eastAsia="sk-SK"/>
              </w:rPr>
              <w:t xml:space="preserve">má </w:t>
            </w:r>
            <w:r w:rsidR="008B1B95">
              <w:rPr>
                <w:rFonts w:ascii="Arial" w:eastAsia="Times New Roman" w:hAnsi="Arial" w:cs="Arial"/>
                <w:lang w:eastAsia="sk-SK"/>
              </w:rPr>
              <w:t xml:space="preserve">1 </w:t>
            </w:r>
            <w:r w:rsidRPr="000E7FD9">
              <w:rPr>
                <w:rFonts w:ascii="Arial" w:eastAsia="Times New Roman" w:hAnsi="Arial" w:cs="Arial"/>
                <w:lang w:eastAsia="sk-SK"/>
              </w:rPr>
              <w:t>zamestnanc</w:t>
            </w:r>
            <w:r w:rsidR="008B1B95">
              <w:rPr>
                <w:rFonts w:ascii="Arial" w:eastAsia="Times New Roman" w:hAnsi="Arial" w:cs="Arial"/>
                <w:lang w:eastAsia="sk-SK"/>
              </w:rPr>
              <w:t>a.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</w:tr>
      <w:tr w:rsidR="000E7FD9" w:rsidRPr="000E7FD9" w:rsidTr="000E7FD9">
        <w:trPr>
          <w:trHeight w:val="9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6.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udelení výlučného práva alebo osobitného práva, ktorým sa udelilo právo poskytovať služby vo verejnom záujme (uvádza sa aj náhrada za túto činnosť v akejkoľvek forme):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 nemala udelené výlučné právo alebo osobitné právo poskytovať služby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vo verejnom záujme.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</w:tr>
    </w:tbl>
    <w:p w:rsidR="00F44770" w:rsidRDefault="00F44770"/>
    <w:sectPr w:rsidR="00F44770" w:rsidSect="00F44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E7FD9"/>
    <w:rsid w:val="000E7FD9"/>
    <w:rsid w:val="001E163E"/>
    <w:rsid w:val="00492A77"/>
    <w:rsid w:val="005722D6"/>
    <w:rsid w:val="005C3D4E"/>
    <w:rsid w:val="00690500"/>
    <w:rsid w:val="006975A8"/>
    <w:rsid w:val="007B66CE"/>
    <w:rsid w:val="0080692B"/>
    <w:rsid w:val="00811B19"/>
    <w:rsid w:val="008B1B95"/>
    <w:rsid w:val="008C56E2"/>
    <w:rsid w:val="009D3E3E"/>
    <w:rsid w:val="00A30A0D"/>
    <w:rsid w:val="00AF6502"/>
    <w:rsid w:val="00B02E61"/>
    <w:rsid w:val="00C54C05"/>
    <w:rsid w:val="00CF0797"/>
    <w:rsid w:val="00DF1B7D"/>
    <w:rsid w:val="00E91F7C"/>
    <w:rsid w:val="00F44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477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02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2E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0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cp:lastPrinted>2026-03-22T21:28:00Z</cp:lastPrinted>
  <dcterms:created xsi:type="dcterms:W3CDTF">2026-03-22T21:29:00Z</dcterms:created>
  <dcterms:modified xsi:type="dcterms:W3CDTF">2026-03-23T21:39:00Z</dcterms:modified>
</cp:coreProperties>
</file>