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6C8326" w14:textId="5652E4F6" w:rsidR="006A7323" w:rsidRDefault="00337AD3">
      <w:pPr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3-01 </w:t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 xml:space="preserve">IČO: 52448231 </w:t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>DIČ: 2121022255</w:t>
      </w:r>
    </w:p>
    <w:p w14:paraId="45269638" w14:textId="745DCEE9" w:rsidR="00337AD3" w:rsidRDefault="00337AD3"/>
    <w:p w14:paraId="01F460C6" w14:textId="682B4FAC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</w:rPr>
        <w:t>Článok I – Všeobecné informácie</w:t>
      </w:r>
    </w:p>
    <w:p w14:paraId="609C5CFD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p w14:paraId="1731354B" w14:textId="6956F3F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Účtovné obdobie: 01.01.202</w:t>
      </w:r>
      <w:r>
        <w:rPr>
          <w:rFonts w:ascii="ArialMT" w:hAnsi="ArialMT" w:cs="ArialMT"/>
        </w:rPr>
        <w:t>5</w:t>
      </w:r>
      <w:r>
        <w:rPr>
          <w:rFonts w:ascii="ArialMT" w:hAnsi="ArialMT" w:cs="ArialMT"/>
        </w:rPr>
        <w:t xml:space="preserve"> – 31.12.202</w:t>
      </w:r>
      <w:r>
        <w:rPr>
          <w:rFonts w:ascii="ArialMT" w:hAnsi="ArialMT" w:cs="ArialMT"/>
        </w:rPr>
        <w:t>5</w:t>
      </w:r>
    </w:p>
    <w:p w14:paraId="0639591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55D63BEA" w14:textId="17E7A45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Firma: Hurá</w:t>
      </w:r>
      <w:r>
        <w:rPr>
          <w:rFonts w:ascii="ArialMT" w:hAnsi="ArialMT" w:cs="ArialMT"/>
        </w:rPr>
        <w:t xml:space="preserve"> </w:t>
      </w:r>
      <w:proofErr w:type="spellStart"/>
      <w:r>
        <w:rPr>
          <w:rFonts w:ascii="ArialMT" w:hAnsi="ArialMT" w:cs="ArialMT"/>
        </w:rPr>
        <w:t>Fac</w:t>
      </w:r>
      <w:r>
        <w:rPr>
          <w:rFonts w:ascii="ArialMT" w:hAnsi="ArialMT" w:cs="ArialMT"/>
        </w:rPr>
        <w:t>t</w:t>
      </w:r>
      <w:r>
        <w:rPr>
          <w:rFonts w:ascii="ArialMT" w:hAnsi="ArialMT" w:cs="ArialMT"/>
        </w:rPr>
        <w:t>ory</w:t>
      </w:r>
      <w:proofErr w:type="spellEnd"/>
      <w:r>
        <w:rPr>
          <w:rFonts w:ascii="ArialMT" w:hAnsi="ArialMT" w:cs="ArialMT"/>
        </w:rPr>
        <w:t xml:space="preserve"> </w:t>
      </w:r>
      <w:proofErr w:type="spellStart"/>
      <w:r>
        <w:rPr>
          <w:rFonts w:ascii="ArialMT" w:hAnsi="ArialMT" w:cs="ArialMT"/>
        </w:rPr>
        <w:t>s.r.o</w:t>
      </w:r>
      <w:proofErr w:type="spellEnd"/>
      <w:r>
        <w:rPr>
          <w:rFonts w:ascii="ArialMT" w:hAnsi="ArialMT" w:cs="ArialMT"/>
        </w:rPr>
        <w:t>.</w:t>
      </w:r>
    </w:p>
    <w:p w14:paraId="1B0F54CB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16C55D4C" w14:textId="2C97EA0E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Adresa: Šoltésovej 731/50, 965 01 Žiar nad Hronom</w:t>
      </w:r>
    </w:p>
    <w:p w14:paraId="5AFAF61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2C98E58E" w14:textId="68C0F7B3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 xml:space="preserve">Zápis v OR: OR OS Banská Bystrica, oddiel </w:t>
      </w:r>
      <w:proofErr w:type="spellStart"/>
      <w:r>
        <w:rPr>
          <w:rFonts w:ascii="ArialMT" w:hAnsi="ArialMT" w:cs="ArialMT"/>
        </w:rPr>
        <w:t>sro</w:t>
      </w:r>
      <w:proofErr w:type="spellEnd"/>
      <w:r>
        <w:rPr>
          <w:rFonts w:ascii="ArialMT" w:hAnsi="ArialMT" w:cs="ArialMT"/>
        </w:rPr>
        <w:t>, Vložka číslo: 36700/S</w:t>
      </w:r>
    </w:p>
    <w:p w14:paraId="4DEB723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0AB543A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-BoldMT" w:hAnsi="Arial-BoldMT" w:cs="Arial-BoldMT"/>
          <w:b/>
          <w:bCs/>
        </w:rPr>
        <w:t>Predmet činnosti</w:t>
      </w:r>
      <w:r>
        <w:rPr>
          <w:rFonts w:ascii="ArialMT" w:hAnsi="ArialMT" w:cs="ArialMT"/>
        </w:rPr>
        <w:t>:</w:t>
      </w:r>
    </w:p>
    <w:p w14:paraId="15EF1518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47CAEE2A" w14:textId="5C892F79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Výroba hračiek a hier</w:t>
      </w:r>
    </w:p>
    <w:p w14:paraId="4F1FAAD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Sprostredkovateľská činnosť v oblasti obchodu, služieb,</w:t>
      </w:r>
    </w:p>
    <w:p w14:paraId="0CE9901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výroby</w:t>
      </w:r>
    </w:p>
    <w:p w14:paraId="774871C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Kúpa tovaru na účely jeho predaja konečnému spotrebiteľovi</w:t>
      </w:r>
    </w:p>
    <w:p w14:paraId="3140DEF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(maloobchod) alebo iným prevádzkovateľom živnosti</w:t>
      </w:r>
    </w:p>
    <w:p w14:paraId="20B597B3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(veľkoobchod)</w:t>
      </w:r>
    </w:p>
    <w:p w14:paraId="718960D3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Nákladná cestná doprava vykonávaná vozidlami s celkovou</w:t>
      </w:r>
    </w:p>
    <w:p w14:paraId="3E5484B3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hmotnosťou do 3,5 t vrátane prípojného vozidla</w:t>
      </w:r>
    </w:p>
    <w:p w14:paraId="4B739F38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Sťahovacie služby</w:t>
      </w:r>
    </w:p>
    <w:p w14:paraId="2DAFF92B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Skladovanie a pomocné činnosti v doprave - Baliace činnosti,</w:t>
      </w:r>
    </w:p>
    <w:p w14:paraId="52F6A79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manipulácia s tovarom</w:t>
      </w:r>
    </w:p>
    <w:p w14:paraId="5B87EB79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Kuriérske služby</w:t>
      </w:r>
    </w:p>
    <w:p w14:paraId="086173D3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Počítačové služby a služby súvisiace s počítačovým</w:t>
      </w:r>
    </w:p>
    <w:p w14:paraId="1DA52A97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spracovaním údajov</w:t>
      </w:r>
    </w:p>
    <w:p w14:paraId="645F9A86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Správa a údržba bytového a nebytového fondu v rozsahu</w:t>
      </w:r>
    </w:p>
    <w:p w14:paraId="42B8054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voľných živností</w:t>
      </w:r>
    </w:p>
    <w:p w14:paraId="28B0807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Reklamné a marketingové služby, prieskum trhu a verejnej</w:t>
      </w:r>
    </w:p>
    <w:p w14:paraId="163E1E9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mienky</w:t>
      </w:r>
    </w:p>
    <w:p w14:paraId="682959C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Vykonávanie mimoškolskej vzdelávacej činnosti</w:t>
      </w:r>
    </w:p>
    <w:p w14:paraId="41C285DD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</w:p>
    <w:p w14:paraId="15653076" w14:textId="2694D24D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-BoldMT" w:hAnsi="Arial-BoldMT" w:cs="Arial-BoldMT"/>
          <w:b/>
          <w:bCs/>
        </w:rPr>
        <w:t>Dátum schválenia účtovnej uzávierky za predchádzajúce účtovné obdobie</w:t>
      </w:r>
      <w:r>
        <w:rPr>
          <w:rFonts w:ascii="ArialMT" w:hAnsi="ArialMT" w:cs="ArialMT"/>
        </w:rPr>
        <w:t xml:space="preserve">: </w:t>
      </w:r>
      <w:r>
        <w:rPr>
          <w:rFonts w:ascii="ArialMT" w:hAnsi="ArialMT" w:cs="ArialMT"/>
        </w:rPr>
        <w:t>14.3.2025</w:t>
      </w:r>
    </w:p>
    <w:p w14:paraId="43BA223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</w:p>
    <w:p w14:paraId="6600CF32" w14:textId="5E96369E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-BoldMT" w:hAnsi="Arial-BoldMT" w:cs="Arial-BoldMT"/>
          <w:b/>
          <w:bCs/>
        </w:rPr>
        <w:t>Právny dôvod na zostavenie účtovnej uzávierky</w:t>
      </w:r>
      <w:r>
        <w:rPr>
          <w:rFonts w:ascii="ArialMT" w:hAnsi="ArialMT" w:cs="ArialMT"/>
        </w:rPr>
        <w:t>:</w:t>
      </w:r>
    </w:p>
    <w:p w14:paraId="48199112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 xml:space="preserve">Uzávierka je zostavená v zmysle §17 </w:t>
      </w:r>
      <w:proofErr w:type="spellStart"/>
      <w:r>
        <w:rPr>
          <w:rFonts w:ascii="ArialMT" w:hAnsi="ArialMT" w:cs="ArialMT"/>
        </w:rPr>
        <w:t>odst</w:t>
      </w:r>
      <w:proofErr w:type="spellEnd"/>
      <w:r>
        <w:rPr>
          <w:rFonts w:ascii="ArialMT" w:hAnsi="ArialMT" w:cs="ArialMT"/>
        </w:rPr>
        <w:t xml:space="preserve">. 6 Zákona č. 431/2002 </w:t>
      </w:r>
      <w:proofErr w:type="spellStart"/>
      <w:r>
        <w:rPr>
          <w:rFonts w:ascii="ArialMT" w:hAnsi="ArialMT" w:cs="ArialMT"/>
        </w:rPr>
        <w:t>Zb</w:t>
      </w:r>
      <w:proofErr w:type="spellEnd"/>
      <w:r>
        <w:rPr>
          <w:rFonts w:ascii="ArialMT" w:hAnsi="ArialMT" w:cs="ArialMT"/>
        </w:rPr>
        <w:t xml:space="preserve"> o účtovníctve, v znení</w:t>
      </w:r>
    </w:p>
    <w:p w14:paraId="17DF4C9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neskorších predpisov ako riadna účtovná uzávierka k poslednému dňu účtovného obdobia</w:t>
      </w:r>
    </w:p>
    <w:p w14:paraId="6C88EECD" w14:textId="0901810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za predpokladu nepretržitého pokračovania v</w:t>
      </w:r>
      <w:r>
        <w:rPr>
          <w:rFonts w:ascii="ArialMT" w:hAnsi="ArialMT" w:cs="ArialMT"/>
        </w:rPr>
        <w:t> </w:t>
      </w:r>
      <w:r>
        <w:rPr>
          <w:rFonts w:ascii="ArialMT" w:hAnsi="ArialMT" w:cs="ArialMT"/>
        </w:rPr>
        <w:t>činnosti</w:t>
      </w:r>
    </w:p>
    <w:p w14:paraId="66F954A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5C3E1B0B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-BoldMT" w:hAnsi="Arial-BoldMT" w:cs="Arial-BoldMT"/>
          <w:b/>
          <w:bCs/>
        </w:rPr>
        <w:t>Údaje o konsolidovanom celku</w:t>
      </w:r>
      <w:r>
        <w:rPr>
          <w:rFonts w:ascii="ArialMT" w:hAnsi="ArialMT" w:cs="ArialMT"/>
        </w:rPr>
        <w:t>: spoločnosť nie je súčasťou žiadneho konsolidovaného</w:t>
      </w:r>
    </w:p>
    <w:p w14:paraId="55A0567A" w14:textId="4121E28A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C</w:t>
      </w:r>
      <w:r>
        <w:rPr>
          <w:rFonts w:ascii="ArialMT" w:hAnsi="ArialMT" w:cs="ArialMT"/>
        </w:rPr>
        <w:t>elku</w:t>
      </w:r>
    </w:p>
    <w:p w14:paraId="56E6338D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3226C3A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-BoldMT" w:hAnsi="Arial-BoldMT" w:cs="Arial-BoldMT"/>
          <w:b/>
          <w:bCs/>
        </w:rPr>
        <w:t>Priemerný počet zamestnancov</w:t>
      </w:r>
      <w:r>
        <w:rPr>
          <w:rFonts w:ascii="ArialMT" w:hAnsi="ArialMT" w:cs="ArialMT"/>
        </w:rPr>
        <w:t>: 0</w:t>
      </w:r>
    </w:p>
    <w:p w14:paraId="35D5FF8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52FCFCDB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343EDBAD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B42974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6EB20B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7A7D204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C8A33B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369C5464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5A9EA1BE" w14:textId="67C43810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3-01 </w:t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 xml:space="preserve">IČO: 52448231 </w:t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ab/>
      </w:r>
      <w:r>
        <w:rPr>
          <w:rFonts w:ascii="ArialMT" w:hAnsi="ArialMT" w:cs="ArialMT"/>
        </w:rPr>
        <w:t>DIČ: 2121022255</w:t>
      </w:r>
    </w:p>
    <w:p w14:paraId="5251E94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p w14:paraId="3CD319A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p w14:paraId="3EDDBBD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p w14:paraId="12AFEA78" w14:textId="44E5CC5C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  <w:bookmarkStart w:id="0" w:name="_GoBack"/>
      <w:bookmarkEnd w:id="0"/>
      <w:r>
        <w:rPr>
          <w:rFonts w:ascii="Arial-BoldMT" w:hAnsi="Arial-BoldMT" w:cs="Arial-BoldMT"/>
          <w:b/>
          <w:bCs/>
          <w:sz w:val="24"/>
          <w:szCs w:val="24"/>
        </w:rPr>
        <w:t>Článok II – Informácie o prijatých postupoch</w:t>
      </w:r>
    </w:p>
    <w:p w14:paraId="7E8C614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1C2AC0E" w14:textId="098CEDD3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predpokladu nepretržitého pokračovania účtovnej</w:t>
      </w:r>
    </w:p>
    <w:p w14:paraId="244F39E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jednotky v činnosti.</w:t>
      </w:r>
    </w:p>
    <w:p w14:paraId="01C2D73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0E6C2757" w14:textId="6A7E1399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2. Spôsob oceňovania jednotlivých položiek majetku a záväzkov:</w:t>
      </w:r>
    </w:p>
    <w:p w14:paraId="06AA4033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662DDA5E" w14:textId="2AC5F08E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a. Dlhodobý nehmotný majetok sa oceňuje obstarávacou cenou a v účtovnej</w:t>
      </w:r>
    </w:p>
    <w:p w14:paraId="081F36F9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závierke je vykázaný v obstarávacej cene zníženej o oprávky. Účtovná jednotka</w:t>
      </w:r>
    </w:p>
    <w:p w14:paraId="308C945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dlhodobý nehmotný majetok nevlastní.</w:t>
      </w:r>
    </w:p>
    <w:p w14:paraId="1C24D6E8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b. Dlhodobý hmotný majetok sa oceňuje obstarávacou cenou, ktorá zahŕňa aj</w:t>
      </w:r>
    </w:p>
    <w:p w14:paraId="4C55465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náklady na obstaranie a v účtovnej závierke je vykázaný v obstarávacej cene</w:t>
      </w:r>
    </w:p>
    <w:p w14:paraId="7E776890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zníženej o oprávky. Účtovná jednotka dlhodobý hmotný majetok nevlastní.</w:t>
      </w:r>
    </w:p>
    <w:p w14:paraId="45F36608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c. Zásoby obstarané kúpou sa oceňujú obstarávacou cenou. Účtovná jednotka</w:t>
      </w:r>
    </w:p>
    <w:p w14:paraId="259E155A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zásoby nevlastní.</w:t>
      </w:r>
    </w:p>
    <w:p w14:paraId="3CA5EC5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d. Pohľadávky sa oceňujú menovitou hodnotou. Účtovná jednotka pohľadávky</w:t>
      </w:r>
    </w:p>
    <w:p w14:paraId="4469C7B6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nemá.</w:t>
      </w:r>
    </w:p>
    <w:p w14:paraId="212E49E7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291F6ABC" w14:textId="4C6D890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3. Zmeny účtovných zásad a účtovných metód: Účtovná jednotka neuskutočnila zmeny</w:t>
      </w:r>
    </w:p>
    <w:p w14:paraId="354E6B1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účtovných zásad a účtovných metód.</w:t>
      </w:r>
    </w:p>
    <w:p w14:paraId="3446531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1C6E2A91" w14:textId="07D5E888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4. Účtovná jednotka nie je príjemcom dotácií.</w:t>
      </w:r>
    </w:p>
    <w:p w14:paraId="1C3C24A5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4963C9C7" w14:textId="08ED8CB8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neúčtovala o oprave chýb minulých účtovných období.</w:t>
      </w:r>
    </w:p>
    <w:p w14:paraId="7616DBDD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1440AD9D" w14:textId="4A56917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6. Spôsob zostavenia odpisového plánu pre jednotlivé druhy dlhodobého nehmotného</w:t>
      </w:r>
    </w:p>
    <w:p w14:paraId="10511D1B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a dlhodobého hmotného majetku:</w:t>
      </w:r>
    </w:p>
    <w:p w14:paraId="4FF56628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12D649B6" w14:textId="65FDAD7C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Účtovná jednotka nevlastní dlhodobý majetok.</w:t>
      </w:r>
    </w:p>
    <w:p w14:paraId="4BF8B0E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</w:p>
    <w:p w14:paraId="41D687BC" w14:textId="145CECE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</w:rPr>
        <w:t>Článok III – Informácie, ktoré dopĺňajú súvahu a výkaz ziskov a strát</w:t>
      </w:r>
    </w:p>
    <w:p w14:paraId="43343519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</w:p>
    <w:p w14:paraId="5E220F1C" w14:textId="1EA88CF4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1. Účtovnej jednotke nevznikli náklady a výnosy s výnimočným rozsahom.</w:t>
      </w:r>
    </w:p>
    <w:p w14:paraId="5BAAA0E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2. Informácie o záväzkoch: Účtovná jednotka nemá záväzky so zostatkovou splatnosťou</w:t>
      </w:r>
    </w:p>
    <w:p w14:paraId="3BEAAD4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dlhšou ako päť rokov.</w:t>
      </w:r>
    </w:p>
    <w:p w14:paraId="350773CF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formu akciovej spoločnosti. Vlastné akcie nenadobudla.</w:t>
      </w:r>
    </w:p>
    <w:p w14:paraId="79F2AA4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4. Účtovná jednotka netvorila kapitálový fond z príspevkov.</w:t>
      </w:r>
    </w:p>
    <w:p w14:paraId="6D7C77EE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5. Informácie o orgánoch účtovnej jednotky:</w:t>
      </w:r>
    </w:p>
    <w:p w14:paraId="5B11E091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a. Účtovná jednotka neeviduje pôžičky poskytnuté členom štatutárneho orgánu</w:t>
      </w:r>
    </w:p>
    <w:p w14:paraId="57E1054C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b. Záruky, iné zabezpečenia a pôžičky neboli poskytnuté.</w:t>
      </w:r>
    </w:p>
    <w:p w14:paraId="6E9520A7" w14:textId="77777777" w:rsidR="00337AD3" w:rsidRDefault="00337AD3" w:rsidP="00337AD3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</w:rPr>
      </w:pPr>
      <w:r>
        <w:rPr>
          <w:rFonts w:ascii="ArialMT" w:hAnsi="ArialMT" w:cs="ArialMT"/>
        </w:rPr>
        <w:t>c. Účtovná jednotka nepoužila finančné prostriedky alebo iné plnenia na súkromné</w:t>
      </w:r>
    </w:p>
    <w:p w14:paraId="4DD7C86A" w14:textId="6A12A405" w:rsidR="00337AD3" w:rsidRDefault="00337AD3" w:rsidP="00337AD3">
      <w:pPr>
        <w:spacing w:after="0"/>
      </w:pPr>
      <w:r>
        <w:rPr>
          <w:rFonts w:ascii="ArialMT" w:hAnsi="ArialMT" w:cs="ArialMT"/>
        </w:rPr>
        <w:t>účely členom štatutárneho orgánu.</w:t>
      </w:r>
    </w:p>
    <w:sectPr w:rsidR="00337A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BD2"/>
    <w:rsid w:val="00337AD3"/>
    <w:rsid w:val="006A7323"/>
    <w:rsid w:val="00EF1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38CA1"/>
  <w15:chartTrackingRefBased/>
  <w15:docId w15:val="{38C64C28-61EC-4E2C-A4BB-5075A92CC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96F0E03FFDFE9488621BBED8A7575BE" ma:contentTypeVersion="10" ma:contentTypeDescription="Umožňuje vytvoriť nový dokument." ma:contentTypeScope="" ma:versionID="b62ef678a72e1843998cda8cc1b9ec57">
  <xsd:schema xmlns:xsd="http://www.w3.org/2001/XMLSchema" xmlns:xs="http://www.w3.org/2001/XMLSchema" xmlns:p="http://schemas.microsoft.com/office/2006/metadata/properties" xmlns:ns3="09585dbe-3662-49d8-8b09-5f4ce91d69f3" targetNamespace="http://schemas.microsoft.com/office/2006/metadata/properties" ma:root="true" ma:fieldsID="24ed9209150780eeab16ec4a40127c9e" ns3:_="">
    <xsd:import namespace="09585dbe-3662-49d8-8b09-5f4ce91d69f3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585dbe-3662-49d8-8b09-5f4ce91d69f3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9585dbe-3662-49d8-8b09-5f4ce91d69f3" xsi:nil="true"/>
  </documentManagement>
</p:properties>
</file>

<file path=customXml/itemProps1.xml><?xml version="1.0" encoding="utf-8"?>
<ds:datastoreItem xmlns:ds="http://schemas.openxmlformats.org/officeDocument/2006/customXml" ds:itemID="{75168F77-C788-43B0-86EC-0B93CC7216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585dbe-3662-49d8-8b09-5f4ce91d6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7EE2D0-CBCE-484E-84A1-C65958046D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B5DE16-B2B6-455D-BB06-D23E2922AF1C}">
  <ds:schemaRefs>
    <ds:schemaRef ds:uri="http://schemas.microsoft.com/office/2006/metadata/properties"/>
    <ds:schemaRef ds:uri="09585dbe-3662-49d8-8b09-5f4ce91d69f3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507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Čaklošová</dc:creator>
  <cp:keywords/>
  <dc:description/>
  <cp:lastModifiedBy>Jana Čaklošová</cp:lastModifiedBy>
  <cp:revision>2</cp:revision>
  <dcterms:created xsi:type="dcterms:W3CDTF">2026-01-27T11:56:00Z</dcterms:created>
  <dcterms:modified xsi:type="dcterms:W3CDTF">2026-01-27T11:56:00Z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0x010100096F0E03FFDFE9488621BBED8A7575BE</vt:lpwstr>
  </property>
</Properties>
</file>