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15ED" w:rsidRPr="007D15ED" w:rsidRDefault="007D15ED" w:rsidP="007D15ED">
      <w:pPr>
        <w:spacing w:before="100" w:beforeAutospacing="1" w:after="100" w:afterAutospacing="1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sk-SK"/>
        </w:rPr>
        <w:t>POZNÁMKY K MIKRO ÚČTOVNEJ ZÁVIERKE</w:t>
      </w:r>
    </w:p>
    <w:p w:rsidR="007D15ED" w:rsidRPr="007D15ED" w:rsidRDefault="007D15ED" w:rsidP="007D15E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k 31.12.2025</w: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I. Všeobecné údaje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Obchodné meno: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Elšpec</w:t>
      </w:r>
      <w:proofErr w:type="spellEnd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H.L., </w:t>
      </w:r>
      <w:proofErr w:type="spellStart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7D15E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Sídlo: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Dvorská cesta 3244/14, 940 02 Nové Zámky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7D15E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IČO: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36 562 165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7D15E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Dátum vzniku: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20.07.2004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  <w:r w:rsidRPr="007D15E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Právna forma: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spoločnosť s ručením obmedzeným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nie je súčasťou konsolidovaného celku.</w:t>
      </w:r>
    </w:p>
    <w:p w:rsidR="007D15ED" w:rsidRPr="007D15ED" w:rsidRDefault="007D15ED" w:rsidP="007D15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5" style="width:0;height:1.5pt" o:hralign="center" o:hrstd="t" o:hr="t" fillcolor="#a0a0a0" stroked="f"/>
        </w:pic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II. Predmet činnosti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Hlavnými činnosťami spoločnosti sú najmä:</w:t>
      </w:r>
    </w:p>
    <w:p w:rsidR="007D15ED" w:rsidRPr="007D15ED" w:rsidRDefault="007D15ED" w:rsidP="007D15E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výchova a vzdelávanie v oblasti ochrany práce, </w:t>
      </w:r>
    </w:p>
    <w:p w:rsidR="007D15ED" w:rsidRPr="007D15ED" w:rsidRDefault="007D15ED" w:rsidP="007D15E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bezpečnostnotechnické služby, </w:t>
      </w:r>
    </w:p>
    <w:p w:rsidR="007D15ED" w:rsidRPr="007D15ED" w:rsidRDefault="007D15ED" w:rsidP="007D15E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organizovanie kurzov, školení a seminárov, </w:t>
      </w:r>
    </w:p>
    <w:p w:rsidR="007D15ED" w:rsidRPr="007D15ED" w:rsidRDefault="007D15ED" w:rsidP="007D15E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stavebné a remeselné práce (murárske, stolárske, klampiarske, vodoinštalačné), </w:t>
      </w:r>
    </w:p>
    <w:p w:rsidR="007D15ED" w:rsidRPr="007D15ED" w:rsidRDefault="007D15ED" w:rsidP="007D15E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 odborné prehliadky technických zariadení, </w:t>
      </w:r>
    </w:p>
    <w:p w:rsidR="007D15ED" w:rsidRPr="007D15ED" w:rsidRDefault="007D15ED" w:rsidP="007D15E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obchodná činnosť (maloobchod a veľkoobchod), </w:t>
      </w:r>
    </w:p>
    <w:p w:rsidR="007D15ED" w:rsidRPr="007D15ED" w:rsidRDefault="007D15ED" w:rsidP="007D15E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sprostredkovateľská činnosť, </w:t>
      </w:r>
    </w:p>
    <w:p w:rsidR="007D15ED" w:rsidRPr="007D15ED" w:rsidRDefault="007D15ED" w:rsidP="007D15E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vedenie účtovnej a mzdovej agendy, </w:t>
      </w:r>
    </w:p>
    <w:p w:rsidR="007D15ED" w:rsidRPr="007D15ED" w:rsidRDefault="007D15ED" w:rsidP="007D15ED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poradenská činnosť. </w:t>
      </w:r>
    </w:p>
    <w:p w:rsidR="007D15ED" w:rsidRPr="007D15ED" w:rsidRDefault="007D15ED" w:rsidP="007D15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6" style="width:0;height:1.5pt" o:hralign="center" o:hrstd="t" o:hr="t" fillcolor="#a0a0a0" stroked="f"/>
        </w:pic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III. Štatutárne orgány a spoločníci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Konatelia:</w:t>
      </w:r>
    </w:p>
    <w:p w:rsidR="007D15ED" w:rsidRPr="007D15ED" w:rsidRDefault="007D15ED" w:rsidP="007D15E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Ladislav </w:t>
      </w:r>
      <w:proofErr w:type="spellStart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</w:t>
      </w:r>
      <w:proofErr w:type="spellEnd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D15ED" w:rsidRPr="007D15ED" w:rsidRDefault="007D15ED" w:rsidP="007D15E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Henrieta Červenková </w:t>
      </w:r>
      <w:proofErr w:type="spellStart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Hruškárová</w:t>
      </w:r>
      <w:proofErr w:type="spellEnd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D15ED" w:rsidRPr="007D15ED" w:rsidRDefault="007D15ED" w:rsidP="007D15ED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Marián </w:t>
      </w:r>
      <w:proofErr w:type="spellStart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</w:t>
      </w:r>
      <w:proofErr w:type="spellEnd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Každý konateľ koná v mene spoločnosti samostatne.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Spoločníci a výška vkladov:</w:t>
      </w:r>
    </w:p>
    <w:p w:rsidR="007D15ED" w:rsidRPr="007D15ED" w:rsidRDefault="007D15ED" w:rsidP="007D15E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Ladislav </w:t>
      </w:r>
      <w:proofErr w:type="spellStart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</w:t>
      </w:r>
      <w:proofErr w:type="spellEnd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2 214 EUR (splatené) </w:t>
      </w:r>
    </w:p>
    <w:p w:rsidR="007D15ED" w:rsidRPr="007D15ED" w:rsidRDefault="007D15ED" w:rsidP="007D15E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Bc. Henrieta Červenková </w:t>
      </w:r>
      <w:proofErr w:type="spellStart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Hruškárová</w:t>
      </w:r>
      <w:proofErr w:type="spellEnd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2 214 EUR (splatené) </w:t>
      </w:r>
    </w:p>
    <w:p w:rsidR="007D15ED" w:rsidRPr="007D15ED" w:rsidRDefault="007D15ED" w:rsidP="007D15ED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Marián </w:t>
      </w:r>
      <w:proofErr w:type="spellStart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Hruškár</w:t>
      </w:r>
      <w:proofErr w:type="spellEnd"/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2 214 EUR (splatené) 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Základné imanie: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6 642 EUR (splatené v plnej výške)</w:t>
      </w:r>
    </w:p>
    <w:p w:rsidR="007D15ED" w:rsidRPr="007D15ED" w:rsidRDefault="007D15ED" w:rsidP="007D15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7" style="width:0;height:1.5pt" o:hralign="center" o:hrstd="t" o:hr="t" fillcolor="#a0a0a0" stroked="f"/>
        </w:pic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IV. Použité účtovné zásady a metódy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vedie účtovníctvo v sústave podvojného účtovníctva v súlade so zákonom o účtovníctve.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bola zostavená za predpokladu nepretržitého pokračovania činnosti.</w: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Dlhodobý majetok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Dlhodobý hmotný majetok je oceňovaný obstarávacou cenou a odpisovaný podľa odpisového plánu.</w:t>
      </w:r>
      <w:r w:rsidR="00727B4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Start w:id="0" w:name="_GoBack"/>
      <w:bookmarkEnd w:id="0"/>
    </w:p>
    <w:p w:rsidR="007D15ED" w:rsidRPr="007D15ED" w:rsidRDefault="007D15ED" w:rsidP="007D15E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Zásoby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Zásoby sú oceňované obstarávacou cenou.</w: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Pohľadávky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sú oceňované menovitou hodnotou. V prípade potreby sa tvoria opravné položky.</w: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27"/>
          <w:szCs w:val="27"/>
          <w:lang w:eastAsia="sk-SK"/>
        </w:rPr>
        <w:t>Záväzky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sú vykázané v menovitej hodnote.</w:t>
      </w:r>
    </w:p>
    <w:p w:rsidR="007D15ED" w:rsidRPr="007D15ED" w:rsidRDefault="007D15ED" w:rsidP="007D15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8" style="width:0;height:1.5pt" o:hralign="center" o:hrstd="t" o:hr="t" fillcolor="#a0a0a0" stroked="f"/>
        </w:pic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V. Informácie o nákladoch a výnosoch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dosahuje výnosy najmä z:</w:t>
      </w:r>
    </w:p>
    <w:p w:rsidR="007D15ED" w:rsidRPr="007D15ED" w:rsidRDefault="007D15ED" w:rsidP="007D15E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poskytovania školení a služieb v oblasti BOZP, </w:t>
      </w:r>
    </w:p>
    <w:p w:rsidR="007D15ED" w:rsidRPr="007D15ED" w:rsidRDefault="007D15ED" w:rsidP="007D15E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stavebných a montážnych prác, </w:t>
      </w:r>
    </w:p>
    <w:p w:rsidR="007D15ED" w:rsidRPr="007D15ED" w:rsidRDefault="007D15ED" w:rsidP="007D15ED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obchodnej činnosti. 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Náklady spoločnosti tvoria najmä:</w:t>
      </w:r>
    </w:p>
    <w:p w:rsidR="007D15ED" w:rsidRPr="007D15ED" w:rsidRDefault="007D15ED" w:rsidP="007D15E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materiálu, </w:t>
      </w:r>
    </w:p>
    <w:p w:rsidR="007D15ED" w:rsidRPr="007D15ED" w:rsidRDefault="007D15ED" w:rsidP="007D15E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služby, </w:t>
      </w:r>
    </w:p>
    <w:p w:rsidR="007D15ED" w:rsidRPr="007D15ED" w:rsidRDefault="007D15ED" w:rsidP="007D15E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osobné náklady, </w:t>
      </w:r>
    </w:p>
    <w:p w:rsidR="007D15ED" w:rsidRPr="007D15ED" w:rsidRDefault="007D15ED" w:rsidP="007D15ED">
      <w:pPr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odpisy majetku. </w:t>
      </w:r>
    </w:p>
    <w:p w:rsidR="007D15ED" w:rsidRPr="007D15ED" w:rsidRDefault="007D15ED" w:rsidP="007D15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29" style="width:0;height:1.5pt" o:hralign="center" o:hrstd="t" o:hr="t" fillcolor="#a0a0a0" stroked="f"/>
        </w:pic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lastRenderedPageBreak/>
        <w:t>VI. Informácie o zamestnancoch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Priemerný prepočítaný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počet zamestnancov v roku 2025:13 hlavný pracovný pomer, 1 Dohoda o pracovnej činnosti, 2 Dohody o vykonaní práce</w:t>
      </w:r>
    </w:p>
    <w:p w:rsidR="007D15ED" w:rsidRPr="007D15ED" w:rsidRDefault="007D15ED" w:rsidP="007D15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0" style="width:0;height:1.5pt" o:hralign="center" o:hrstd="t" o:hr="t" fillcolor="#a0a0a0" stroked="f"/>
        </w:pic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VII. Informácie o záväzkoch a pohľadávkach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eviduje krátkodobé a dlhodobé záväzky z obchodného styku a voči štátnym inštitúciám.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Pohľadávky vznikajú najmä z poskytovaných služieb a dodávok.</w:t>
      </w:r>
    </w:p>
    <w:p w:rsidR="007D15ED" w:rsidRPr="007D15ED" w:rsidRDefault="007D15ED" w:rsidP="007D15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1" style="width:0;height:1.5pt" o:hralign="center" o:hrstd="t" o:hr="t" fillcolor="#a0a0a0" stroked="f"/>
        </w:pic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VIII. Udalosti po dni, ku ktorému sa zostavuje účtovná závierka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Po 31.12.2025 nenastali žiadne významné udalosti, ktoré by mali vplyv na účtovnú závierku.</w:t>
      </w: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</w:r>
    </w:p>
    <w:p w:rsidR="007D15ED" w:rsidRPr="007D15ED" w:rsidRDefault="007D15ED" w:rsidP="007D15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2" style="width:0;height:1.5pt" o:hralign="center" o:hrstd="t" o:hr="t" fillcolor="#a0a0a0" stroked="f"/>
        </w:pic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IX. Ostatné informácie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Spoločnosť nemá povinnosť auditu.</w:t>
      </w:r>
    </w:p>
    <w:p w:rsidR="007D15ED" w:rsidRPr="007D15ED" w:rsidRDefault="007D15ED" w:rsidP="007D15E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pict>
          <v:rect id="_x0000_i1033" style="width:0;height:1.5pt" o:hralign="center" o:hrstd="t" o:hr="t" fillcolor="#a0a0a0" stroked="f"/>
        </w:pict>
      </w:r>
    </w:p>
    <w:p w:rsidR="007D15ED" w:rsidRPr="007D15ED" w:rsidRDefault="007D15ED" w:rsidP="007D15ED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</w:pPr>
      <w:r w:rsidRPr="007D15ED">
        <w:rPr>
          <w:rFonts w:ascii="Times New Roman" w:eastAsia="Times New Roman" w:hAnsi="Times New Roman" w:cs="Times New Roman"/>
          <w:b/>
          <w:bCs/>
          <w:sz w:val="36"/>
          <w:szCs w:val="36"/>
          <w:lang w:eastAsia="sk-SK"/>
        </w:rPr>
        <w:t>X. Schválenie účtovnej závierky</w:t>
      </w:r>
    </w:p>
    <w:p w:rsidR="007D15ED" w:rsidRPr="007D15ED" w:rsidRDefault="007D15ED" w:rsidP="007D15E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7D15ED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závierka za rok 2025 bude schválená valným zhromaždením v roku 2026.</w:t>
      </w:r>
    </w:p>
    <w:p w:rsidR="00246DA8" w:rsidRDefault="00246DA8"/>
    <w:sectPr w:rsidR="00246D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FF20AF"/>
    <w:multiLevelType w:val="multilevel"/>
    <w:tmpl w:val="27182B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E811F23"/>
    <w:multiLevelType w:val="multilevel"/>
    <w:tmpl w:val="887C9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514C75"/>
    <w:multiLevelType w:val="multilevel"/>
    <w:tmpl w:val="B50AE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1C42B44"/>
    <w:multiLevelType w:val="multilevel"/>
    <w:tmpl w:val="36BE8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CCA7548"/>
    <w:multiLevelType w:val="multilevel"/>
    <w:tmpl w:val="1FE05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6554"/>
    <w:rsid w:val="00246DA8"/>
    <w:rsid w:val="00466554"/>
    <w:rsid w:val="00727B4A"/>
    <w:rsid w:val="007D1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DE7D25"/>
  <w15:chartTrackingRefBased/>
  <w15:docId w15:val="{41EEAE1D-70F6-478F-AC59-4979DA0A0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7D15E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7D15E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link w:val="Nadpis3Char"/>
    <w:uiPriority w:val="9"/>
    <w:qFormat/>
    <w:rsid w:val="007D15ED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D15ED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7D15E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7D15ED"/>
    <w:rPr>
      <w:rFonts w:ascii="Times New Roman" w:eastAsia="Times New Roman" w:hAnsi="Times New Roman" w:cs="Times New Roman"/>
      <w:b/>
      <w:bCs/>
      <w:sz w:val="27"/>
      <w:szCs w:val="27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7D15E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7D15ED"/>
    <w:rPr>
      <w:b/>
      <w:bCs/>
    </w:rPr>
  </w:style>
  <w:style w:type="character" w:styleId="Zvraznenie">
    <w:name w:val="Emphasis"/>
    <w:basedOn w:val="Predvolenpsmoodseku"/>
    <w:uiPriority w:val="20"/>
    <w:qFormat/>
    <w:rsid w:val="007D15E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7753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392</Words>
  <Characters>2241</Characters>
  <Application>Microsoft Office Word</Application>
  <DocSecurity>0</DocSecurity>
  <Lines>18</Lines>
  <Paragraphs>5</Paragraphs>
  <ScaleCrop>false</ScaleCrop>
  <Company>HP Inc.</Company>
  <LinksUpToDate>false</LinksUpToDate>
  <CharactersWithSpaces>2628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Kulcsárová</dc:creator>
  <cp:keywords/>
  <dc:description/>
  <cp:lastModifiedBy>Andrea Kulcsárová</cp:lastModifiedBy>
  <cp:revision>3</cp:revision>
  <dcterms:created xsi:type="dcterms:W3CDTF">2026-03-27T10:22:00Z</dcterms:created>
  <dcterms:modified xsi:type="dcterms:W3CDTF">2026-03-27T10:26:00Z</dcterms:modified>
</cp:coreProperties>
</file>