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FAF7F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4AFC981E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57648FD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2444C2DC" w14:textId="77777777" w:rsidR="00D715E7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</w:p>
    <w:p w14:paraId="30D62086" w14:textId="345FDA4C" w:rsidR="00D715E7" w:rsidRPr="00D715E7" w:rsidRDefault="00D715E7" w:rsidP="00D715E7">
      <w:pPr>
        <w:pStyle w:val="Default"/>
        <w:jc w:val="both"/>
        <w:rPr>
          <w:rFonts w:ascii="Arial CE" w:hAnsi="Arial CE"/>
          <w:b/>
          <w:bCs/>
          <w:sz w:val="19"/>
          <w:szCs w:val="19"/>
        </w:rPr>
      </w:pPr>
      <w:r w:rsidRPr="00D715E7">
        <w:rPr>
          <w:rFonts w:ascii="Arial CE" w:hAnsi="Arial CE"/>
          <w:sz w:val="19"/>
          <w:szCs w:val="19"/>
        </w:rPr>
        <w:t xml:space="preserve">Obchodné meno účtovnej jednotky: </w:t>
      </w:r>
      <w:r w:rsidRPr="00D715E7">
        <w:rPr>
          <w:rFonts w:ascii="Arial CE" w:hAnsi="Arial CE"/>
          <w:b/>
          <w:bCs/>
          <w:sz w:val="19"/>
          <w:szCs w:val="19"/>
        </w:rPr>
        <w:t>CONTAL SLOVAKIA, s.r.o.</w:t>
      </w:r>
    </w:p>
    <w:p w14:paraId="3DC8961A" w14:textId="561DC521" w:rsidR="00D715E7" w:rsidRPr="00D715E7" w:rsidRDefault="00D715E7" w:rsidP="00D715E7">
      <w:pPr>
        <w:pStyle w:val="Default"/>
        <w:jc w:val="both"/>
        <w:rPr>
          <w:rFonts w:ascii="Arial CE" w:hAnsi="Arial CE"/>
          <w:b/>
          <w:bCs/>
          <w:sz w:val="19"/>
          <w:szCs w:val="19"/>
        </w:rPr>
      </w:pPr>
      <w:r w:rsidRPr="00D715E7">
        <w:rPr>
          <w:rFonts w:ascii="Arial CE" w:hAnsi="Arial CE"/>
          <w:sz w:val="19"/>
          <w:szCs w:val="19"/>
        </w:rPr>
        <w:t xml:space="preserve">Sídlo účtovnej jednotky: </w:t>
      </w:r>
      <w:r w:rsidRPr="00D715E7">
        <w:rPr>
          <w:rFonts w:ascii="Arial CE" w:hAnsi="Arial CE"/>
          <w:b/>
          <w:bCs/>
          <w:sz w:val="19"/>
          <w:szCs w:val="19"/>
        </w:rPr>
        <w:t>Fr. Mráza 289/2, 010 01 Žilina</w:t>
      </w:r>
    </w:p>
    <w:p w14:paraId="4AB9B4FE" w14:textId="0735AFFC" w:rsidR="00D715E7" w:rsidRPr="00D715E7" w:rsidRDefault="00D715E7" w:rsidP="00D715E7">
      <w:pPr>
        <w:pStyle w:val="Default"/>
        <w:jc w:val="both"/>
        <w:rPr>
          <w:rFonts w:ascii="Arial CE" w:hAnsi="Arial CE"/>
          <w:sz w:val="19"/>
          <w:szCs w:val="19"/>
        </w:rPr>
      </w:pPr>
      <w:r w:rsidRPr="00D715E7">
        <w:rPr>
          <w:rFonts w:ascii="Arial CE" w:hAnsi="Arial CE"/>
          <w:sz w:val="19"/>
          <w:szCs w:val="19"/>
        </w:rPr>
        <w:t xml:space="preserve">Opis hospodárskej činnosti účtovnej jednotky: </w:t>
      </w:r>
      <w:r w:rsidRPr="00D715E7">
        <w:rPr>
          <w:rFonts w:ascii="Arial CE" w:hAnsi="Arial CE"/>
          <w:b/>
          <w:bCs/>
          <w:sz w:val="19"/>
          <w:szCs w:val="19"/>
        </w:rPr>
        <w:t>prenájom nehnuteľností, automatizované spracovanie dát</w:t>
      </w:r>
    </w:p>
    <w:p w14:paraId="47EEF5E2" w14:textId="010B7D64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14:paraId="355BC39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C6AF4DC" w14:textId="2094FB25" w:rsidR="00A20833" w:rsidRPr="00D715E7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príslušným orgánom účtovnej jednotky</w:t>
      </w:r>
      <w:r w:rsidR="00D715E7">
        <w:rPr>
          <w:rFonts w:ascii="Arial CE" w:hAnsi="Arial CE"/>
          <w:sz w:val="20"/>
          <w:szCs w:val="20"/>
        </w:rPr>
        <w:t xml:space="preserve">: </w:t>
      </w:r>
      <w:r w:rsidR="002B72BF">
        <w:rPr>
          <w:rFonts w:ascii="Arial CE" w:hAnsi="Arial CE"/>
          <w:b/>
          <w:bCs/>
          <w:sz w:val="20"/>
          <w:szCs w:val="20"/>
        </w:rPr>
        <w:t>13.05.2025</w:t>
      </w:r>
    </w:p>
    <w:p w14:paraId="4E406B9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6B9D1A" w14:textId="68D964A0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na zostavenie účtovnej závierky</w:t>
      </w:r>
      <w:r w:rsidR="00D715E7">
        <w:rPr>
          <w:rFonts w:ascii="Arial CE" w:hAnsi="Arial CE"/>
          <w:sz w:val="20"/>
          <w:szCs w:val="20"/>
        </w:rPr>
        <w:t xml:space="preserve">: </w:t>
      </w:r>
      <w:r w:rsidR="00D715E7" w:rsidRPr="004933FC">
        <w:rPr>
          <w:rFonts w:ascii="Arial CE" w:hAnsi="Arial CE"/>
          <w:b/>
          <w:bCs/>
          <w:sz w:val="20"/>
          <w:szCs w:val="20"/>
        </w:rPr>
        <w:t>Riadna závierka</w:t>
      </w:r>
      <w:r w:rsidR="00D715E7">
        <w:rPr>
          <w:rFonts w:ascii="Arial CE" w:hAnsi="Arial CE"/>
          <w:sz w:val="20"/>
          <w:szCs w:val="20"/>
        </w:rPr>
        <w:t xml:space="preserve"> </w:t>
      </w:r>
    </w:p>
    <w:p w14:paraId="7376B8D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275B18C" w14:textId="1F9147BE" w:rsidR="00A20833" w:rsidRDefault="00A20833" w:rsidP="004933FC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</w:t>
      </w:r>
      <w:r w:rsidR="004933FC">
        <w:rPr>
          <w:rFonts w:ascii="Arial CE" w:hAnsi="Arial CE"/>
          <w:sz w:val="20"/>
          <w:szCs w:val="20"/>
        </w:rPr>
        <w:t xml:space="preserve">Informácie o skupine účtovných jednotiek, ak je účtovná jednotka jej súčasťou: </w:t>
      </w:r>
    </w:p>
    <w:p w14:paraId="2379FB53" w14:textId="79C21FFF" w:rsidR="004933FC" w:rsidRPr="002C4A44" w:rsidRDefault="004933FC" w:rsidP="004933FC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v roku 2019 došlo k zmene vlastníkov spoločnosti. Jediným vlastníkom sa stala spoločnosť HOUR, spol. s r.o., Žilina, ktorá nezostavuje konsolidovanú účtovnú závierku, pretože jej táto povinnosť nevyplýva z § 22 odsek 10 Zákona o účtovníctve</w:t>
      </w:r>
    </w:p>
    <w:p w14:paraId="6829072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050F7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C6210A7" w14:textId="77777777" w:rsidR="00D715E7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</w:t>
      </w:r>
      <w:r w:rsidR="00D715E7">
        <w:rPr>
          <w:rFonts w:ascii="Arial CE" w:hAnsi="Arial CE"/>
          <w:sz w:val="20"/>
          <w:szCs w:val="20"/>
        </w:rPr>
        <w:t xml:space="preserve">Informácie o počte zamestnancov: </w:t>
      </w:r>
    </w:p>
    <w:p w14:paraId="78DF7B24" w14:textId="77777777" w:rsidR="00D715E7" w:rsidRDefault="00D715E7" w:rsidP="00A20833">
      <w:pPr>
        <w:pStyle w:val="Default"/>
        <w:rPr>
          <w:rFonts w:ascii="Arial CE" w:hAnsi="Arial CE"/>
          <w:sz w:val="20"/>
          <w:szCs w:val="20"/>
        </w:rPr>
      </w:pPr>
    </w:p>
    <w:p w14:paraId="00423BE5" w14:textId="77777777" w:rsidR="00D715E7" w:rsidRDefault="00D715E7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Tabuľka k bodu (5)</w:t>
      </w:r>
    </w:p>
    <w:tbl>
      <w:tblPr>
        <w:tblStyle w:val="Mriekatabuky"/>
        <w:tblW w:w="9632" w:type="dxa"/>
        <w:tblLook w:val="04A0" w:firstRow="1" w:lastRow="0" w:firstColumn="1" w:lastColumn="0" w:noHBand="0" w:noVBand="1"/>
      </w:tblPr>
      <w:tblGrid>
        <w:gridCol w:w="4619"/>
        <w:gridCol w:w="1802"/>
        <w:gridCol w:w="3211"/>
      </w:tblGrid>
      <w:tr w:rsidR="00D715E7" w14:paraId="4AE49DA6" w14:textId="77777777" w:rsidTr="004933FC">
        <w:trPr>
          <w:trHeight w:val="468"/>
        </w:trPr>
        <w:tc>
          <w:tcPr>
            <w:tcW w:w="4619" w:type="dxa"/>
            <w:tcBorders>
              <w:top w:val="single" w:sz="2" w:space="0" w:color="auto"/>
              <w:left w:val="single" w:sz="2" w:space="0" w:color="auto"/>
            </w:tcBorders>
          </w:tcPr>
          <w:p w14:paraId="164996C1" w14:textId="77777777" w:rsidR="00D715E7" w:rsidRDefault="00D715E7" w:rsidP="00A20833">
            <w:pPr>
              <w:pStyle w:val="Default"/>
              <w:rPr>
                <w:rFonts w:ascii="Arial CE" w:hAnsi="Arial CE"/>
                <w:sz w:val="18"/>
                <w:szCs w:val="18"/>
              </w:rPr>
            </w:pPr>
          </w:p>
          <w:p w14:paraId="16E010C7" w14:textId="72A3F060" w:rsidR="00D715E7" w:rsidRPr="00D715E7" w:rsidRDefault="00D715E7" w:rsidP="00A20833">
            <w:pPr>
              <w:pStyle w:val="Default"/>
              <w:rPr>
                <w:rFonts w:ascii="Arial CE" w:hAnsi="Arial CE"/>
                <w:sz w:val="18"/>
                <w:szCs w:val="18"/>
              </w:rPr>
            </w:pPr>
            <w:r w:rsidRPr="00D715E7">
              <w:rPr>
                <w:rFonts w:ascii="Arial CE" w:hAnsi="Arial CE"/>
                <w:sz w:val="18"/>
                <w:szCs w:val="18"/>
              </w:rPr>
              <w:t>Názov položky</w:t>
            </w:r>
          </w:p>
        </w:tc>
        <w:tc>
          <w:tcPr>
            <w:tcW w:w="1802" w:type="dxa"/>
            <w:tcBorders>
              <w:top w:val="single" w:sz="2" w:space="0" w:color="auto"/>
              <w:bottom w:val="single" w:sz="2" w:space="0" w:color="auto"/>
            </w:tcBorders>
          </w:tcPr>
          <w:p w14:paraId="2CF06368" w14:textId="0F0CED8C" w:rsidR="00D715E7" w:rsidRDefault="00D715E7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Bežné účtovné obdobie</w:t>
            </w:r>
          </w:p>
        </w:tc>
        <w:tc>
          <w:tcPr>
            <w:tcW w:w="3211" w:type="dxa"/>
            <w:tcBorders>
              <w:top w:val="single" w:sz="2" w:space="0" w:color="auto"/>
              <w:right w:val="single" w:sz="2" w:space="0" w:color="auto"/>
            </w:tcBorders>
          </w:tcPr>
          <w:p w14:paraId="1D2260B4" w14:textId="6D4416F5" w:rsidR="00D715E7" w:rsidRDefault="00D715E7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Bezprostredne predchádzajúce účtovné obdobie</w:t>
            </w:r>
          </w:p>
        </w:tc>
      </w:tr>
      <w:tr w:rsidR="00D715E7" w14:paraId="61151498" w14:textId="77777777" w:rsidTr="004933FC">
        <w:trPr>
          <w:trHeight w:val="227"/>
        </w:trPr>
        <w:tc>
          <w:tcPr>
            <w:tcW w:w="4619" w:type="dxa"/>
            <w:tcBorders>
              <w:left w:val="single" w:sz="2" w:space="0" w:color="auto"/>
              <w:right w:val="single" w:sz="2" w:space="0" w:color="auto"/>
            </w:tcBorders>
          </w:tcPr>
          <w:p w14:paraId="3F80D55A" w14:textId="6FF14968" w:rsidR="00D715E7" w:rsidRPr="00D715E7" w:rsidRDefault="00D715E7" w:rsidP="00A20833">
            <w:pPr>
              <w:pStyle w:val="Default"/>
              <w:rPr>
                <w:rFonts w:ascii="Arial CE" w:hAnsi="Arial CE"/>
                <w:sz w:val="18"/>
                <w:szCs w:val="18"/>
              </w:rPr>
            </w:pPr>
            <w:r w:rsidRPr="00D715E7">
              <w:rPr>
                <w:rFonts w:ascii="Arial CE" w:hAnsi="Arial CE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8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5B4B0" w14:textId="14DDC6A2" w:rsidR="00D715E7" w:rsidRDefault="005509DD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</w:t>
            </w:r>
          </w:p>
        </w:tc>
        <w:tc>
          <w:tcPr>
            <w:tcW w:w="3211" w:type="dxa"/>
            <w:tcBorders>
              <w:left w:val="single" w:sz="2" w:space="0" w:color="auto"/>
              <w:right w:val="single" w:sz="2" w:space="0" w:color="auto"/>
            </w:tcBorders>
          </w:tcPr>
          <w:p w14:paraId="4071995B" w14:textId="4A80E40D" w:rsidR="00D715E7" w:rsidRDefault="00CF47B9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</w:t>
            </w:r>
          </w:p>
        </w:tc>
      </w:tr>
      <w:tr w:rsidR="00D715E7" w14:paraId="0B19CA4C" w14:textId="77777777" w:rsidTr="004933FC">
        <w:trPr>
          <w:trHeight w:val="407"/>
        </w:trPr>
        <w:tc>
          <w:tcPr>
            <w:tcW w:w="4619" w:type="dxa"/>
            <w:tcBorders>
              <w:left w:val="single" w:sz="2" w:space="0" w:color="auto"/>
              <w:bottom w:val="single" w:sz="2" w:space="0" w:color="auto"/>
            </w:tcBorders>
          </w:tcPr>
          <w:p w14:paraId="00C3F193" w14:textId="38DE9CDE" w:rsidR="00D715E7" w:rsidRPr="00D715E7" w:rsidRDefault="00D715E7" w:rsidP="00A20833">
            <w:pPr>
              <w:pStyle w:val="Default"/>
              <w:rPr>
                <w:rFonts w:ascii="Arial CE" w:hAnsi="Arial CE"/>
                <w:sz w:val="18"/>
                <w:szCs w:val="18"/>
              </w:rPr>
            </w:pPr>
            <w:r w:rsidRPr="00D715E7">
              <w:rPr>
                <w:rFonts w:ascii="Arial CE" w:hAnsi="Arial CE"/>
                <w:sz w:val="18"/>
                <w:szCs w:val="18"/>
              </w:rPr>
              <w:t xml:space="preserve">Stav zamestnancov ku dňu, ku ktorému sa zostavuje účtovná závierka, z toho: </w:t>
            </w:r>
          </w:p>
        </w:tc>
        <w:tc>
          <w:tcPr>
            <w:tcW w:w="1802" w:type="dxa"/>
            <w:tcBorders>
              <w:top w:val="single" w:sz="2" w:space="0" w:color="auto"/>
              <w:bottom w:val="single" w:sz="2" w:space="0" w:color="auto"/>
            </w:tcBorders>
          </w:tcPr>
          <w:p w14:paraId="78174C85" w14:textId="524FAD8F" w:rsidR="00D715E7" w:rsidRDefault="005509DD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</w:t>
            </w:r>
          </w:p>
        </w:tc>
        <w:tc>
          <w:tcPr>
            <w:tcW w:w="3211" w:type="dxa"/>
            <w:tcBorders>
              <w:bottom w:val="single" w:sz="2" w:space="0" w:color="auto"/>
              <w:right w:val="single" w:sz="2" w:space="0" w:color="auto"/>
            </w:tcBorders>
          </w:tcPr>
          <w:p w14:paraId="30DF8C65" w14:textId="677F2CE5" w:rsidR="00D715E7" w:rsidRDefault="00CF47B9" w:rsidP="00D715E7">
            <w:pPr>
              <w:pStyle w:val="Default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</w:t>
            </w:r>
          </w:p>
        </w:tc>
      </w:tr>
    </w:tbl>
    <w:p w14:paraId="222FBC20" w14:textId="1EE1740B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14:paraId="1C50D452" w14:textId="7EA80388" w:rsidR="00A20833" w:rsidRDefault="00BF04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(6) Informácie o orgánoch účtovnej jednotky:</w:t>
      </w:r>
    </w:p>
    <w:p w14:paraId="0E9C85F3" w14:textId="751F94C0" w:rsidR="00BF0474" w:rsidRPr="00BF0474" w:rsidRDefault="00BF04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Štatutárnym orgánom spoločnosti je konateľ. Konateľovi neboli poskytnuté žiadne pôžičky, záruky, zábezpeky alebo iné plnenia. </w:t>
      </w:r>
    </w:p>
    <w:p w14:paraId="63EE0635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D7116D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556500ED" w14:textId="77777777" w:rsidR="00BF0474" w:rsidRPr="002C4A44" w:rsidRDefault="00BF0474" w:rsidP="00BF047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03E15D60" w14:textId="020F6B36" w:rsidR="00A20833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(1) Spoločnosť bude nepretržite pokračovať vo svojej činnosti, účtovná závierka k 31.12.202</w:t>
      </w:r>
      <w:r w:rsidR="002B72BF">
        <w:rPr>
          <w:rFonts w:ascii="Arial CE" w:hAnsi="Arial CE"/>
          <w:sz w:val="20"/>
          <w:szCs w:val="20"/>
        </w:rPr>
        <w:t>5</w:t>
      </w:r>
      <w:r>
        <w:rPr>
          <w:rFonts w:ascii="Arial CE" w:hAnsi="Arial CE"/>
          <w:sz w:val="20"/>
          <w:szCs w:val="20"/>
        </w:rPr>
        <w:t xml:space="preserve"> bola zostavená za predpokladu nepretržitého trvania. </w:t>
      </w:r>
    </w:p>
    <w:p w14:paraId="43ABD38F" w14:textId="77777777" w:rsidR="00BF0474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</w:p>
    <w:p w14:paraId="1CC1F9A3" w14:textId="337E0E3E" w:rsidR="00BF0474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(2) Účtovné metódy a zásady boli aplikované v rámci platného ZoÚ, v roku 202</w:t>
      </w:r>
      <w:r w:rsidR="00CF47B9">
        <w:rPr>
          <w:rFonts w:ascii="Arial CE" w:hAnsi="Arial CE"/>
          <w:sz w:val="20"/>
          <w:szCs w:val="20"/>
        </w:rPr>
        <w:t>4</w:t>
      </w:r>
      <w:r>
        <w:rPr>
          <w:rFonts w:ascii="Arial CE" w:hAnsi="Arial CE"/>
          <w:sz w:val="20"/>
          <w:szCs w:val="20"/>
        </w:rPr>
        <w:t xml:space="preserve"> neboli vykonané žiadne zmeny účtovných zásad a metód. </w:t>
      </w:r>
    </w:p>
    <w:p w14:paraId="3C59FE74" w14:textId="31DFED84" w:rsidR="00BF0474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</w:p>
    <w:p w14:paraId="76A7AF40" w14:textId="5708DC0F" w:rsidR="00BF0474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(3) Spoločnosť nevykonala žiadne transakcie, ktoré sa neuvádzajú v súvahe. </w:t>
      </w:r>
    </w:p>
    <w:p w14:paraId="09EF08F7" w14:textId="77777777" w:rsidR="00BF0474" w:rsidRPr="002C4A44" w:rsidRDefault="00BF0474" w:rsidP="00BF0474">
      <w:pPr>
        <w:pStyle w:val="Default"/>
        <w:jc w:val="both"/>
        <w:rPr>
          <w:rFonts w:ascii="Arial CE" w:hAnsi="Arial CE"/>
          <w:sz w:val="20"/>
          <w:szCs w:val="20"/>
        </w:rPr>
      </w:pPr>
    </w:p>
    <w:p w14:paraId="5DDEADFF" w14:textId="1111FCD3" w:rsidR="00A20833" w:rsidRPr="002C4A44" w:rsidRDefault="00A20833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</w:t>
      </w:r>
      <w:r w:rsidR="00796C7B">
        <w:rPr>
          <w:rFonts w:ascii="Arial CE" w:hAnsi="Arial CE"/>
          <w:sz w:val="20"/>
          <w:szCs w:val="20"/>
        </w:rPr>
        <w:t>oceňovania jednotlivých zložiek</w:t>
      </w:r>
      <w:r w:rsidRPr="002C4A44">
        <w:rPr>
          <w:rFonts w:ascii="Arial CE" w:hAnsi="Arial CE"/>
          <w:sz w:val="20"/>
          <w:szCs w:val="20"/>
        </w:rPr>
        <w:t xml:space="preserve"> majetku a</w:t>
      </w:r>
      <w:r w:rsidR="00796C7B">
        <w:rPr>
          <w:rFonts w:ascii="Arial CE" w:hAnsi="Arial CE"/>
          <w:sz w:val="20"/>
          <w:szCs w:val="20"/>
        </w:rPr>
        <w:t> </w:t>
      </w:r>
      <w:r w:rsidRPr="002C4A44">
        <w:rPr>
          <w:rFonts w:ascii="Arial CE" w:hAnsi="Arial CE"/>
          <w:sz w:val="20"/>
          <w:szCs w:val="20"/>
        </w:rPr>
        <w:t>záväzkov</w:t>
      </w:r>
      <w:r w:rsidR="00796C7B">
        <w:rPr>
          <w:rFonts w:ascii="Arial CE" w:hAnsi="Arial CE"/>
          <w:sz w:val="20"/>
          <w:szCs w:val="20"/>
        </w:rPr>
        <w:t>:</w:t>
      </w:r>
    </w:p>
    <w:p w14:paraId="42C5EDE6" w14:textId="48374BE8" w:rsidR="00A20833" w:rsidRDefault="00A20833" w:rsidP="00796C7B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 obstarávacia cena</w:t>
      </w:r>
      <w:r w:rsidR="00796C7B">
        <w:rPr>
          <w:rFonts w:ascii="Arial CE" w:hAnsi="Arial CE"/>
          <w:sz w:val="20"/>
          <w:szCs w:val="20"/>
        </w:rPr>
        <w:t xml:space="preserve"> - DNM, DHM a zásoby obstarané kúpou; dlhodobý finančný majetok </w:t>
      </w:r>
    </w:p>
    <w:p w14:paraId="5ED85736" w14:textId="66879D17" w:rsidR="00A20833" w:rsidRPr="002C4A44" w:rsidRDefault="00A20833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796C7B">
        <w:rPr>
          <w:rFonts w:ascii="Arial CE" w:hAnsi="Arial CE"/>
          <w:sz w:val="20"/>
          <w:szCs w:val="20"/>
        </w:rPr>
        <w:t>menovitá hodnota - pohľadávky, záväzky, časové rozlíšenie, krátkodobý finančný majetok, splatná a odložená daň z príjmov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339727F0" w14:textId="77777777" w:rsidR="00796C7B" w:rsidRDefault="00796C7B" w:rsidP="00796C7B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F4BEC6D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(5) Spoločnosť nevytvorila opravné položky k majetku. Spoločnosť nemá rizikové pohľadávky po lehote splatnosti. </w:t>
      </w:r>
    </w:p>
    <w:p w14:paraId="1A50FE7A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14:paraId="61A59A8D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(6) Spoločnosť vytvára rezervy na mzdy a odvody za nevyčerpané dovolenky podľa zostatku nevyčerpanej dovolenky v dňoch a priemerného zárobku platného pre I. štvrťrok nasledujúceho účtovného obdobia. </w:t>
      </w:r>
    </w:p>
    <w:p w14:paraId="48764235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Spoločnosť vytvorila rezervu na vedenie miezd a účtovníctva. </w:t>
      </w:r>
    </w:p>
    <w:p w14:paraId="7776D0DB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14:paraId="314120BF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(7) Spôsob zostavenia účtovného odpisového plánu pre dlhodobý hmotný majetok a dlhodobý nehmotný majetok, doba odpisovania a použité sadzby a odpisové metódy pri stanovení účtovných odpisov: </w:t>
      </w:r>
    </w:p>
    <w:p w14:paraId="40F5C238" w14:textId="77777777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81"/>
        <w:gridCol w:w="2391"/>
        <w:gridCol w:w="2379"/>
        <w:gridCol w:w="2384"/>
      </w:tblGrid>
      <w:tr w:rsidR="00796C7B" w14:paraId="6E2A3798" w14:textId="77777777" w:rsidTr="00796C7B">
        <w:tc>
          <w:tcPr>
            <w:tcW w:w="2421" w:type="dxa"/>
          </w:tcPr>
          <w:p w14:paraId="0F71969A" w14:textId="3FDD512D" w:rsidR="00796C7B" w:rsidRP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b/>
                <w:bCs/>
                <w:sz w:val="20"/>
                <w:szCs w:val="20"/>
              </w:rPr>
            </w:pPr>
            <w:r w:rsidRPr="00796C7B">
              <w:rPr>
                <w:rFonts w:ascii="Arial CE" w:hAnsi="Arial C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421" w:type="dxa"/>
          </w:tcPr>
          <w:p w14:paraId="13AB5D67" w14:textId="0A852CCF" w:rsidR="00796C7B" w:rsidRP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b/>
                <w:bCs/>
                <w:sz w:val="20"/>
                <w:szCs w:val="20"/>
              </w:rPr>
            </w:pPr>
            <w:r w:rsidRPr="00796C7B">
              <w:rPr>
                <w:rFonts w:ascii="Arial CE" w:hAnsi="Arial C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2421" w:type="dxa"/>
          </w:tcPr>
          <w:p w14:paraId="302AE886" w14:textId="12C523C5" w:rsidR="00796C7B" w:rsidRP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b/>
                <w:bCs/>
                <w:sz w:val="20"/>
                <w:szCs w:val="20"/>
              </w:rPr>
            </w:pPr>
            <w:r w:rsidRPr="00796C7B">
              <w:rPr>
                <w:rFonts w:ascii="Arial CE" w:hAnsi="Arial CE"/>
                <w:b/>
                <w:bCs/>
                <w:sz w:val="20"/>
                <w:szCs w:val="20"/>
              </w:rPr>
              <w:t>Sadzby odpisov</w:t>
            </w:r>
          </w:p>
        </w:tc>
        <w:tc>
          <w:tcPr>
            <w:tcW w:w="2422" w:type="dxa"/>
          </w:tcPr>
          <w:p w14:paraId="792727AE" w14:textId="0AE1131A" w:rsidR="00796C7B" w:rsidRP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b/>
                <w:bCs/>
                <w:sz w:val="20"/>
                <w:szCs w:val="20"/>
              </w:rPr>
            </w:pPr>
            <w:r w:rsidRPr="00796C7B">
              <w:rPr>
                <w:rFonts w:ascii="Arial CE" w:hAnsi="Arial C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796C7B" w14:paraId="7D51DC98" w14:textId="77777777" w:rsidTr="00796C7B">
        <w:tc>
          <w:tcPr>
            <w:tcW w:w="2421" w:type="dxa"/>
          </w:tcPr>
          <w:p w14:paraId="64A3A5F2" w14:textId="45C77BF7" w:rsidR="00796C7B" w:rsidRDefault="00796C7B" w:rsidP="00796C7B">
            <w:pPr>
              <w:pStyle w:val="Default"/>
              <w:spacing w:after="14"/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Budova Contal SK</w:t>
            </w:r>
          </w:p>
        </w:tc>
        <w:tc>
          <w:tcPr>
            <w:tcW w:w="2421" w:type="dxa"/>
          </w:tcPr>
          <w:p w14:paraId="75222C1F" w14:textId="328FE892" w:rsid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20 r.</w:t>
            </w:r>
          </w:p>
        </w:tc>
        <w:tc>
          <w:tcPr>
            <w:tcW w:w="2421" w:type="dxa"/>
          </w:tcPr>
          <w:p w14:paraId="3B03A117" w14:textId="47C38F9F" w:rsid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5,0 %</w:t>
            </w:r>
          </w:p>
        </w:tc>
        <w:tc>
          <w:tcPr>
            <w:tcW w:w="2422" w:type="dxa"/>
          </w:tcPr>
          <w:p w14:paraId="1547C4B4" w14:textId="5B4ED0EE" w:rsidR="00796C7B" w:rsidRDefault="00796C7B" w:rsidP="00796C7B">
            <w:pPr>
              <w:pStyle w:val="Default"/>
              <w:spacing w:after="14"/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Lineárna</w:t>
            </w:r>
          </w:p>
        </w:tc>
      </w:tr>
      <w:tr w:rsidR="00796C7B" w14:paraId="1CB79511" w14:textId="77777777" w:rsidTr="00796C7B">
        <w:tc>
          <w:tcPr>
            <w:tcW w:w="2421" w:type="dxa"/>
          </w:tcPr>
          <w:p w14:paraId="48889DB1" w14:textId="51275760" w:rsidR="00796C7B" w:rsidRDefault="00796C7B" w:rsidP="00796C7B">
            <w:pPr>
              <w:pStyle w:val="Default"/>
              <w:spacing w:after="14"/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RD na ul. A. Rudnaya</w:t>
            </w:r>
          </w:p>
        </w:tc>
        <w:tc>
          <w:tcPr>
            <w:tcW w:w="2421" w:type="dxa"/>
          </w:tcPr>
          <w:p w14:paraId="3C166D7C" w14:textId="414A76ED" w:rsid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40 r.</w:t>
            </w:r>
          </w:p>
        </w:tc>
        <w:tc>
          <w:tcPr>
            <w:tcW w:w="2421" w:type="dxa"/>
          </w:tcPr>
          <w:p w14:paraId="43731440" w14:textId="070C1B7B" w:rsidR="00796C7B" w:rsidRDefault="00796C7B" w:rsidP="00796C7B">
            <w:pPr>
              <w:pStyle w:val="Default"/>
              <w:spacing w:after="14"/>
              <w:jc w:val="center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2,5 %</w:t>
            </w:r>
          </w:p>
        </w:tc>
        <w:tc>
          <w:tcPr>
            <w:tcW w:w="2422" w:type="dxa"/>
          </w:tcPr>
          <w:p w14:paraId="30DCABCD" w14:textId="484326F4" w:rsidR="00796C7B" w:rsidRDefault="00796C7B" w:rsidP="00796C7B">
            <w:pPr>
              <w:pStyle w:val="Default"/>
              <w:spacing w:after="14"/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Lineárna </w:t>
            </w:r>
          </w:p>
        </w:tc>
      </w:tr>
    </w:tbl>
    <w:p w14:paraId="5353A262" w14:textId="2374CF22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lastRenderedPageBreak/>
        <w:t xml:space="preserve">(8) Spoločnosť nepoužíva a nevlastní dlhodobý nehmotný majetok s obstarávacou cenou nad limit stanovený zákonom o účtovníctve. Nehmotný majetok do limitu stanoveného zákonom o účtovníctve a s dobou použiteľnosti nad jeden rok sa účtuje na ťarchu nákladov a na služby a časovo sa nerozlišuje. </w:t>
      </w:r>
    </w:p>
    <w:p w14:paraId="4877998F" w14:textId="2F4AD5AC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14:paraId="64F3EF57" w14:textId="0F334A30" w:rsidR="00796C7B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(9) Spoločnosť neprijala žiadne dotácie na obstaraný majetok. </w:t>
      </w:r>
    </w:p>
    <w:p w14:paraId="3DB1CC3C" w14:textId="77777777" w:rsidR="00796C7B" w:rsidRPr="002C4A44" w:rsidRDefault="00796C7B" w:rsidP="00796C7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14:paraId="2AC445D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6B8CB62" w14:textId="7A2D03ED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 xml:space="preserve">Čl. </w:t>
      </w:r>
      <w:r w:rsidR="00796C7B">
        <w:rPr>
          <w:rFonts w:ascii="Arial CE" w:hAnsi="Arial CE"/>
          <w:b/>
          <w:bCs/>
          <w:sz w:val="20"/>
          <w:szCs w:val="20"/>
        </w:rPr>
        <w:t>III</w:t>
      </w:r>
    </w:p>
    <w:p w14:paraId="3A5F4CD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1FEAEBE7" w14:textId="43D35C29" w:rsidR="00A20833" w:rsidRPr="002C4A44" w:rsidRDefault="00A20833" w:rsidP="00BF0474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BF0474">
        <w:rPr>
          <w:rFonts w:ascii="Arial CE" w:hAnsi="Arial CE"/>
          <w:sz w:val="20"/>
          <w:szCs w:val="20"/>
        </w:rPr>
        <w:t xml:space="preserve">Nehnuteľnosťou vo vlastníctve CONTAL SLOVAKIA, s.r.o. je zabezpečený záväzok z úveru spoločnosti HOUR, spol. s r.o. voči Slovenskej štátnej sporiteľni, z ktorého bola poskytnutá pôžička pre spoločnosť. </w:t>
      </w:r>
    </w:p>
    <w:p w14:paraId="1268C78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0178B20" w14:textId="7689DE3C" w:rsidR="00650024" w:rsidRPr="002C4A44" w:rsidRDefault="00BF04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(2) Spoločnosť má majetok a záväzky, ktoré sú predmetom evidencie na podsúvahových účtoch. Vedie sa tu nákup do RD A. Rudnaya (437€). </w:t>
      </w:r>
    </w:p>
    <w:p w14:paraId="62413180" w14:textId="165739DB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 xml:space="preserve">Čl. </w:t>
      </w:r>
      <w:r w:rsidR="00796C7B">
        <w:rPr>
          <w:rFonts w:ascii="Arial CE" w:hAnsi="Arial CE"/>
          <w:b/>
          <w:bCs/>
          <w:sz w:val="20"/>
          <w:szCs w:val="20"/>
        </w:rPr>
        <w:t>I</w:t>
      </w:r>
      <w:r w:rsidRPr="002C4A44">
        <w:rPr>
          <w:rFonts w:ascii="Arial CE" w:hAnsi="Arial CE"/>
          <w:b/>
          <w:bCs/>
          <w:sz w:val="20"/>
          <w:szCs w:val="20"/>
        </w:rPr>
        <w:t>V</w:t>
      </w:r>
    </w:p>
    <w:p w14:paraId="7A14E465" w14:textId="0716F467" w:rsidR="00A20833" w:rsidRDefault="00A20833" w:rsidP="00650024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16AACF83" w14:textId="77777777" w:rsidR="00BF0474" w:rsidRPr="002C4A44" w:rsidRDefault="00BF0474" w:rsidP="00650024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36B61930" w14:textId="2ADE3E31" w:rsidR="002C4A44" w:rsidRDefault="00BF0474" w:rsidP="00BF0474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 roku 202</w:t>
      </w:r>
      <w:r w:rsidR="00CF47B9">
        <w:rPr>
          <w:rFonts w:ascii="Arial CE" w:hAnsi="Arial CE"/>
          <w:sz w:val="20"/>
          <w:szCs w:val="20"/>
        </w:rPr>
        <w:t>5</w:t>
      </w:r>
      <w:r>
        <w:rPr>
          <w:rFonts w:ascii="Arial CE" w:hAnsi="Arial CE"/>
          <w:sz w:val="20"/>
          <w:szCs w:val="20"/>
        </w:rPr>
        <w:t xml:space="preserve"> stále pretrváva a ovplyvňuje vývoj podnikateľskej činnosti našej spoločnosti vojnová situácia na Ukrajine. Očakávame, že situácia sa v Slovenskej republike dostane do normálneho režimu a neohrozí existenciu našej spoločnosti. </w:t>
      </w:r>
    </w:p>
    <w:sectPr w:rsidR="002C4A44" w:rsidSect="00A7431A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C5241" w14:textId="77777777" w:rsidR="00052133" w:rsidRDefault="00052133" w:rsidP="00650024">
      <w:r>
        <w:separator/>
      </w:r>
    </w:p>
  </w:endnote>
  <w:endnote w:type="continuationSeparator" w:id="0">
    <w:p w14:paraId="6EA2C8EC" w14:textId="77777777" w:rsidR="00052133" w:rsidRDefault="00052133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7F3430" w14:textId="77777777" w:rsidR="00052133" w:rsidRDefault="00052133" w:rsidP="00650024">
      <w:r>
        <w:separator/>
      </w:r>
    </w:p>
  </w:footnote>
  <w:footnote w:type="continuationSeparator" w:id="0">
    <w:p w14:paraId="662B129B" w14:textId="77777777" w:rsidR="00052133" w:rsidRDefault="00052133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14:paraId="10B3842E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8B16F9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FD420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D9B0E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652D0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7DDAA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39585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FDB84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932CA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4A04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2520E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6B18D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A5371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403E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D709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F4B4C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C74BE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B76CB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D301E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FD993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EBD50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9608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D8670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F5E89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E8A94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2CB276F1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E29BC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7EC43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3A17D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B0A2C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61EE8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07DAE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64A18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96D1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E295B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7967170" w14:textId="3159F92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D715E7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18A9502" w14:textId="29DA4141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C830D7F" w14:textId="476816B9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AA99B94" w14:textId="4FA40167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7C244EC" w14:textId="06021DA1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2DAE880" w14:textId="5B4C2680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3165D61" w14:textId="7B792E99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0914C7" w14:textId="04DAC64B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6ED52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F45F9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3036538" w14:textId="0BB0D070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44ECE84" w14:textId="3DB9ABBD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56822" w14:textId="34D13D1B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D88CA73" w14:textId="6365B858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3CB7F69" w14:textId="3D9E0902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0E3AC9E" w14:textId="2713ADAD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962228E" w14:textId="0159F9C9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4D496D9" w14:textId="19F751EE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AABE6F0" w14:textId="160742C5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FC75270" w14:textId="273BD126" w:rsidR="00650024" w:rsidRPr="00FC4B56" w:rsidRDefault="00D715E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</w:tr>
  </w:tbl>
  <w:p w14:paraId="5589D6BD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0347948">
    <w:abstractNumId w:val="0"/>
  </w:num>
  <w:num w:numId="2" w16cid:durableId="20989429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52133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B72BF"/>
    <w:rsid w:val="002C0150"/>
    <w:rsid w:val="002C4A44"/>
    <w:rsid w:val="0030426E"/>
    <w:rsid w:val="0031338E"/>
    <w:rsid w:val="0040300D"/>
    <w:rsid w:val="00426E80"/>
    <w:rsid w:val="004933FC"/>
    <w:rsid w:val="005509DD"/>
    <w:rsid w:val="005E1C8A"/>
    <w:rsid w:val="005E4E16"/>
    <w:rsid w:val="006171F8"/>
    <w:rsid w:val="00650024"/>
    <w:rsid w:val="00694B41"/>
    <w:rsid w:val="006A0AB4"/>
    <w:rsid w:val="006A7C8A"/>
    <w:rsid w:val="007619D7"/>
    <w:rsid w:val="0076277C"/>
    <w:rsid w:val="00786CB1"/>
    <w:rsid w:val="00796C7B"/>
    <w:rsid w:val="007A0F50"/>
    <w:rsid w:val="007B5DF0"/>
    <w:rsid w:val="008948EC"/>
    <w:rsid w:val="008C12FE"/>
    <w:rsid w:val="008F5FE5"/>
    <w:rsid w:val="009546D2"/>
    <w:rsid w:val="00962DA0"/>
    <w:rsid w:val="009D09A4"/>
    <w:rsid w:val="00A20833"/>
    <w:rsid w:val="00A3794C"/>
    <w:rsid w:val="00A42978"/>
    <w:rsid w:val="00A7431A"/>
    <w:rsid w:val="00A873AF"/>
    <w:rsid w:val="00AD23CF"/>
    <w:rsid w:val="00B202C7"/>
    <w:rsid w:val="00BC2B05"/>
    <w:rsid w:val="00BD039E"/>
    <w:rsid w:val="00BF0474"/>
    <w:rsid w:val="00CF47B9"/>
    <w:rsid w:val="00D10215"/>
    <w:rsid w:val="00D20B35"/>
    <w:rsid w:val="00D715E7"/>
    <w:rsid w:val="00DB0895"/>
    <w:rsid w:val="00E77D78"/>
    <w:rsid w:val="00E93DD4"/>
    <w:rsid w:val="00EA5B96"/>
    <w:rsid w:val="00F7097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01E6E"/>
  <w15:docId w15:val="{F84382B2-5BF3-4686-B19A-B946752ED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table" w:styleId="Mriekatabuky">
    <w:name w:val="Table Grid"/>
    <w:basedOn w:val="Normlnatabuka"/>
    <w:uiPriority w:val="59"/>
    <w:unhideWhenUsed/>
    <w:rsid w:val="00D71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550</Words>
  <Characters>3141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Tereza Ďurišová</cp:lastModifiedBy>
  <cp:revision>3</cp:revision>
  <dcterms:created xsi:type="dcterms:W3CDTF">2026-03-24T13:42:00Z</dcterms:created>
  <dcterms:modified xsi:type="dcterms:W3CDTF">2026-03-26T13:48:00Z</dcterms:modified>
</cp:coreProperties>
</file>