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33532C">
      <w:pPr>
        <w:pStyle w:val="13"/>
      </w:pPr>
    </w:p>
    <w:p w14:paraId="470A8A4A">
      <w:pPr>
        <w:pStyle w:val="13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Poznámky Úč MÚJ 3 - 01                      IČO: 53725662                          DIČ:2121475191 </w:t>
      </w:r>
    </w:p>
    <w:p w14:paraId="030B12C2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3C97B3A1">
      <w:pPr>
        <w:pStyle w:val="13"/>
        <w:rPr>
          <w:color w:val="auto"/>
          <w:sz w:val="22"/>
          <w:szCs w:val="22"/>
        </w:rPr>
      </w:pPr>
    </w:p>
    <w:p w14:paraId="5ADB4875">
      <w:pPr>
        <w:pStyle w:val="13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Všeobecné údaje </w:t>
      </w:r>
    </w:p>
    <w:p w14:paraId="2977A240">
      <w:pPr>
        <w:pStyle w:val="13"/>
        <w:rPr>
          <w:color w:val="auto"/>
          <w:sz w:val="22"/>
          <w:szCs w:val="22"/>
        </w:rPr>
      </w:pPr>
    </w:p>
    <w:p w14:paraId="770A583B">
      <w:pPr>
        <w:pStyle w:val="13"/>
        <w:rPr>
          <w:b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Názov účtovnej jednotky: </w:t>
      </w:r>
      <w:r>
        <w:rPr>
          <w:b/>
          <w:color w:val="auto"/>
          <w:sz w:val="28"/>
          <w:szCs w:val="28"/>
        </w:rPr>
        <w:t>Inoui, s.r.o.</w:t>
      </w:r>
    </w:p>
    <w:p w14:paraId="6D983163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2F388DA2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Zapísaná do Obchodného registra  Okresného súdu Bratislava I, oddiel s.r.o., vložka číslo 151978/B,  </w:t>
      </w:r>
    </w:p>
    <w:p w14:paraId="02AB8F64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dňa 12.04.2021</w:t>
      </w:r>
    </w:p>
    <w:p w14:paraId="01891561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Štatutárny orgán: Lilla Franek, vznik funkcie od 21.04.2021</w:t>
      </w:r>
    </w:p>
    <w:p w14:paraId="13ADF8D9">
      <w:pPr>
        <w:pStyle w:val="13"/>
        <w:rPr>
          <w:color w:val="auto"/>
          <w:sz w:val="22"/>
          <w:szCs w:val="22"/>
        </w:rPr>
      </w:pPr>
    </w:p>
    <w:p w14:paraId="0305CECC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Účtovná jednotka nemá zamestnancov. </w:t>
      </w:r>
    </w:p>
    <w:p w14:paraId="10DB24E9">
      <w:pPr>
        <w:pStyle w:val="13"/>
        <w:rPr>
          <w:color w:val="auto"/>
          <w:sz w:val="22"/>
          <w:szCs w:val="22"/>
        </w:rPr>
      </w:pPr>
    </w:p>
    <w:p w14:paraId="12FB2FD8">
      <w:pPr>
        <w:pStyle w:val="13"/>
        <w:rPr>
          <w:color w:val="auto"/>
          <w:sz w:val="22"/>
          <w:szCs w:val="22"/>
        </w:rPr>
      </w:pPr>
    </w:p>
    <w:p w14:paraId="4223AA94">
      <w:pPr>
        <w:pStyle w:val="13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Informácie o prijatých postupoch </w:t>
      </w:r>
    </w:p>
    <w:p w14:paraId="6D53CAF3">
      <w:pPr>
        <w:pStyle w:val="13"/>
        <w:rPr>
          <w:color w:val="auto"/>
          <w:sz w:val="22"/>
          <w:szCs w:val="22"/>
        </w:rPr>
      </w:pPr>
    </w:p>
    <w:p w14:paraId="429DCEA7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závierka je zostavená  k 31.12.202</w:t>
      </w:r>
      <w:r>
        <w:rPr>
          <w:rFonts w:hint="default"/>
          <w:color w:val="auto"/>
          <w:sz w:val="22"/>
          <w:szCs w:val="22"/>
          <w:lang w:val="sk-SK"/>
        </w:rPr>
        <w:t>5</w:t>
      </w:r>
      <w:r>
        <w:rPr>
          <w:color w:val="auto"/>
          <w:sz w:val="22"/>
          <w:szCs w:val="22"/>
        </w:rPr>
        <w:t xml:space="preserve"> za účtovné obdobie rok 202</w:t>
      </w:r>
      <w:r>
        <w:rPr>
          <w:rFonts w:hint="default"/>
          <w:color w:val="auto"/>
          <w:sz w:val="22"/>
          <w:szCs w:val="22"/>
          <w:lang w:val="sk-SK"/>
        </w:rPr>
        <w:t>5</w:t>
      </w:r>
      <w:r>
        <w:rPr>
          <w:color w:val="auto"/>
          <w:sz w:val="22"/>
          <w:szCs w:val="22"/>
        </w:rPr>
        <w:t xml:space="preserve"> a ÚJ bude nepretržite pokračovať vo svojej činnosti.</w:t>
      </w:r>
    </w:p>
    <w:p w14:paraId="2399F073">
      <w:pPr>
        <w:pStyle w:val="13"/>
        <w:rPr>
          <w:color w:val="auto"/>
          <w:sz w:val="22"/>
          <w:szCs w:val="22"/>
        </w:rPr>
      </w:pPr>
    </w:p>
    <w:p w14:paraId="106F72EF">
      <w:pPr>
        <w:pStyle w:val="13"/>
        <w:rPr>
          <w:color w:val="auto"/>
          <w:sz w:val="22"/>
          <w:szCs w:val="22"/>
        </w:rPr>
      </w:pPr>
      <w:r>
        <w:rPr>
          <w:sz w:val="22"/>
          <w:szCs w:val="22"/>
        </w:rPr>
        <w:t>Účtovná jednotka vedie účtovníctvo v sústave podvojného účtovníctva a zostavuje účtovnú závierku v mene euro. Účtovná jednotka účtuje a vykazuje účtovné prípady v období, s ktorým časovo a vecne súvisia. Účtovné metódy a zásady boli aplikované v rámci platného zákona o účtovníctve.</w:t>
      </w:r>
    </w:p>
    <w:p w14:paraId="317717FE">
      <w:pPr>
        <w:pStyle w:val="13"/>
        <w:rPr>
          <w:color w:val="auto"/>
          <w:sz w:val="22"/>
          <w:szCs w:val="22"/>
        </w:rPr>
      </w:pPr>
    </w:p>
    <w:p w14:paraId="466D7924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v roku 202</w:t>
      </w:r>
      <w:r>
        <w:rPr>
          <w:rFonts w:hint="default"/>
          <w:color w:val="auto"/>
          <w:sz w:val="22"/>
          <w:szCs w:val="22"/>
          <w:lang w:val="sk-SK"/>
        </w:rPr>
        <w:t>5</w:t>
      </w:r>
      <w:r>
        <w:rPr>
          <w:color w:val="auto"/>
          <w:sz w:val="22"/>
          <w:szCs w:val="22"/>
        </w:rPr>
        <w:t xml:space="preserve"> účtovala o dlhodobom hmotnom majetku. </w:t>
      </w:r>
      <w:r>
        <w:rPr>
          <w:sz w:val="22"/>
          <w:szCs w:val="22"/>
        </w:rPr>
        <w:t>Dlhodobý hmotný majetok nakupovaný oceňovala účtovná jednotka obstarávacou cenou v zložení: obstarávacia cena, vrátane nákladov súvisiacich s obstaraním</w:t>
      </w:r>
    </w:p>
    <w:p w14:paraId="3B0DB89B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zakúpila v roku 2022 osobné motorové vozidlo VW Touareg, r.v.2008 v hodnote 1500,00 eur</w:t>
      </w:r>
    </w:p>
    <w:p w14:paraId="16A03EDC">
      <w:pPr>
        <w:pStyle w:val="13"/>
        <w:rPr>
          <w:color w:val="auto"/>
          <w:sz w:val="22"/>
          <w:szCs w:val="22"/>
        </w:rPr>
      </w:pPr>
      <w:r>
        <w:rPr>
          <w:sz w:val="22"/>
          <w:szCs w:val="22"/>
        </w:rPr>
        <w:t>Odpisový plán účtovných odpisov hmotného majetku sa zostavil tak, že za základ vzal metódy používané pri vyčísľovaní daňových odpisov. Odpisové sadzby pre účtovné a daňové odpisy sa rovnajú.</w:t>
      </w:r>
    </w:p>
    <w:p w14:paraId="186FE748">
      <w:pPr>
        <w:pStyle w:val="13"/>
        <w:rPr>
          <w:color w:val="auto"/>
          <w:sz w:val="22"/>
          <w:szCs w:val="22"/>
        </w:rPr>
      </w:pPr>
    </w:p>
    <w:p w14:paraId="180867E3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Spôsob oceňovania jednotlivých položiek pohľadávok a záväzkov, a to </w:t>
      </w:r>
    </w:p>
    <w:p w14:paraId="158621D2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pohľadávok - </w:t>
      </w:r>
      <w:r>
        <w:rPr>
          <w:sz w:val="22"/>
          <w:szCs w:val="22"/>
        </w:rPr>
        <w:t>ku dňu uskutočnenia účtovného prípadu sa</w:t>
      </w:r>
      <w:r>
        <w:rPr>
          <w:color w:val="auto"/>
          <w:sz w:val="22"/>
          <w:szCs w:val="22"/>
        </w:rPr>
        <w:t xml:space="preserve"> pohľadávky oceňujú menovitou hodnotou</w:t>
      </w:r>
    </w:p>
    <w:p w14:paraId="1B9AE6D8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záväzkov vrátane rezerv - </w:t>
      </w:r>
      <w:r>
        <w:rPr>
          <w:sz w:val="22"/>
          <w:szCs w:val="22"/>
        </w:rPr>
        <w:t>ku dňu uskutočnenia účtovného prípadu sa</w:t>
      </w:r>
      <w:r>
        <w:rPr>
          <w:color w:val="auto"/>
          <w:sz w:val="22"/>
          <w:szCs w:val="22"/>
        </w:rPr>
        <w:t xml:space="preserve"> záväzky oceňujú menovitou  </w:t>
      </w:r>
    </w:p>
    <w:p w14:paraId="55CC2B29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hodnotou</w:t>
      </w:r>
    </w:p>
    <w:p w14:paraId="39DC58C4">
      <w:pPr>
        <w:pStyle w:val="13"/>
        <w:spacing w:after="27"/>
        <w:rPr>
          <w:color w:val="auto"/>
          <w:sz w:val="22"/>
          <w:szCs w:val="22"/>
        </w:rPr>
      </w:pPr>
    </w:p>
    <w:p w14:paraId="645B406F">
      <w:pPr>
        <w:pStyle w:val="13"/>
        <w:spacing w:after="27"/>
        <w:rPr>
          <w:sz w:val="22"/>
          <w:szCs w:val="22"/>
        </w:rPr>
      </w:pPr>
      <w:r>
        <w:rPr>
          <w:sz w:val="22"/>
          <w:szCs w:val="22"/>
        </w:rPr>
        <w:t xml:space="preserve"> Zásoby obstarané kúpou: </w:t>
      </w:r>
    </w:p>
    <w:p w14:paraId="5ADCF21B">
      <w:pPr>
        <w:pStyle w:val="13"/>
        <w:spacing w:after="27"/>
        <w:rPr>
          <w:sz w:val="22"/>
          <w:szCs w:val="22"/>
        </w:rPr>
      </w:pPr>
      <w:r>
        <w:rPr>
          <w:sz w:val="22"/>
          <w:szCs w:val="22"/>
        </w:rPr>
        <w:t xml:space="preserve">a) do zásob patrí skladovaný materiál a skladovaný tovar </w:t>
      </w:r>
    </w:p>
    <w:p w14:paraId="55E77ADB">
      <w:pPr>
        <w:pStyle w:val="13"/>
        <w:spacing w:after="27"/>
        <w:rPr>
          <w:sz w:val="22"/>
          <w:szCs w:val="22"/>
        </w:rPr>
      </w:pPr>
      <w:r>
        <w:rPr>
          <w:sz w:val="22"/>
          <w:szCs w:val="22"/>
        </w:rPr>
        <w:t xml:space="preserve">b) materiál a tovar sa prvotne oceňujú obstarávacou cenou, ktorú tvorí cena obstarania a náklady súvisiace s obstaraním (prepravné, poistné, provízie, skonto). </w:t>
      </w:r>
    </w:p>
    <w:p w14:paraId="7FC8F0B1">
      <w:pPr>
        <w:pStyle w:val="13"/>
        <w:spacing w:after="27"/>
        <w:rPr>
          <w:sz w:val="22"/>
          <w:szCs w:val="22"/>
        </w:rPr>
      </w:pPr>
      <w:r>
        <w:rPr>
          <w:sz w:val="22"/>
          <w:szCs w:val="22"/>
        </w:rPr>
        <w:t>c) nakupované zásoby sa vyskladňujú v obstarávacej cene</w:t>
      </w:r>
    </w:p>
    <w:p w14:paraId="5F25DC7F">
      <w:pPr>
        <w:pStyle w:val="13"/>
        <w:spacing w:after="27"/>
        <w:rPr>
          <w:sz w:val="22"/>
          <w:szCs w:val="22"/>
        </w:rPr>
      </w:pPr>
    </w:p>
    <w:p w14:paraId="7F035E85">
      <w:pPr>
        <w:pStyle w:val="13"/>
        <w:rPr>
          <w:color w:val="auto"/>
          <w:sz w:val="22"/>
          <w:szCs w:val="22"/>
        </w:rPr>
      </w:pPr>
    </w:p>
    <w:p w14:paraId="3F4DFF77">
      <w:pPr>
        <w:pStyle w:val="13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Informácie, ktoré vysvetľujú a dopĺňajú súvahu a výkaz ziskov a strát </w:t>
      </w:r>
    </w:p>
    <w:p w14:paraId="2E4E487B">
      <w:pPr>
        <w:pStyle w:val="13"/>
        <w:rPr>
          <w:color w:val="auto"/>
          <w:sz w:val="22"/>
          <w:szCs w:val="22"/>
        </w:rPr>
      </w:pPr>
    </w:p>
    <w:p w14:paraId="0C3F5EC5">
      <w:pPr>
        <w:pStyle w:val="13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>Informácie o peňažných prostriedkoch:</w:t>
      </w:r>
    </w:p>
    <w:p w14:paraId="2823423E">
      <w:pPr>
        <w:pStyle w:val="13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pokladna EUR – </w:t>
      </w:r>
      <w:r>
        <w:rPr>
          <w:rFonts w:hint="default"/>
          <w:color w:val="auto"/>
          <w:sz w:val="22"/>
          <w:szCs w:val="22"/>
          <w:lang w:val="sk-SK"/>
        </w:rPr>
        <w:t>12,70</w:t>
      </w:r>
      <w:r>
        <w:rPr>
          <w:color w:val="auto"/>
          <w:sz w:val="22"/>
          <w:szCs w:val="22"/>
        </w:rPr>
        <w:t xml:space="preserve"> eur</w:t>
      </w:r>
    </w:p>
    <w:p w14:paraId="76235500">
      <w:pPr>
        <w:pStyle w:val="13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pokladňa registračná – 400,96 eur</w:t>
      </w:r>
    </w:p>
    <w:p w14:paraId="4480CBFF">
      <w:pPr>
        <w:pStyle w:val="13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bankový účet Slovenská sporiteľňa –</w:t>
      </w:r>
      <w:r>
        <w:rPr>
          <w:rFonts w:hint="default"/>
          <w:color w:val="auto"/>
          <w:sz w:val="22"/>
          <w:szCs w:val="22"/>
          <w:lang w:val="sk-SK"/>
        </w:rPr>
        <w:t>1934,92</w:t>
      </w:r>
      <w:r>
        <w:rPr>
          <w:color w:val="auto"/>
          <w:sz w:val="22"/>
          <w:szCs w:val="22"/>
        </w:rPr>
        <w:t xml:space="preserve"> eur</w:t>
      </w:r>
    </w:p>
    <w:p w14:paraId="1C1EDE2A">
      <w:pPr>
        <w:pStyle w:val="13"/>
        <w:rPr>
          <w:color w:val="auto"/>
          <w:sz w:val="22"/>
          <w:szCs w:val="22"/>
        </w:rPr>
      </w:pPr>
    </w:p>
    <w:p w14:paraId="673DB3A4">
      <w:pPr>
        <w:pStyle w:val="13"/>
        <w:spacing w:after="27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 xml:space="preserve">Informácie o záväzkoch, a to </w:t>
      </w:r>
    </w:p>
    <w:p w14:paraId="4521983C">
      <w:pPr>
        <w:pStyle w:val="13"/>
        <w:numPr>
          <w:ilvl w:val="0"/>
          <w:numId w:val="2"/>
        </w:numPr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celkovej sume záväzkov z obchodného styku so zostatkovou dobou splatnosti kratšou ako 1 rok – 0 eur</w:t>
      </w:r>
    </w:p>
    <w:p w14:paraId="34DA00BA">
      <w:pPr>
        <w:pStyle w:val="13"/>
        <w:numPr>
          <w:ilvl w:val="0"/>
          <w:numId w:val="2"/>
        </w:numPr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celkovej sume daňových záväzkov – 0 eur </w:t>
      </w:r>
    </w:p>
    <w:p w14:paraId="2F682D31">
      <w:pPr>
        <w:pStyle w:val="13"/>
        <w:spacing w:after="27"/>
        <w:rPr>
          <w:color w:val="auto"/>
          <w:sz w:val="22"/>
          <w:szCs w:val="22"/>
        </w:rPr>
      </w:pPr>
    </w:p>
    <w:p w14:paraId="7376DA9C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  <w:u w:val="single"/>
        </w:rPr>
        <w:t>Informácie o základnom ímaní</w:t>
      </w:r>
      <w:r>
        <w:rPr>
          <w:color w:val="auto"/>
          <w:sz w:val="22"/>
          <w:szCs w:val="22"/>
        </w:rPr>
        <w:t>: Vklad: 5000 eur</w:t>
      </w:r>
    </w:p>
    <w:p w14:paraId="31AD896F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 xml:space="preserve">Splatené: 5000 eur </w:t>
      </w:r>
    </w:p>
    <w:p w14:paraId="697E3D6A">
      <w:pPr>
        <w:pStyle w:val="13"/>
        <w:spacing w:after="27"/>
        <w:rPr>
          <w:color w:val="auto"/>
          <w:sz w:val="22"/>
          <w:szCs w:val="22"/>
        </w:rPr>
      </w:pPr>
    </w:p>
    <w:p w14:paraId="36EA3094">
      <w:pPr>
        <w:pStyle w:val="13"/>
        <w:spacing w:after="27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 xml:space="preserve">Informácie  o zásobách: kvety </w:t>
      </w:r>
      <w:r>
        <w:rPr>
          <w:rFonts w:hint="default"/>
          <w:color w:val="auto"/>
          <w:sz w:val="22"/>
          <w:szCs w:val="22"/>
          <w:u w:val="single"/>
          <w:lang w:val="sk-SK"/>
        </w:rPr>
        <w:t>284,91</w:t>
      </w:r>
      <w:r>
        <w:rPr>
          <w:color w:val="auto"/>
          <w:sz w:val="22"/>
          <w:szCs w:val="22"/>
          <w:u w:val="single"/>
        </w:rPr>
        <w:t xml:space="preserve"> eur</w:t>
      </w:r>
    </w:p>
    <w:p w14:paraId="3C7E3DC7">
      <w:pPr>
        <w:pStyle w:val="13"/>
        <w:spacing w:after="27"/>
        <w:rPr>
          <w:color w:val="auto"/>
          <w:sz w:val="22"/>
          <w:szCs w:val="22"/>
          <w:u w:val="single"/>
        </w:rPr>
      </w:pPr>
    </w:p>
    <w:p w14:paraId="6F10FA81">
      <w:pPr>
        <w:pStyle w:val="13"/>
        <w:spacing w:after="27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 xml:space="preserve">Informácie k účtovaníu časového rozlíšenia nákladov a výnosov </w:t>
      </w:r>
    </w:p>
    <w:p w14:paraId="057D7CCD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 xml:space="preserve">náklady budúcich období – </w:t>
      </w:r>
      <w:r>
        <w:rPr>
          <w:rFonts w:hint="default"/>
          <w:color w:val="auto"/>
          <w:sz w:val="22"/>
          <w:szCs w:val="22"/>
          <w:lang w:val="sk-SK"/>
        </w:rPr>
        <w:t>webhosting</w:t>
      </w:r>
      <w:r>
        <w:rPr>
          <w:color w:val="auto"/>
          <w:sz w:val="22"/>
          <w:szCs w:val="22"/>
        </w:rPr>
        <w:t xml:space="preserve"> – </w:t>
      </w:r>
      <w:r>
        <w:rPr>
          <w:rFonts w:hint="default"/>
          <w:color w:val="auto"/>
          <w:sz w:val="22"/>
          <w:szCs w:val="22"/>
          <w:lang w:val="sk-SK"/>
        </w:rPr>
        <w:t>66,82</w:t>
      </w:r>
      <w:r>
        <w:rPr>
          <w:color w:val="auto"/>
          <w:sz w:val="22"/>
          <w:szCs w:val="22"/>
        </w:rPr>
        <w:t xml:space="preserve"> eur</w:t>
      </w:r>
    </w:p>
    <w:p w14:paraId="27CF310C">
      <w:pPr>
        <w:pStyle w:val="13"/>
        <w:spacing w:after="27"/>
        <w:rPr>
          <w:color w:val="auto"/>
          <w:sz w:val="22"/>
          <w:szCs w:val="22"/>
        </w:rPr>
      </w:pPr>
    </w:p>
    <w:p w14:paraId="6418FADF">
      <w:pPr>
        <w:pStyle w:val="13"/>
        <w:spacing w:after="27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>Informácie o účtovaní hospodárskeho výsledku</w:t>
      </w:r>
    </w:p>
    <w:p w14:paraId="3639EF08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účtovná jednotnotka účtovala o účtovn</w:t>
      </w:r>
      <w:r>
        <w:rPr>
          <w:rFonts w:hint="default"/>
          <w:color w:val="auto"/>
          <w:sz w:val="22"/>
          <w:szCs w:val="22"/>
          <w:lang w:val="sk-SK"/>
        </w:rPr>
        <w:t>om zisku</w:t>
      </w:r>
      <w:r>
        <w:rPr>
          <w:color w:val="auto"/>
          <w:sz w:val="22"/>
          <w:szCs w:val="22"/>
        </w:rPr>
        <w:t xml:space="preserve"> z roku 202</w:t>
      </w:r>
      <w:r>
        <w:rPr>
          <w:rFonts w:hint="default"/>
          <w:color w:val="auto"/>
          <w:sz w:val="22"/>
          <w:szCs w:val="22"/>
          <w:lang w:val="sk-SK"/>
        </w:rPr>
        <w:t>4</w:t>
      </w:r>
      <w:r>
        <w:rPr>
          <w:color w:val="auto"/>
          <w:sz w:val="22"/>
          <w:szCs w:val="22"/>
        </w:rPr>
        <w:t xml:space="preserve"> v prospech úctu </w:t>
      </w:r>
      <w:r>
        <w:rPr>
          <w:rFonts w:hint="default"/>
          <w:color w:val="auto"/>
          <w:sz w:val="22"/>
          <w:szCs w:val="22"/>
          <w:lang w:val="sk-SK"/>
        </w:rPr>
        <w:t>nerozdelený zisk</w:t>
      </w:r>
      <w:r>
        <w:rPr>
          <w:color w:val="auto"/>
          <w:sz w:val="22"/>
          <w:szCs w:val="22"/>
        </w:rPr>
        <w:t xml:space="preserve"> minulých</w:t>
      </w:r>
    </w:p>
    <w:p w14:paraId="31F6E82D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rokov vo výške </w:t>
      </w:r>
      <w:r>
        <w:rPr>
          <w:rFonts w:hint="default"/>
          <w:color w:val="auto"/>
          <w:sz w:val="22"/>
          <w:szCs w:val="22"/>
          <w:lang w:val="sk-SK"/>
        </w:rPr>
        <w:t>456,28</w:t>
      </w:r>
      <w:r>
        <w:rPr>
          <w:color w:val="auto"/>
          <w:sz w:val="22"/>
          <w:szCs w:val="22"/>
        </w:rPr>
        <w:t xml:space="preserve"> eur  </w:t>
      </w:r>
    </w:p>
    <w:p w14:paraId="1D57B5B3">
      <w:pPr>
        <w:pStyle w:val="13"/>
        <w:spacing w:after="27"/>
        <w:rPr>
          <w:color w:val="auto"/>
          <w:sz w:val="22"/>
          <w:szCs w:val="22"/>
        </w:rPr>
      </w:pPr>
    </w:p>
    <w:p w14:paraId="47E907D0">
      <w:pPr>
        <w:pStyle w:val="13"/>
        <w:spacing w:after="27"/>
        <w:rPr>
          <w:color w:val="auto"/>
          <w:sz w:val="22"/>
          <w:szCs w:val="22"/>
        </w:rPr>
      </w:pPr>
    </w:p>
    <w:p w14:paraId="3CB7488E">
      <w:pPr>
        <w:pStyle w:val="13"/>
        <w:spacing w:after="27"/>
        <w:rPr>
          <w:color w:val="auto"/>
          <w:sz w:val="22"/>
          <w:szCs w:val="22"/>
        </w:rPr>
      </w:pPr>
    </w:p>
    <w:p w14:paraId="48E24DF2">
      <w:pPr>
        <w:pStyle w:val="13"/>
        <w:spacing w:after="27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>Informácie  o nákladoch:</w:t>
      </w:r>
    </w:p>
    <w:p w14:paraId="2CD5266A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>Najvýznamnejšie položky:</w:t>
      </w:r>
      <w:r>
        <w:rPr>
          <w:color w:val="auto"/>
          <w:sz w:val="22"/>
          <w:szCs w:val="22"/>
        </w:rPr>
        <w:tab/>
      </w:r>
      <w:r>
        <w:rPr>
          <w:rFonts w:hint="default"/>
          <w:color w:val="auto"/>
          <w:sz w:val="22"/>
          <w:szCs w:val="22"/>
          <w:lang w:val="sk-SK"/>
        </w:rPr>
        <w:t>Spotreba m</w:t>
      </w:r>
      <w:r>
        <w:rPr>
          <w:color w:val="auto"/>
          <w:sz w:val="22"/>
          <w:szCs w:val="22"/>
        </w:rPr>
        <w:t xml:space="preserve">ateriál-desing  – </w:t>
      </w:r>
      <w:r>
        <w:rPr>
          <w:rFonts w:hint="default"/>
          <w:color w:val="auto"/>
          <w:sz w:val="22"/>
          <w:szCs w:val="22"/>
          <w:lang w:val="sk-SK"/>
        </w:rPr>
        <w:t>443,35</w:t>
      </w:r>
      <w:r>
        <w:rPr>
          <w:color w:val="auto"/>
          <w:sz w:val="22"/>
          <w:szCs w:val="22"/>
        </w:rPr>
        <w:t xml:space="preserve"> eur</w:t>
      </w:r>
    </w:p>
    <w:p w14:paraId="082F80C2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 xml:space="preserve">Predaný tovar – </w:t>
      </w:r>
      <w:r>
        <w:rPr>
          <w:rFonts w:hint="default"/>
          <w:color w:val="auto"/>
          <w:sz w:val="22"/>
          <w:szCs w:val="22"/>
          <w:lang w:val="sk-SK"/>
        </w:rPr>
        <w:t>332,36</w:t>
      </w:r>
      <w:r>
        <w:rPr>
          <w:color w:val="auto"/>
          <w:sz w:val="22"/>
          <w:szCs w:val="22"/>
        </w:rPr>
        <w:t xml:space="preserve"> eur</w:t>
      </w:r>
    </w:p>
    <w:p w14:paraId="216B5A8F">
      <w:pPr>
        <w:pStyle w:val="13"/>
        <w:spacing w:after="27"/>
        <w:ind w:left="2832"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Služby–web stranky</w:t>
      </w:r>
      <w:r>
        <w:rPr>
          <w:rFonts w:hint="default"/>
          <w:color w:val="auto"/>
          <w:sz w:val="22"/>
          <w:szCs w:val="22"/>
          <w:lang w:val="sk-SK"/>
        </w:rPr>
        <w:t xml:space="preserve"> </w:t>
      </w:r>
      <w:r>
        <w:rPr>
          <w:color w:val="auto"/>
          <w:sz w:val="22"/>
          <w:szCs w:val="22"/>
        </w:rPr>
        <w:t xml:space="preserve">- </w:t>
      </w:r>
      <w:r>
        <w:rPr>
          <w:rFonts w:hint="default"/>
          <w:color w:val="auto"/>
          <w:sz w:val="22"/>
          <w:szCs w:val="22"/>
          <w:lang w:val="sk-SK"/>
        </w:rPr>
        <w:t>375,00</w:t>
      </w:r>
      <w:r>
        <w:rPr>
          <w:color w:val="auto"/>
          <w:sz w:val="22"/>
          <w:szCs w:val="22"/>
        </w:rPr>
        <w:t xml:space="preserve"> eur</w:t>
      </w:r>
    </w:p>
    <w:p w14:paraId="7B033812">
      <w:pPr>
        <w:pStyle w:val="13"/>
        <w:spacing w:after="27"/>
        <w:ind w:left="2832"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Ostatné služby – </w:t>
      </w:r>
      <w:r>
        <w:rPr>
          <w:rFonts w:hint="default"/>
          <w:color w:val="auto"/>
          <w:sz w:val="22"/>
          <w:szCs w:val="22"/>
          <w:lang w:val="sk-SK"/>
        </w:rPr>
        <w:t>150,00</w:t>
      </w:r>
      <w:r>
        <w:rPr>
          <w:color w:val="auto"/>
          <w:sz w:val="22"/>
          <w:szCs w:val="22"/>
        </w:rPr>
        <w:t xml:space="preserve"> eur</w:t>
      </w:r>
    </w:p>
    <w:p w14:paraId="65AE80C3">
      <w:pPr>
        <w:pStyle w:val="13"/>
        <w:spacing w:after="27"/>
        <w:ind w:left="2832" w:firstLine="708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Bankové poplatky - 97,77 eur</w:t>
      </w:r>
    </w:p>
    <w:p w14:paraId="62E1B452">
      <w:pPr>
        <w:pStyle w:val="13"/>
        <w:spacing w:after="27"/>
        <w:ind w:left="2832" w:firstLine="708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Spotreba nedaňová - repreyentácia - 40,70 eur</w:t>
      </w:r>
    </w:p>
    <w:p w14:paraId="2D7C7FC7">
      <w:pPr>
        <w:pStyle w:val="13"/>
        <w:spacing w:after="27"/>
        <w:ind w:left="2832" w:firstLine="708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Odpisy auto - 375,00 eur</w:t>
      </w:r>
    </w:p>
    <w:p w14:paraId="44076E54">
      <w:pPr>
        <w:pStyle w:val="13"/>
        <w:spacing w:after="27"/>
        <w:ind w:left="2832" w:firstLine="708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Daň z motorových vozidiel - 318,00 eur</w:t>
      </w:r>
    </w:p>
    <w:p w14:paraId="30635D63">
      <w:pPr>
        <w:pStyle w:val="13"/>
        <w:spacing w:after="27"/>
        <w:ind w:left="2832" w:firstLine="708"/>
        <w:rPr>
          <w:color w:val="auto"/>
          <w:sz w:val="22"/>
          <w:szCs w:val="22"/>
        </w:rPr>
      </w:pPr>
    </w:p>
    <w:p w14:paraId="6F026120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  <w:u w:val="single"/>
        </w:rPr>
        <w:t xml:space="preserve">Informácie o výnosoch:  </w:t>
      </w:r>
      <w:r>
        <w:rPr>
          <w:color w:val="auto"/>
          <w:sz w:val="22"/>
          <w:szCs w:val="22"/>
        </w:rPr>
        <w:t xml:space="preserve">Tržby za kvety, dekoracie, desing tovar : </w:t>
      </w:r>
      <w:r>
        <w:rPr>
          <w:rFonts w:hint="default"/>
          <w:color w:val="auto"/>
          <w:sz w:val="22"/>
          <w:szCs w:val="22"/>
          <w:lang w:val="sk-SK"/>
        </w:rPr>
        <w:t xml:space="preserve">800,00 </w:t>
      </w:r>
      <w:r>
        <w:rPr>
          <w:color w:val="auto"/>
          <w:sz w:val="22"/>
          <w:szCs w:val="22"/>
        </w:rPr>
        <w:t>eur</w:t>
      </w:r>
    </w:p>
    <w:p w14:paraId="769AF291">
      <w:pPr>
        <w:pStyle w:val="13"/>
        <w:spacing w:after="27"/>
        <w:rPr>
          <w:sz w:val="22"/>
          <w:szCs w:val="22"/>
        </w:rPr>
      </w:pPr>
      <w:r>
        <w:rPr>
          <w:rFonts w:hint="default"/>
          <w:color w:val="auto"/>
          <w:sz w:val="22"/>
          <w:szCs w:val="22"/>
          <w:lang w:val="sk-SK"/>
        </w:rPr>
        <w:tab/>
      </w:r>
      <w:r>
        <w:rPr>
          <w:rFonts w:hint="default"/>
          <w:color w:val="auto"/>
          <w:sz w:val="22"/>
          <w:szCs w:val="22"/>
          <w:lang w:val="sk-SK"/>
        </w:rPr>
        <w:tab/>
      </w:r>
      <w:r>
        <w:rPr>
          <w:rFonts w:hint="default"/>
          <w:color w:val="auto"/>
          <w:sz w:val="22"/>
          <w:szCs w:val="22"/>
          <w:lang w:val="sk-SK"/>
        </w:rPr>
        <w:tab/>
      </w:r>
      <w:r>
        <w:rPr>
          <w:rFonts w:hint="default"/>
          <w:color w:val="auto"/>
          <w:sz w:val="22"/>
          <w:szCs w:val="22"/>
          <w:lang w:val="sk-SK"/>
        </w:rPr>
        <w:t xml:space="preserve"> </w:t>
      </w:r>
      <w:bookmarkStart w:id="0" w:name="_GoBack"/>
      <w:bookmarkEnd w:id="0"/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 xml:space="preserve">    </w:t>
      </w:r>
    </w:p>
    <w:sectPr>
      <w:pgSz w:w="11906" w:h="17340"/>
      <w:pgMar w:top="426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onsolas">
    <w:panose1 w:val="020B0609020204030204"/>
    <w:charset w:val="EE"/>
    <w:family w:val="modern"/>
    <w:pitch w:val="default"/>
    <w:sig w:usb0="E00006FF" w:usb1="0000FCFF" w:usb2="00000001" w:usb3="00000000" w:csb0="600001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02032B0"/>
    <w:multiLevelType w:val="multilevel"/>
    <w:tmpl w:val="202032B0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AE3870"/>
    <w:multiLevelType w:val="multilevel"/>
    <w:tmpl w:val="25AE3870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14E"/>
    <w:rsid w:val="0006487D"/>
    <w:rsid w:val="000E1735"/>
    <w:rsid w:val="00120607"/>
    <w:rsid w:val="00126C8E"/>
    <w:rsid w:val="00192E71"/>
    <w:rsid w:val="001A51E6"/>
    <w:rsid w:val="001E7D72"/>
    <w:rsid w:val="003E7FBD"/>
    <w:rsid w:val="004109C8"/>
    <w:rsid w:val="00443FA8"/>
    <w:rsid w:val="00460E41"/>
    <w:rsid w:val="004A214E"/>
    <w:rsid w:val="004A277A"/>
    <w:rsid w:val="004F6018"/>
    <w:rsid w:val="00565B1F"/>
    <w:rsid w:val="00595149"/>
    <w:rsid w:val="005B4028"/>
    <w:rsid w:val="0070475C"/>
    <w:rsid w:val="0077046C"/>
    <w:rsid w:val="00851CCE"/>
    <w:rsid w:val="008846E2"/>
    <w:rsid w:val="00900034"/>
    <w:rsid w:val="00930047"/>
    <w:rsid w:val="009B31AF"/>
    <w:rsid w:val="009D0A1D"/>
    <w:rsid w:val="00A25A77"/>
    <w:rsid w:val="00A25DD3"/>
    <w:rsid w:val="00A35832"/>
    <w:rsid w:val="00A83334"/>
    <w:rsid w:val="00BB3D6F"/>
    <w:rsid w:val="00BE78B6"/>
    <w:rsid w:val="00CB74B5"/>
    <w:rsid w:val="00CD017C"/>
    <w:rsid w:val="00D01967"/>
    <w:rsid w:val="00DC6D6B"/>
    <w:rsid w:val="00FA5C45"/>
    <w:rsid w:val="00FD015C"/>
    <w:rsid w:val="00FE1324"/>
    <w:rsid w:val="05C20022"/>
    <w:rsid w:val="51EB382F"/>
    <w:rsid w:val="77C027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sz w:val="22"/>
      <w:szCs w:val="22"/>
      <w:lang w:val="sk-SK" w:eastAsia="sk-SK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2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5">
    <w:name w:val="annotation reference"/>
    <w:basedOn w:val="2"/>
    <w:semiHidden/>
    <w:unhideWhenUsed/>
    <w:uiPriority w:val="99"/>
    <w:rPr>
      <w:sz w:val="16"/>
      <w:szCs w:val="16"/>
    </w:rPr>
  </w:style>
  <w:style w:type="paragraph" w:styleId="6">
    <w:name w:val="annotation text"/>
    <w:basedOn w:val="1"/>
    <w:link w:val="10"/>
    <w:semiHidden/>
    <w:unhideWhenUsed/>
    <w:uiPriority w:val="99"/>
    <w:pPr>
      <w:spacing w:line="240" w:lineRule="auto"/>
    </w:pPr>
    <w:rPr>
      <w:sz w:val="20"/>
      <w:szCs w:val="20"/>
    </w:rPr>
  </w:style>
  <w:style w:type="paragraph" w:styleId="7">
    <w:name w:val="annotation subject"/>
    <w:basedOn w:val="6"/>
    <w:next w:val="6"/>
    <w:link w:val="11"/>
    <w:semiHidden/>
    <w:unhideWhenUsed/>
    <w:qFormat/>
    <w:uiPriority w:val="99"/>
    <w:rPr>
      <w:b/>
      <w:bCs/>
    </w:rPr>
  </w:style>
  <w:style w:type="paragraph" w:styleId="8">
    <w:name w:val="Plain Text"/>
    <w:basedOn w:val="1"/>
    <w:link w:val="9"/>
    <w:semiHidden/>
    <w:unhideWhenUsed/>
    <w:qFormat/>
    <w:uiPriority w:val="99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9">
    <w:name w:val="Obyčajný text Char"/>
    <w:basedOn w:val="2"/>
    <w:link w:val="8"/>
    <w:semiHidden/>
    <w:qFormat/>
    <w:uiPriority w:val="99"/>
    <w:rPr>
      <w:rFonts w:ascii="Consolas" w:hAnsi="Consolas"/>
      <w:sz w:val="21"/>
      <w:szCs w:val="21"/>
    </w:rPr>
  </w:style>
  <w:style w:type="character" w:customStyle="1" w:styleId="10">
    <w:name w:val="Text komentára Char"/>
    <w:basedOn w:val="2"/>
    <w:link w:val="6"/>
    <w:semiHidden/>
    <w:uiPriority w:val="99"/>
    <w:rPr>
      <w:sz w:val="20"/>
      <w:szCs w:val="20"/>
    </w:rPr>
  </w:style>
  <w:style w:type="character" w:customStyle="1" w:styleId="11">
    <w:name w:val="Predmet komentára Char"/>
    <w:basedOn w:val="10"/>
    <w:link w:val="7"/>
    <w:semiHidden/>
    <w:qFormat/>
    <w:uiPriority w:val="99"/>
    <w:rPr>
      <w:b/>
      <w:bCs/>
      <w:sz w:val="20"/>
      <w:szCs w:val="20"/>
    </w:rPr>
  </w:style>
  <w:style w:type="character" w:customStyle="1" w:styleId="12">
    <w:name w:val="Text bubliny Char"/>
    <w:basedOn w:val="2"/>
    <w:link w:val="4"/>
    <w:semiHidden/>
    <w:uiPriority w:val="99"/>
    <w:rPr>
      <w:rFonts w:ascii="Tahoma" w:hAnsi="Tahoma" w:cs="Tahoma"/>
      <w:sz w:val="16"/>
      <w:szCs w:val="16"/>
    </w:rPr>
  </w:style>
  <w:style w:type="paragraph" w:customStyle="1" w:styleId="13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 w:eastAsiaTheme="minorEastAsia"/>
      <w:color w:val="000000"/>
      <w:sz w:val="24"/>
      <w:szCs w:val="24"/>
      <w:lang w:val="sk-SK" w:eastAsia="sk-SK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2</Pages>
  <Words>474</Words>
  <Characters>2706</Characters>
  <Lines>22</Lines>
  <Paragraphs>6</Paragraphs>
  <TotalTime>265</TotalTime>
  <ScaleCrop>false</ScaleCrop>
  <LinksUpToDate>false</LinksUpToDate>
  <CharactersWithSpaces>3174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2018-06-27T14:10:00Z</dcterms:created>
  <dc:creator>cechova</dc:creator>
  <cp:lastModifiedBy>mfols</cp:lastModifiedBy>
  <cp:lastPrinted>2018-06-27T14:12:00Z</cp:lastPrinted>
  <dcterms:modified xsi:type="dcterms:W3CDTF">2026-03-27T09:02:34Z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86F91A4B2F834AE3835E073994991B76_13</vt:lpwstr>
  </property>
</Properties>
</file>