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2A3C19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Čl. I. </w:t>
      </w:r>
    </w:p>
    <w:p w14:paraId="7B508224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Všeobecné údaje</w:t>
      </w:r>
    </w:p>
    <w:p w14:paraId="5A9D910B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7791"/>
      </w:tblGrid>
      <w:tr w14:paraId="63AC7B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271" w:type="dxa"/>
          </w:tcPr>
          <w:p w14:paraId="69D23779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Mapové služby s.r.o.</w:t>
            </w:r>
          </w:p>
        </w:tc>
      </w:tr>
      <w:tr w14:paraId="2609B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</w:tcPr>
          <w:p w14:paraId="6B05C892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Jesenského 1314/5, 031 01 Liptovský Mikuláš</w:t>
            </w:r>
          </w:p>
        </w:tc>
      </w:tr>
      <w:tr w14:paraId="58474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</w:tcPr>
          <w:p w14:paraId="5E7ABEF2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 / DIČ :</w:t>
            </w:r>
          </w:p>
        </w:tc>
        <w:tc>
          <w:tcPr>
            <w:tcW w:w="7791" w:type="dxa"/>
          </w:tcPr>
          <w:p w14:paraId="25FC39EF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54 781 507 / 2121782333</w:t>
            </w:r>
          </w:p>
        </w:tc>
      </w:tr>
    </w:tbl>
    <w:p w14:paraId="429B8C0C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</w:t>
      </w:r>
    </w:p>
    <w:p w14:paraId="64587263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zmluvou.</w:t>
      </w:r>
    </w:p>
    <w:p w14:paraId="30292B7D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Obchodný register Okresného súdu Žilina, oddiel: Sro, vložka č. 80201/L</w:t>
      </w:r>
      <w:r>
        <w:rPr>
          <w:rFonts w:ascii="Times New Roman" w:hAnsi="Times New Roman" w:cs="Times New Roman"/>
        </w:rPr>
        <w:t>, dňa 30.07.2022 .</w:t>
      </w:r>
    </w:p>
    <w:p w14:paraId="367626FD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Spoločník a konateľ : </w:t>
      </w:r>
      <w:r>
        <w:rPr>
          <w:rFonts w:ascii="Times New Roman" w:hAnsi="Times New Roman" w:cs="Times New Roman"/>
        </w:rPr>
        <w:t xml:space="preserve"> </w:t>
      </w:r>
    </w:p>
    <w:p w14:paraId="084ACCF7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Ondrej Košťan                                           vklad     5 000 EUR</w:t>
      </w:r>
    </w:p>
    <w:p w14:paraId="4BF511D0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45EBA744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1236EF14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>
      <w:pPr>
        <w:pStyle w:val="7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2) Údaje o konsolidovanom celku </w:t>
      </w:r>
    </w:p>
    <w:p w14:paraId="7119F8FA">
      <w:pPr>
        <w:pStyle w:val="7"/>
        <w:contextualSpacing/>
        <w:rPr>
          <w:sz w:val="22"/>
          <w:szCs w:val="22"/>
        </w:rPr>
      </w:pPr>
      <w:r>
        <w:rPr>
          <w:sz w:val="22"/>
          <w:szCs w:val="22"/>
        </w:rPr>
        <w:t>Účtovná jednotka nie je súčasťou konsolidovaného celku</w:t>
      </w:r>
    </w:p>
    <w:p w14:paraId="0C7184C3">
      <w:pPr>
        <w:pStyle w:val="7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9FEDCB7">
      <w:pPr>
        <w:pStyle w:val="7"/>
        <w:contextualSpacing/>
        <w:rPr>
          <w:sz w:val="22"/>
          <w:szCs w:val="22"/>
        </w:rPr>
      </w:pPr>
      <w:r>
        <w:rPr>
          <w:b/>
          <w:sz w:val="22"/>
          <w:szCs w:val="22"/>
        </w:rPr>
        <w:t xml:space="preserve">3) Priemerný prepočítaný počet zamestnancov : </w:t>
      </w:r>
      <w:r>
        <w:rPr>
          <w:sz w:val="22"/>
          <w:szCs w:val="22"/>
        </w:rPr>
        <w:t>0</w:t>
      </w:r>
    </w:p>
    <w:p w14:paraId="41665B4E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>
      <w:pPr>
        <w:pStyle w:val="7"/>
        <w:contextualSpacing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Čl. II </w:t>
      </w:r>
    </w:p>
    <w:p w14:paraId="2EAE79E6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6"/>
        <w:tblpPr w:leftFromText="141" w:rightFromText="141" w:vertAnchor="text" w:horzAnchor="page" w:tblpX="7306" w:tblpY="30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</w:tblGrid>
      <w:tr w14:paraId="3B6B6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846" w:type="dxa"/>
          </w:tcPr>
          <w:p w14:paraId="768730E3">
            <w:pPr>
              <w:pStyle w:val="7"/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Áno</w:t>
            </w:r>
          </w:p>
        </w:tc>
      </w:tr>
    </w:tbl>
    <w:p w14:paraId="226DACA2">
      <w:pPr>
        <w:pStyle w:val="7"/>
        <w:contextualSpacing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>
      <w:pPr>
        <w:pStyle w:val="7"/>
        <w:contextualSpacing/>
        <w:rPr>
          <w:sz w:val="22"/>
          <w:szCs w:val="22"/>
        </w:rPr>
      </w:pPr>
    </w:p>
    <w:p w14:paraId="492C6125">
      <w:pPr>
        <w:pStyle w:val="7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(2) Spôsob oceňovania jednotlivých položiek majetku a záväzkov </w:t>
      </w:r>
    </w:p>
    <w:p w14:paraId="46979A90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>Spôsob oceňovania jednotlivých zložiek majetku a záväzkov</w:t>
      </w:r>
      <w:r>
        <w:rPr>
          <w:rFonts w:ascii="Times New Roman" w:hAnsi="Times New Roman" w:cs="Times New Roman"/>
        </w:rPr>
        <w:t xml:space="preserve"> :</w:t>
      </w:r>
    </w:p>
    <w:p w14:paraId="19FC1E9B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Podnik nakupoval v danom roku dlhodobý nehmotný majetok</w:t>
      </w:r>
      <w:r>
        <w:rPr>
          <w:rFonts w:ascii="Times New Roman" w:hAnsi="Times New Roman" w:cs="Times New Roman"/>
        </w:rPr>
        <w:t xml:space="preserve"> : [   ]  Áno          [  x ] Nie   </w:t>
      </w:r>
    </w:p>
    <w:p w14:paraId="3B3CCCA0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1) Dlhodobý nehmotný majetok nakupovaný,  podnik oceňoval obstarávacou cenou v zložení :            [   ] Obstarávacia cena vrátane nákladov súvisiacich s obstaraním v zložení</w:t>
      </w:r>
    </w:p>
    <w:p w14:paraId="2682F85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]doprava     [   ] provízie         [   ] poistné       [   ] clo</w:t>
      </w:r>
    </w:p>
    <w:p w14:paraId="097E99EC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Podnik tvoril vlastnou činnosťou dlhodobý nehmotný majetok</w:t>
      </w:r>
      <w:r>
        <w:rPr>
          <w:rFonts w:ascii="Times New Roman" w:hAnsi="Times New Roman" w:cs="Times New Roman"/>
        </w:rPr>
        <w:t xml:space="preserve"> : [   ]  Áno          [  x ] Nie   </w:t>
      </w:r>
    </w:p>
    <w:p w14:paraId="302CFA23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 priame náklady     [   ] nepriame náklady   [   ] inak :</w:t>
      </w:r>
    </w:p>
    <w:p w14:paraId="2A6CC6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>
        <w:rPr>
          <w:rFonts w:ascii="Times New Roman" w:hAnsi="Times New Roman" w:cs="Times New Roman"/>
        </w:rPr>
        <w:t xml:space="preserve">: [   ]  Áno          [  x ] Nie   </w:t>
      </w:r>
    </w:p>
    <w:p w14:paraId="1F5FA020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3) Dlhodobý hmotný majetok nakupovaný,  podnik oceňoval obstarávacou cenou v zložení :                 [   ] Obstarávacia cena vrátane nákladov súvisiacich s obstaraním v zložení</w:t>
      </w:r>
    </w:p>
    <w:p w14:paraId="328E9D87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243E1CD6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>
        <w:rPr>
          <w:rFonts w:ascii="Times New Roman" w:hAnsi="Times New Roman" w:cs="Times New Roman"/>
        </w:rPr>
        <w:t xml:space="preserve">: [   ]  Áno  [  x ] Nie   </w:t>
      </w:r>
    </w:p>
    <w:p w14:paraId="546E12D9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[   ]  priame náklady   </w:t>
      </w:r>
    </w:p>
    <w:p w14:paraId="3587BAE9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inak :</w:t>
      </w:r>
    </w:p>
    <w:p w14:paraId="14BF615C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Podnik v bežnom roku vlastnil cenné papiere</w:t>
      </w:r>
      <w:r>
        <w:rPr>
          <w:rFonts w:ascii="Times New Roman" w:hAnsi="Times New Roman" w:cs="Times New Roman"/>
        </w:rPr>
        <w:t xml:space="preserve"> : [   ]  Áno          [  x ] Nie   </w:t>
      </w:r>
    </w:p>
    <w:p w14:paraId="4B76AD87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5)Podiely na základnom imaní spoločnosti , cenné papiere a deriváty oceňoval :</w:t>
      </w:r>
    </w:p>
    <w:p w14:paraId="22EBE15F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obstarávacou cenou pri  nákupe a predaji</w:t>
      </w:r>
    </w:p>
    <w:p w14:paraId="4E31BE5F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[   ] inak : </w:t>
      </w:r>
    </w:p>
    <w:p w14:paraId="19FAF396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Podnik nakupoval zásoby</w:t>
      </w:r>
      <w:r>
        <w:rPr>
          <w:rFonts w:ascii="Times New Roman" w:hAnsi="Times New Roman" w:cs="Times New Roman"/>
        </w:rPr>
        <w:t xml:space="preserve"> : [   ]  Áno          [  x ] Nie   </w:t>
      </w:r>
    </w:p>
    <w:p w14:paraId="2A058986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Účtovanie obstarania a úbytku zásob .</w:t>
      </w:r>
    </w:p>
    <w:p w14:paraId="3179A0CA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[   ] spôsobom A účtovania zásob </w:t>
      </w:r>
    </w:p>
    <w:p w14:paraId="606348A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[   ] spôsobom B účtovania zásob </w:t>
      </w:r>
    </w:p>
    <w:p w14:paraId="5BE65281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Náklady súvisiace s obstaraním zásob </w:t>
      </w:r>
    </w:p>
    <w:p w14:paraId="749179C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VON</w:t>
      </w:r>
    </w:p>
    <w:p w14:paraId="39E4CB67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------------------------------------------ x výdaj zo skladu</w:t>
      </w:r>
    </w:p>
    <w:p w14:paraId="195C100D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PS zásob + príjem na sklad</w:t>
      </w:r>
    </w:p>
    <w:p w14:paraId="7BE090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Popis :</w:t>
      </w:r>
    </w:p>
    <w:p w14:paraId="78D38A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 tiež ) . Pri vyskladnení sa táto odchýlka rozpúšťala do nákladov predaných zásob spôsobom záväzne stanoveným podnikom podľa popisu :</w:t>
      </w:r>
    </w:p>
    <w:p w14:paraId="6663F8E6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vyskladnení zásob sa používal </w:t>
      </w:r>
    </w:p>
    <w:p w14:paraId="7E9B0A48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4EB278ED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iný spôsob :</w:t>
      </w:r>
    </w:p>
    <w:p w14:paraId="2FD5EC46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Podnik v bežnom roku tvoril zásoby vlastnou činnosťou</w:t>
      </w:r>
      <w:r>
        <w:rPr>
          <w:rFonts w:ascii="Times New Roman" w:hAnsi="Times New Roman" w:cs="Times New Roman"/>
        </w:rPr>
        <w:t xml:space="preserve">: [   ]  Áno  [  x ] Nie   </w:t>
      </w:r>
    </w:p>
    <w:p w14:paraId="77F97A6A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[   ]  podľa skutočnej výšky nákladov , v zložení </w:t>
      </w:r>
    </w:p>
    <w:p w14:paraId="22E9211D">
      <w:pPr>
        <w:pStyle w:val="8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priame náklady   </w:t>
      </w:r>
    </w:p>
    <w:p w14:paraId="64A80D21">
      <w:pPr>
        <w:pStyle w:val="8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>
        <w:rPr>
          <w:rFonts w:ascii="Times New Roman" w:hAnsi="Times New Roman" w:cs="Times New Roman"/>
        </w:rPr>
        <w:t xml:space="preserve"> :   [ x  ]  Áno  [  ] Nie  </w:t>
      </w:r>
    </w:p>
    <w:p w14:paraId="65C89737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>
      <w:pPr>
        <w:pStyle w:val="7"/>
        <w:contextualSpacing/>
        <w:rPr>
          <w:sz w:val="22"/>
          <w:szCs w:val="22"/>
        </w:rPr>
      </w:pPr>
    </w:p>
    <w:p w14:paraId="648CE0A2">
      <w:pPr>
        <w:pStyle w:val="7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>
      <w:pPr>
        <w:pStyle w:val="7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Spôsob zostavenia odpisového plánu dlhodobého majetku </w:t>
      </w:r>
    </w:p>
    <w:p w14:paraId="135EFE6D">
      <w:pPr>
        <w:pStyle w:val="7"/>
        <w:contextualSpacing/>
        <w:rPr>
          <w:sz w:val="22"/>
          <w:szCs w:val="22"/>
        </w:rPr>
      </w:pPr>
      <w:r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>
      <w:pPr>
        <w:pStyle w:val="7"/>
        <w:contextualSpacing/>
        <w:rPr>
          <w:sz w:val="22"/>
          <w:szCs w:val="22"/>
        </w:rPr>
      </w:pPr>
      <w:r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>
        <w:rPr>
          <w:sz w:val="22"/>
          <w:szCs w:val="22"/>
        </w:rPr>
        <w:t xml:space="preserve">a </w:t>
      </w:r>
    </w:p>
    <w:p w14:paraId="1E1E714A">
      <w:pPr>
        <w:pStyle w:val="7"/>
        <w:contextualSpacing/>
        <w:rPr>
          <w:sz w:val="22"/>
          <w:szCs w:val="22"/>
        </w:rPr>
      </w:pPr>
    </w:p>
    <w:p w14:paraId="10ECF568">
      <w:pPr>
        <w:pStyle w:val="7"/>
        <w:contextualSpacing/>
        <w:rPr>
          <w:sz w:val="22"/>
          <w:szCs w:val="22"/>
        </w:rPr>
      </w:pPr>
    </w:p>
    <w:p w14:paraId="6D8F623B">
      <w:pPr>
        <w:pStyle w:val="7"/>
        <w:contextualSpacing/>
        <w:rPr>
          <w:sz w:val="22"/>
          <w:szCs w:val="22"/>
        </w:rPr>
      </w:pPr>
    </w:p>
    <w:p w14:paraId="30B86E44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Nehmotný majetok odpisuje účtovná jednotka počas predpokladanej doby používania zodpovedajúcej spotrebe budúcich ekonomických úžitkov z majetku .</w:t>
      </w:r>
    </w:p>
    <w:p w14:paraId="2E6AF1D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[   ] Odpisový plán bol ovplyvnený týmito rozhodnutiami :</w:t>
      </w:r>
    </w:p>
    <w:p w14:paraId="780A8670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>
      <w:pPr>
        <w:pStyle w:val="7"/>
        <w:contextualSpacing/>
        <w:rPr>
          <w:sz w:val="22"/>
          <w:szCs w:val="22"/>
        </w:rPr>
      </w:pPr>
    </w:p>
    <w:p w14:paraId="68F2193B">
      <w:pPr>
        <w:pStyle w:val="7"/>
        <w:contextualSpacing/>
        <w:rPr>
          <w:sz w:val="22"/>
          <w:szCs w:val="22"/>
        </w:rPr>
      </w:pPr>
    </w:p>
    <w:p w14:paraId="2ABEE2AC">
      <w:pPr>
        <w:pStyle w:val="7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>
      <w:pPr>
        <w:pStyle w:val="7"/>
        <w:contextualSpacing/>
        <w:rPr>
          <w:b/>
          <w:sz w:val="22"/>
          <w:szCs w:val="22"/>
        </w:rPr>
      </w:pPr>
    </w:p>
    <w:p w14:paraId="4C78AC65">
      <w:pPr>
        <w:pStyle w:val="7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>
      <w:pPr>
        <w:pStyle w:val="7"/>
        <w:contextualSpacing/>
        <w:rPr>
          <w:b/>
          <w:sz w:val="22"/>
          <w:szCs w:val="22"/>
        </w:rPr>
      </w:pPr>
    </w:p>
    <w:tbl>
      <w:tblPr>
        <w:tblStyle w:val="3"/>
        <w:tblW w:w="6900" w:type="dxa"/>
        <w:tblInd w:w="0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100"/>
        <w:gridCol w:w="1380"/>
        <w:gridCol w:w="960"/>
        <w:gridCol w:w="960"/>
        <w:gridCol w:w="1160"/>
        <w:gridCol w:w="1340"/>
      </w:tblGrid>
      <w:tr w14:paraId="47ABD4E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30" w:hRule="atLeast"/>
        </w:trPr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3B930B3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28DF95A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BA3BF9F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3FB0D01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12EBBD3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8E86D09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14:paraId="18EC23A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5" w:hRule="atLeast"/>
        </w:trPr>
        <w:tc>
          <w:tcPr>
            <w:tcW w:w="11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61270B7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7AE011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0F2BFE0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BB7A3BA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F110EFB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C7894AA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výsledok</w:t>
            </w:r>
          </w:p>
        </w:tc>
      </w:tr>
      <w:tr w14:paraId="42F2149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1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620E56F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70EA167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752AA3B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9599404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C903D96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4977F0F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</w:tr>
      <w:tr w14:paraId="30F5F43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1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C0C3919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BF74AEC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9022D94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39B6B8C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C79991A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FF3399B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</w:tr>
      <w:tr w14:paraId="6E8B4E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1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6A75E43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DD82095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766D1B7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E882E4D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9650B20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468AB94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</w:tr>
      <w:tr w14:paraId="5992BCA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1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153D4FE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81F0D22">
            <w:pPr>
              <w:spacing w:after="0" w:line="240" w:lineRule="auto"/>
              <w:contextualSpacing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A47AABE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A6E0940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A65A800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8EAFA58">
            <w:pPr>
              <w:spacing w:after="0" w:line="240" w:lineRule="auto"/>
              <w:contextualSpacing/>
              <w:jc w:val="right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31"/>
        <w:gridCol w:w="4531"/>
      </w:tblGrid>
      <w:tr w14:paraId="54282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1" w:type="dxa"/>
          </w:tcPr>
          <w:p w14:paraId="5BAEF223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14:paraId="7FCA4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1" w:type="dxa"/>
          </w:tcPr>
          <w:p w14:paraId="23C53DF3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27F018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1" w:type="dxa"/>
          </w:tcPr>
          <w:p w14:paraId="0F20BA4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796C91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1" w:type="dxa"/>
          </w:tcPr>
          <w:p w14:paraId="40D5B83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3DD5A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1" w:type="dxa"/>
          </w:tcPr>
          <w:p w14:paraId="551E749D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2"/>
        <w:gridCol w:w="1812"/>
        <w:gridCol w:w="1812"/>
        <w:gridCol w:w="1813"/>
        <w:gridCol w:w="1813"/>
      </w:tblGrid>
      <w:tr w14:paraId="194310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</w:tcPr>
          <w:p w14:paraId="6114261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14:paraId="77159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</w:tcPr>
          <w:p w14:paraId="3CEA5243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56943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</w:tcPr>
          <w:p w14:paraId="1379E06A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0D8C9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</w:tcPr>
          <w:p w14:paraId="0F31D6CA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244D7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</w:tcPr>
          <w:p w14:paraId="64E4EB64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27C0C6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</w:tcPr>
          <w:p w14:paraId="4BE57033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2"/>
      </w:tblGrid>
      <w:tr w14:paraId="149234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62" w:type="dxa"/>
          </w:tcPr>
          <w:p w14:paraId="12029DB3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  <w:p w14:paraId="0B7897FD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  <w:p w14:paraId="2C6B6CD9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  <w:p w14:paraId="303B938E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  <w:p w14:paraId="78987670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  <w:p w14:paraId="0C04AE50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  <w:p w14:paraId="2A9FDDD9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  <w:p w14:paraId="520E9CCE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  <w:p w14:paraId="15A275E9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2) Informácie o záväzkoch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25"/>
        <w:gridCol w:w="1837"/>
      </w:tblGrid>
      <w:tr w14:paraId="790110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25" w:type="dxa"/>
          </w:tcPr>
          <w:p w14:paraId="390B99CE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3BDEAA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25" w:type="dxa"/>
          </w:tcPr>
          <w:p w14:paraId="38E92EE9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2"/>
      </w:tblGrid>
      <w:tr w14:paraId="70871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2" w:type="dxa"/>
          </w:tcPr>
          <w:p w14:paraId="6B1496BB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3) Informácie o vlastných akciách</w:t>
      </w:r>
    </w:p>
    <w:p w14:paraId="1E81DD60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a)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4"/>
        <w:gridCol w:w="5948"/>
      </w:tblGrid>
      <w:tr w14:paraId="22B5E8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</w:tcPr>
          <w:p w14:paraId="77167B12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b.1 )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9"/>
        <w:gridCol w:w="1510"/>
        <w:gridCol w:w="1511"/>
        <w:gridCol w:w="1510"/>
        <w:gridCol w:w="1511"/>
        <w:gridCol w:w="1511"/>
      </w:tblGrid>
      <w:tr w14:paraId="19DAB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0" w:type="dxa"/>
            <w:gridSpan w:val="3"/>
          </w:tcPr>
          <w:p w14:paraId="581106B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14:paraId="76F1D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9" w:type="dxa"/>
          </w:tcPr>
          <w:p w14:paraId="761ECD38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6B3DB8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14:paraId="16A21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9" w:type="dxa"/>
          </w:tcPr>
          <w:p w14:paraId="35F126D3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F6B30E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355F2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9" w:type="dxa"/>
          </w:tcPr>
          <w:p w14:paraId="63F5ACAC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7E970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9" w:type="dxa"/>
          </w:tcPr>
          <w:p w14:paraId="1F3380E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b.2)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2266"/>
        <w:gridCol w:w="2266"/>
        <w:gridCol w:w="2266"/>
      </w:tblGrid>
      <w:tr w14:paraId="730A6B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31" w:type="dxa"/>
            <w:gridSpan w:val="2"/>
          </w:tcPr>
          <w:p w14:paraId="252A5E9D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14:paraId="28254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 w14:paraId="71BE44D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14:paraId="446C9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 w14:paraId="3A5512E3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40177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 w14:paraId="15637F53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2E595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 w14:paraId="5EB23E02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  <w:b/>
        </w:rPr>
        <w:t>c)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2410"/>
        <w:gridCol w:w="2693"/>
        <w:gridCol w:w="2546"/>
      </w:tblGrid>
      <w:tr w14:paraId="7C11C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2" w:type="dxa"/>
            <w:gridSpan w:val="4"/>
          </w:tcPr>
          <w:p w14:paraId="390125B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14:paraId="11BF3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3" w:type="dxa"/>
          </w:tcPr>
          <w:p w14:paraId="50ADA5C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14:paraId="38C74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3" w:type="dxa"/>
          </w:tcPr>
          <w:p w14:paraId="70DF519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5D2C0A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3" w:type="dxa"/>
          </w:tcPr>
          <w:p w14:paraId="4F40420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7C3855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3" w:type="dxa"/>
          </w:tcPr>
          <w:p w14:paraId="7D99E59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14:paraId="34C71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</w:tcPr>
          <w:p w14:paraId="6C78B944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color="auto" w:sz="4" w:space="0"/>
            </w:tcBorders>
          </w:tcPr>
          <w:p w14:paraId="6E685D10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14:paraId="2BD00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</w:tcPr>
          <w:p w14:paraId="54AEE8E0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color="auto" w:sz="4" w:space="0"/>
            </w:tcBorders>
          </w:tcPr>
          <w:p w14:paraId="5528CAF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14:paraId="4D143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6346F92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04A91C4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14:paraId="46091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  <w:tcBorders>
              <w:top w:val="single" w:color="auto" w:sz="4" w:space="0"/>
            </w:tcBorders>
          </w:tcPr>
          <w:p w14:paraId="1A9EDAFE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697A14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</w:tcPr>
          <w:p w14:paraId="6635C29D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7A807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</w:tcPr>
          <w:p w14:paraId="0B68DA53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4D37D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</w:tcPr>
          <w:p w14:paraId="2EB8D828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použitých finančných prostriedkov alebo iné plnenie na súkr. účely</w:t>
            </w:r>
          </w:p>
        </w:tc>
        <w:tc>
          <w:tcPr>
            <w:tcW w:w="1276" w:type="dxa"/>
          </w:tcPr>
          <w:p w14:paraId="0449326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14:paraId="27DAAC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3" w:type="dxa"/>
          </w:tcPr>
          <w:p w14:paraId="71C2E4F4">
            <w:p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2"/>
      </w:tblGrid>
      <w:tr w14:paraId="5BF9B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2" w:type="dxa"/>
          </w:tcPr>
          <w:p w14:paraId="36B4C821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>
      <w:pPr>
        <w:pStyle w:val="7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5) Informácie o povinnostiach účtovnej jednotky </w:t>
      </w:r>
    </w:p>
    <w:p w14:paraId="2EF20D0D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 xml:space="preserve">a) celková suma finančných povinností, ktoré sa nevykazujú v súvahe, ale sú významné na posúdenie finančnej situácie 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2"/>
      </w:tblGrid>
      <w:tr w14:paraId="02446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2" w:type="dxa"/>
          </w:tcPr>
          <w:p w14:paraId="6205B2CA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2"/>
      </w:tblGrid>
      <w:tr w14:paraId="4508CB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62" w:type="dxa"/>
          </w:tcPr>
          <w:p w14:paraId="7D58BDBF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2"/>
      </w:tblGrid>
      <w:tr w14:paraId="62DB21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2" w:type="dxa"/>
          </w:tcPr>
          <w:p w14:paraId="2C7CA064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2"/>
      </w:tblGrid>
      <w:tr w14:paraId="0D9DF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2" w:type="dxa"/>
          </w:tcPr>
          <w:p w14:paraId="26335DB0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2"/>
      </w:tblGrid>
      <w:tr w14:paraId="479D1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62" w:type="dxa"/>
          </w:tcPr>
          <w:p w14:paraId="2188041D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(6) </w:t>
      </w:r>
      <w:r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2"/>
      </w:tblGrid>
      <w:tr w14:paraId="5358A7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2" w:type="dxa"/>
          </w:tcPr>
          <w:p w14:paraId="1EFB6D18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A357AC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673674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Liptovskom Mikuláši </w:t>
      </w:r>
      <w:r>
        <w:rPr>
          <w:rFonts w:hint="default" w:ascii="Times New Roman" w:hAnsi="Times New Roman" w:cs="Times New Roman"/>
          <w:b/>
          <w:lang w:val="sk-SK"/>
        </w:rPr>
        <w:t xml:space="preserve">                                  </w:t>
      </w:r>
      <w:bookmarkStart w:id="0" w:name="_GoBack"/>
      <w:bookmarkEnd w:id="0"/>
      <w:r>
        <w:rPr>
          <w:rFonts w:ascii="Times New Roman" w:hAnsi="Times New Roman" w:cs="Times New Roman"/>
          <w:b/>
        </w:rPr>
        <w:t xml:space="preserve">                           Ondrej Košťan</w:t>
      </w:r>
    </w:p>
    <w:p w14:paraId="3CA0D93B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Konateľ spoločnosti</w:t>
      </w:r>
    </w:p>
    <w:sectPr>
      <w:headerReference r:id="rId5" w:type="default"/>
      <w:footerReference r:id="rId6" w:type="default"/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15365227"/>
      <w:docPartObj>
        <w:docPartGallery w:val="AutoText"/>
      </w:docPartObj>
    </w:sdtPr>
    <w:sdtContent>
      <w:p w14:paraId="47CE1A41">
        <w:pPr>
          <w:pStyle w:val="4"/>
          <w:jc w:val="right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 w14:paraId="48D208C7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E9EC48">
    <w:pPr>
      <w:pStyle w:val="5"/>
    </w:pPr>
    <w:r>
      <w:t>Mapové služby s.r.o. , DIČ: 2121782333, IČO: 54 781 507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07F423C"/>
    <w:multiLevelType w:val="multilevel"/>
    <w:tmpl w:val="307F423C"/>
    <w:lvl w:ilvl="0" w:tentative="0">
      <w:start w:val="7"/>
      <w:numFmt w:val="bullet"/>
      <w:lvlText w:val="-"/>
      <w:lvlJc w:val="left"/>
      <w:pPr>
        <w:ind w:left="720" w:hanging="360"/>
      </w:pPr>
      <w:rPr>
        <w:rFonts w:hint="default" w:ascii="Times New Roman" w:hAnsi="Times New Roman" w:cs="Times New Roman" w:eastAsiaTheme="minorHAnsi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54BE0"/>
    <w:rsid w:val="002B756A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977AD6"/>
    <w:rsid w:val="009F72C2"/>
    <w:rsid w:val="00A04361"/>
    <w:rsid w:val="00A65F5F"/>
    <w:rsid w:val="00AD06D0"/>
    <w:rsid w:val="00AD1668"/>
    <w:rsid w:val="00B0701A"/>
    <w:rsid w:val="00B12493"/>
    <w:rsid w:val="00B43D13"/>
    <w:rsid w:val="00B92F2C"/>
    <w:rsid w:val="00BB70F7"/>
    <w:rsid w:val="00C16663"/>
    <w:rsid w:val="00C61570"/>
    <w:rsid w:val="00D26E93"/>
    <w:rsid w:val="00D53563"/>
    <w:rsid w:val="00D837FF"/>
    <w:rsid w:val="00DC6C57"/>
    <w:rsid w:val="00E20FF2"/>
    <w:rsid w:val="00E2279E"/>
    <w:rsid w:val="00E442E1"/>
    <w:rsid w:val="00E5124E"/>
    <w:rsid w:val="00E939C3"/>
    <w:rsid w:val="00F36A53"/>
    <w:rsid w:val="00F5226C"/>
    <w:rsid w:val="00F64048"/>
    <w:rsid w:val="00F836B8"/>
    <w:rsid w:val="00FA7592"/>
    <w:rsid w:val="00FE4792"/>
    <w:rsid w:val="53DD3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0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9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HAnsi"/>
      <w:color w:val="000000"/>
      <w:sz w:val="24"/>
      <w:szCs w:val="24"/>
      <w:lang w:val="sk-SK" w:eastAsia="en-US" w:bidi="ar-SA"/>
    </w:rPr>
  </w:style>
  <w:style w:type="paragraph" w:styleId="8">
    <w:name w:val="List Paragraph"/>
    <w:basedOn w:val="1"/>
    <w:qFormat/>
    <w:uiPriority w:val="34"/>
    <w:pPr>
      <w:ind w:left="720"/>
      <w:contextualSpacing/>
    </w:pPr>
  </w:style>
  <w:style w:type="character" w:customStyle="1" w:styleId="9">
    <w:name w:val="Hlavička Char"/>
    <w:basedOn w:val="2"/>
    <w:link w:val="5"/>
    <w:uiPriority w:val="99"/>
  </w:style>
  <w:style w:type="character" w:customStyle="1" w:styleId="10">
    <w:name w:val="Päta Char"/>
    <w:basedOn w:val="2"/>
    <w:link w:val="4"/>
    <w:uiPriority w:val="99"/>
  </w:style>
  <w:style w:type="character" w:customStyle="1" w:styleId="11">
    <w:name w:val="ra"/>
    <w:basedOn w:val="2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1539</Words>
  <Characters>8778</Characters>
  <Lines>73</Lines>
  <Paragraphs>20</Paragraphs>
  <TotalTime>436</TotalTime>
  <ScaleCrop>false</ScaleCrop>
  <LinksUpToDate>false</LinksUpToDate>
  <CharactersWithSpaces>10297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2017-03-09T21:27:00Z</dcterms:created>
  <dc:creator>Admin</dc:creator>
  <cp:lastModifiedBy>Uživatel</cp:lastModifiedBy>
  <dcterms:modified xsi:type="dcterms:W3CDTF">2026-03-26T20:31:51Z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3E02D84844FA4A6F82CC6AB2013DBFCF_12</vt:lpwstr>
  </property>
</Properties>
</file>