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221E47" w14:textId="77777777" w:rsidR="002A456E" w:rsidRPr="00E55FF4" w:rsidRDefault="00000000">
      <w:pPr>
        <w:pStyle w:val="Nadpis1"/>
        <w:rPr>
          <w:color w:val="auto"/>
        </w:rPr>
      </w:pPr>
      <w:bookmarkStart w:id="0" w:name="poznámky-k-účtovnej-závierke"/>
      <w:r w:rsidRPr="00E55FF4">
        <w:rPr>
          <w:color w:val="auto"/>
        </w:rPr>
        <w:t>POZNÁMKY K ÚČTOVNEJ ZÁVIERKE</w:t>
      </w:r>
    </w:p>
    <w:p w14:paraId="75F07A68" w14:textId="77777777" w:rsidR="002A456E" w:rsidRPr="00E55FF4" w:rsidRDefault="00000000">
      <w:pPr>
        <w:pStyle w:val="FirstParagraph"/>
      </w:pPr>
      <w:r w:rsidRPr="00E55FF4">
        <w:t>k 31.12.2024</w:t>
      </w:r>
    </w:p>
    <w:p w14:paraId="2594E836" w14:textId="77777777" w:rsidR="002A456E" w:rsidRPr="00E55FF4" w:rsidRDefault="00000000">
      <w:pPr>
        <w:pStyle w:val="Nadpis2"/>
        <w:rPr>
          <w:color w:val="auto"/>
        </w:rPr>
      </w:pPr>
      <w:bookmarkStart w:id="1" w:name="i.-všeobecné-údaje"/>
      <w:r w:rsidRPr="00E55FF4">
        <w:rPr>
          <w:color w:val="auto"/>
        </w:rPr>
        <w:t>I. Všeobecné údaje</w:t>
      </w:r>
    </w:p>
    <w:p w14:paraId="5C9D1FFB" w14:textId="77777777" w:rsidR="002A456E" w:rsidRPr="00E55FF4" w:rsidRDefault="00000000">
      <w:pPr>
        <w:pStyle w:val="FirstParagraph"/>
      </w:pPr>
      <w:r w:rsidRPr="00E55FF4">
        <w:t>Obchodné meno: Ernex Consult s.r.o. Sídlo: Mošteníkova 528/49, 017 01 Považská Bystrica IČO: 47 530 201 DIČ: 2024035684</w:t>
      </w:r>
    </w:p>
    <w:p w14:paraId="12E0BB26" w14:textId="77777777" w:rsidR="002A456E" w:rsidRPr="00E55FF4" w:rsidRDefault="00000000">
      <w:pPr>
        <w:pStyle w:val="Zkladntext"/>
      </w:pPr>
      <w:r w:rsidRPr="00E55FF4">
        <w:t>Účtovná jednotka nie je súčasťou konsolidovaného celku.</w:t>
      </w:r>
    </w:p>
    <w:p w14:paraId="527867E9" w14:textId="77777777" w:rsidR="002A456E" w:rsidRPr="00E55FF4" w:rsidRDefault="00000000">
      <w:pPr>
        <w:pStyle w:val="Zkladntext"/>
      </w:pPr>
      <w:r w:rsidRPr="00E55FF4">
        <w:t>Účtovná jednotka nie je neobmedzene ručiacim spoločníkom v iných účtovných jednotkách.</w:t>
      </w:r>
    </w:p>
    <w:p w14:paraId="70373DF1" w14:textId="77777777" w:rsidR="002A456E" w:rsidRPr="00E55FF4" w:rsidRDefault="00000000">
      <w:pPr>
        <w:pStyle w:val="Zkladntext"/>
      </w:pPr>
      <w:r w:rsidRPr="00E55FF4">
        <w:t>Účtovná závierka bola zostavená ako riadna k 31.12.2024.</w:t>
      </w:r>
    </w:p>
    <w:p w14:paraId="125040C3" w14:textId="77777777" w:rsidR="002A456E" w:rsidRPr="00E55FF4" w:rsidRDefault="00000000">
      <w:r w:rsidRPr="00E55FF4">
        <w:pict w14:anchorId="35EA3850">
          <v:rect id="_x0000_i1025" style="width:0;height:1.5pt" o:hralign="center" o:hrstd="t" o:hr="t"/>
        </w:pict>
      </w:r>
    </w:p>
    <w:p w14:paraId="2BD13635" w14:textId="77777777" w:rsidR="002A456E" w:rsidRPr="00E55FF4" w:rsidRDefault="00000000">
      <w:pPr>
        <w:pStyle w:val="Nadpis2"/>
        <w:rPr>
          <w:color w:val="auto"/>
        </w:rPr>
      </w:pPr>
      <w:bookmarkStart w:id="2" w:name="X0774073df4ee1e2beb18f34f7b473783534201a"/>
      <w:bookmarkEnd w:id="1"/>
      <w:r w:rsidRPr="00E55FF4">
        <w:rPr>
          <w:color w:val="auto"/>
        </w:rPr>
        <w:t>II. Informácie o účtovných zásadách a účtovných metódach</w:t>
      </w:r>
    </w:p>
    <w:p w14:paraId="14196008" w14:textId="77777777" w:rsidR="002A456E" w:rsidRPr="00E55FF4" w:rsidRDefault="00000000">
      <w:pPr>
        <w:pStyle w:val="FirstParagraph"/>
      </w:pPr>
      <w:r w:rsidRPr="00E55FF4">
        <w:t>Účtovná jednotka vedie účtovníctvo v sústave podvojného účtovníctva.</w:t>
      </w:r>
    </w:p>
    <w:p w14:paraId="2C85BF0A" w14:textId="77777777" w:rsidR="002A456E" w:rsidRPr="00E55FF4" w:rsidRDefault="00000000">
      <w:pPr>
        <w:pStyle w:val="Zkladntext"/>
      </w:pPr>
      <w:r w:rsidRPr="00E55FF4">
        <w:t>Účtovná závierka bola zostavená za predpokladu nepretržitého pokračovania činnosti.</w:t>
      </w:r>
    </w:p>
    <w:p w14:paraId="21FEBBF3" w14:textId="77777777" w:rsidR="002A456E" w:rsidRPr="00E55FF4" w:rsidRDefault="00000000">
      <w:pPr>
        <w:pStyle w:val="Nadpis3"/>
        <w:rPr>
          <w:color w:val="auto"/>
        </w:rPr>
      </w:pPr>
      <w:bookmarkStart w:id="3" w:name="dlhodobý-majetok"/>
      <w:r w:rsidRPr="00E55FF4">
        <w:rPr>
          <w:color w:val="auto"/>
        </w:rPr>
        <w:t>Dlhodobý majetok</w:t>
      </w:r>
    </w:p>
    <w:p w14:paraId="447D2089" w14:textId="77777777" w:rsidR="002A456E" w:rsidRPr="00E55FF4" w:rsidRDefault="00000000">
      <w:pPr>
        <w:pStyle w:val="FirstParagraph"/>
      </w:pPr>
      <w:r w:rsidRPr="00E55FF4">
        <w:t>Dlhodobý hmotný majetok je oceňovaný obstarávacou cenou. Oprávky k dlhodobému majetku sú účtované rovnomerne počas doby jeho použiteľnosti.</w:t>
      </w:r>
    </w:p>
    <w:p w14:paraId="0F55F7A5" w14:textId="77777777" w:rsidR="002A456E" w:rsidRPr="00E55FF4" w:rsidRDefault="00000000">
      <w:pPr>
        <w:pStyle w:val="Nadpis3"/>
        <w:rPr>
          <w:color w:val="auto"/>
        </w:rPr>
      </w:pPr>
      <w:bookmarkStart w:id="4" w:name="pohľadávky"/>
      <w:bookmarkEnd w:id="3"/>
      <w:r w:rsidRPr="00E55FF4">
        <w:rPr>
          <w:color w:val="auto"/>
        </w:rPr>
        <w:t>Pohľadávky</w:t>
      </w:r>
    </w:p>
    <w:p w14:paraId="700A408B" w14:textId="77777777" w:rsidR="002A456E" w:rsidRPr="00E55FF4" w:rsidRDefault="00000000">
      <w:pPr>
        <w:pStyle w:val="FirstParagraph"/>
      </w:pPr>
      <w:r w:rsidRPr="00E55FF4">
        <w:t>Pohľadávky sú oceňované menovitou hodnotou.</w:t>
      </w:r>
    </w:p>
    <w:p w14:paraId="545AF8E6" w14:textId="77777777" w:rsidR="002A456E" w:rsidRPr="00E55FF4" w:rsidRDefault="00000000">
      <w:pPr>
        <w:pStyle w:val="Nadpis3"/>
        <w:rPr>
          <w:color w:val="auto"/>
        </w:rPr>
      </w:pPr>
      <w:bookmarkStart w:id="5" w:name="záväzky"/>
      <w:bookmarkEnd w:id="4"/>
      <w:r w:rsidRPr="00E55FF4">
        <w:rPr>
          <w:color w:val="auto"/>
        </w:rPr>
        <w:t>Záväzky</w:t>
      </w:r>
    </w:p>
    <w:p w14:paraId="410B78AE" w14:textId="77777777" w:rsidR="002A456E" w:rsidRPr="00E55FF4" w:rsidRDefault="00000000">
      <w:pPr>
        <w:pStyle w:val="FirstParagraph"/>
      </w:pPr>
      <w:r w:rsidRPr="00E55FF4">
        <w:t>Záväzky sú oceňované menovitou hodnotou.</w:t>
      </w:r>
    </w:p>
    <w:p w14:paraId="70217EFA" w14:textId="77777777" w:rsidR="002A456E" w:rsidRPr="00E55FF4" w:rsidRDefault="00000000">
      <w:pPr>
        <w:pStyle w:val="Nadpis3"/>
        <w:rPr>
          <w:color w:val="auto"/>
        </w:rPr>
      </w:pPr>
      <w:bookmarkStart w:id="6" w:name="peňažné-prostriedky"/>
      <w:bookmarkEnd w:id="5"/>
      <w:r w:rsidRPr="00E55FF4">
        <w:rPr>
          <w:color w:val="auto"/>
        </w:rPr>
        <w:t>Peňažné prostriedky</w:t>
      </w:r>
    </w:p>
    <w:p w14:paraId="50113FDF" w14:textId="77777777" w:rsidR="002A456E" w:rsidRPr="00E55FF4" w:rsidRDefault="00000000">
      <w:pPr>
        <w:pStyle w:val="FirstParagraph"/>
      </w:pPr>
      <w:r w:rsidRPr="00E55FF4">
        <w:t>Peňažné prostriedky sa oceňujú menovitou hodnotou.</w:t>
      </w:r>
    </w:p>
    <w:p w14:paraId="40CC1C03" w14:textId="77777777" w:rsidR="002A456E" w:rsidRPr="00E55FF4" w:rsidRDefault="00000000">
      <w:pPr>
        <w:pStyle w:val="Nadpis3"/>
        <w:rPr>
          <w:color w:val="auto"/>
        </w:rPr>
      </w:pPr>
      <w:bookmarkStart w:id="7" w:name="výnosy-a-náklady"/>
      <w:bookmarkEnd w:id="6"/>
      <w:r w:rsidRPr="00E55FF4">
        <w:rPr>
          <w:color w:val="auto"/>
        </w:rPr>
        <w:t>Výnosy a náklady</w:t>
      </w:r>
    </w:p>
    <w:p w14:paraId="715B7C4C" w14:textId="77777777" w:rsidR="002A456E" w:rsidRPr="00E55FF4" w:rsidRDefault="00000000">
      <w:pPr>
        <w:pStyle w:val="FirstParagraph"/>
      </w:pPr>
      <w:r w:rsidRPr="00E55FF4">
        <w:t>Výnosy a náklady sú účtované v období, s ktorým časovo a vecne súvisia.</w:t>
      </w:r>
    </w:p>
    <w:p w14:paraId="5DBC6E50" w14:textId="77777777" w:rsidR="002A456E" w:rsidRPr="00E55FF4" w:rsidRDefault="00000000">
      <w:r w:rsidRPr="00E55FF4">
        <w:pict w14:anchorId="757F2648">
          <v:rect id="_x0000_i1026" style="width:0;height:1.5pt" o:hralign="center" o:hrstd="t" o:hr="t"/>
        </w:pict>
      </w:r>
    </w:p>
    <w:p w14:paraId="20E0D2E6" w14:textId="77777777" w:rsidR="002A456E" w:rsidRPr="00E55FF4" w:rsidRDefault="00000000">
      <w:pPr>
        <w:pStyle w:val="Nadpis2"/>
        <w:rPr>
          <w:color w:val="auto"/>
        </w:rPr>
      </w:pPr>
      <w:bookmarkStart w:id="8" w:name="Xadd313fc5910bc649b83d3ce682a0b738bad1b9"/>
      <w:bookmarkEnd w:id="2"/>
      <w:bookmarkEnd w:id="7"/>
      <w:r w:rsidRPr="00E55FF4">
        <w:rPr>
          <w:color w:val="auto"/>
        </w:rPr>
        <w:lastRenderedPageBreak/>
        <w:t>III. Informácie o údajoch na strane aktív súvahy</w:t>
      </w:r>
    </w:p>
    <w:p w14:paraId="6C07813E" w14:textId="77777777" w:rsidR="002A456E" w:rsidRPr="00E55FF4" w:rsidRDefault="00000000">
      <w:pPr>
        <w:pStyle w:val="Nadpis3"/>
        <w:rPr>
          <w:color w:val="auto"/>
        </w:rPr>
      </w:pPr>
      <w:bookmarkStart w:id="9" w:name="dlhodobý-hmotný-majetok"/>
      <w:r w:rsidRPr="00E55FF4">
        <w:rPr>
          <w:color w:val="auto"/>
        </w:rPr>
        <w:t>Dlhodobý hmotný majetok</w:t>
      </w:r>
    </w:p>
    <w:p w14:paraId="76F6107F" w14:textId="77777777" w:rsidR="002A456E" w:rsidRPr="00E55FF4" w:rsidRDefault="00000000">
      <w:pPr>
        <w:pStyle w:val="FirstParagraph"/>
      </w:pPr>
      <w:r w:rsidRPr="00E55FF4">
        <w:t>Účtovná jednotka eviduje dlhodobý hmotný majetok vo forme motorového vozidla.</w:t>
      </w:r>
    </w:p>
    <w:p w14:paraId="58E3C468" w14:textId="77777777" w:rsidR="002A456E" w:rsidRPr="00E55FF4" w:rsidRDefault="00000000">
      <w:pPr>
        <w:pStyle w:val="Nadpis3"/>
        <w:rPr>
          <w:color w:val="auto"/>
        </w:rPr>
      </w:pPr>
      <w:bookmarkStart w:id="10" w:name="pohľadávky-1"/>
      <w:bookmarkEnd w:id="9"/>
      <w:r w:rsidRPr="00E55FF4">
        <w:rPr>
          <w:color w:val="auto"/>
        </w:rPr>
        <w:t>Pohľadávky</w:t>
      </w:r>
    </w:p>
    <w:p w14:paraId="34F2B5C1" w14:textId="77777777" w:rsidR="002A456E" w:rsidRPr="00E55FF4" w:rsidRDefault="00000000">
      <w:pPr>
        <w:pStyle w:val="FirstParagraph"/>
      </w:pPr>
      <w:r w:rsidRPr="00E55FF4">
        <w:t>Krátkodobé pohľadávky predstavujú najmä pohľadávky z obchodného styku vo výške 199 716 EUR.</w:t>
      </w:r>
    </w:p>
    <w:p w14:paraId="5E337D23" w14:textId="77777777" w:rsidR="002A456E" w:rsidRPr="00E55FF4" w:rsidRDefault="00000000">
      <w:pPr>
        <w:pStyle w:val="Nadpis3"/>
        <w:rPr>
          <w:color w:val="auto"/>
        </w:rPr>
      </w:pPr>
      <w:bookmarkStart w:id="11" w:name="finančné-účty"/>
      <w:bookmarkEnd w:id="10"/>
      <w:r w:rsidRPr="00E55FF4">
        <w:rPr>
          <w:color w:val="auto"/>
        </w:rPr>
        <w:t>Finančné účty</w:t>
      </w:r>
    </w:p>
    <w:p w14:paraId="78548140" w14:textId="77777777" w:rsidR="002A456E" w:rsidRPr="00E55FF4" w:rsidRDefault="00000000">
      <w:pPr>
        <w:pStyle w:val="FirstParagraph"/>
      </w:pPr>
      <w:r w:rsidRPr="00E55FF4">
        <w:t>Finančný majetok predstavujú peňažné prostriedky v pokladni a na bankových účtoch vo výške 16 570 EUR.</w:t>
      </w:r>
    </w:p>
    <w:p w14:paraId="5CEF76C6" w14:textId="77777777" w:rsidR="002A456E" w:rsidRPr="00E55FF4" w:rsidRDefault="00000000">
      <w:r w:rsidRPr="00E55FF4">
        <w:pict w14:anchorId="29EC9477">
          <v:rect id="_x0000_i1027" style="width:0;height:1.5pt" o:hralign="center" o:hrstd="t" o:hr="t"/>
        </w:pict>
      </w:r>
    </w:p>
    <w:p w14:paraId="69AC73F3" w14:textId="77777777" w:rsidR="002A456E" w:rsidRPr="00E55FF4" w:rsidRDefault="00000000">
      <w:pPr>
        <w:pStyle w:val="Nadpis2"/>
        <w:rPr>
          <w:color w:val="auto"/>
        </w:rPr>
      </w:pPr>
      <w:bookmarkStart w:id="12" w:name="Xb058ffb4a709378b4dc42fd6702a503820b1203"/>
      <w:bookmarkEnd w:id="8"/>
      <w:bookmarkEnd w:id="11"/>
      <w:r w:rsidRPr="00E55FF4">
        <w:rPr>
          <w:color w:val="auto"/>
        </w:rPr>
        <w:t>IV. Informácie o údajoch na strane pasív súvahy</w:t>
      </w:r>
    </w:p>
    <w:p w14:paraId="17E9324E" w14:textId="77777777" w:rsidR="002A456E" w:rsidRPr="00E55FF4" w:rsidRDefault="00000000">
      <w:pPr>
        <w:pStyle w:val="Nadpis3"/>
        <w:rPr>
          <w:color w:val="auto"/>
        </w:rPr>
      </w:pPr>
      <w:bookmarkStart w:id="13" w:name="vlastné-imanie"/>
      <w:r w:rsidRPr="00E55FF4">
        <w:rPr>
          <w:color w:val="auto"/>
        </w:rPr>
        <w:t>Vlastné imanie</w:t>
      </w:r>
    </w:p>
    <w:p w14:paraId="683BABEE" w14:textId="77777777" w:rsidR="002A456E" w:rsidRPr="00E55FF4" w:rsidRDefault="00000000">
      <w:pPr>
        <w:pStyle w:val="FirstParagraph"/>
      </w:pPr>
      <w:r w:rsidRPr="00E55FF4">
        <w:t>Základné imanie účtovnej jednotky predstavuje 9 279 EUR.</w:t>
      </w:r>
    </w:p>
    <w:p w14:paraId="543FC23F" w14:textId="77777777" w:rsidR="002A456E" w:rsidRPr="00E55FF4" w:rsidRDefault="00000000">
      <w:pPr>
        <w:pStyle w:val="Zkladntext"/>
      </w:pPr>
      <w:r w:rsidRPr="00E55FF4">
        <w:t>Výsledok hospodárenia za účtovné obdobie po zdanení predstavuje 1 629 EUR.</w:t>
      </w:r>
    </w:p>
    <w:p w14:paraId="2D0BBD3C" w14:textId="77777777" w:rsidR="002A456E" w:rsidRPr="00E55FF4" w:rsidRDefault="00000000">
      <w:pPr>
        <w:pStyle w:val="Nadpis3"/>
        <w:rPr>
          <w:color w:val="auto"/>
        </w:rPr>
      </w:pPr>
      <w:bookmarkStart w:id="14" w:name="záväzky-1"/>
      <w:bookmarkEnd w:id="13"/>
      <w:r w:rsidRPr="00E55FF4">
        <w:rPr>
          <w:color w:val="auto"/>
        </w:rPr>
        <w:t>Záväzky</w:t>
      </w:r>
    </w:p>
    <w:p w14:paraId="3667722D" w14:textId="77777777" w:rsidR="002A456E" w:rsidRPr="00E55FF4" w:rsidRDefault="00000000">
      <w:pPr>
        <w:pStyle w:val="FirstParagraph"/>
      </w:pPr>
      <w:r w:rsidRPr="00E55FF4">
        <w:t>Krátkodobé záväzky predstavujú najmä záväzky z obchodného styku vo výške 270 694 EUR.</w:t>
      </w:r>
    </w:p>
    <w:p w14:paraId="3993F7D9" w14:textId="77777777" w:rsidR="002A456E" w:rsidRPr="00E55FF4" w:rsidRDefault="00000000">
      <w:pPr>
        <w:pStyle w:val="Zkladntext"/>
      </w:pPr>
      <w:r w:rsidRPr="00E55FF4">
        <w:t>Daňové záväzky a dotácie predstavujú 3 255 EUR.</w:t>
      </w:r>
    </w:p>
    <w:p w14:paraId="7C980EF4" w14:textId="77777777" w:rsidR="002A456E" w:rsidRPr="00E55FF4" w:rsidRDefault="00000000">
      <w:pPr>
        <w:pStyle w:val="Zkladntext"/>
      </w:pPr>
      <w:r w:rsidRPr="00E55FF4">
        <w:t>Záväzky voči zamestnancom a zo sociálneho poistenia predstavujú 347 EUR.</w:t>
      </w:r>
    </w:p>
    <w:p w14:paraId="70829FA6" w14:textId="77777777" w:rsidR="002A456E" w:rsidRPr="00E55FF4" w:rsidRDefault="00000000">
      <w:pPr>
        <w:pStyle w:val="Zkladntext"/>
      </w:pPr>
      <w:r w:rsidRPr="00E55FF4">
        <w:t>Ostatné krátkodobé záväzky predstavujú 2 511 EUR.</w:t>
      </w:r>
    </w:p>
    <w:p w14:paraId="5E338AA1" w14:textId="77777777" w:rsidR="002A456E" w:rsidRPr="00E55FF4" w:rsidRDefault="00000000">
      <w:r w:rsidRPr="00E55FF4">
        <w:pict w14:anchorId="740859E4">
          <v:rect id="_x0000_i1028" style="width:0;height:1.5pt" o:hralign="center" o:hrstd="t" o:hr="t"/>
        </w:pict>
      </w:r>
    </w:p>
    <w:p w14:paraId="7A5A2EE8" w14:textId="77777777" w:rsidR="002A456E" w:rsidRPr="00E55FF4" w:rsidRDefault="00000000">
      <w:pPr>
        <w:pStyle w:val="Nadpis2"/>
        <w:rPr>
          <w:color w:val="auto"/>
        </w:rPr>
      </w:pPr>
      <w:bookmarkStart w:id="15" w:name="v.-informácie-o-výnosoch-a-nákladoch"/>
      <w:bookmarkEnd w:id="12"/>
      <w:bookmarkEnd w:id="14"/>
      <w:r w:rsidRPr="00E55FF4">
        <w:rPr>
          <w:color w:val="auto"/>
        </w:rPr>
        <w:t>V. Informácie o výnosoch a nákladoch</w:t>
      </w:r>
    </w:p>
    <w:p w14:paraId="70C6741D" w14:textId="77777777" w:rsidR="002A456E" w:rsidRPr="00E55FF4" w:rsidRDefault="00000000">
      <w:pPr>
        <w:pStyle w:val="Nadpis3"/>
        <w:rPr>
          <w:color w:val="auto"/>
        </w:rPr>
      </w:pPr>
      <w:bookmarkStart w:id="16" w:name="výnosy"/>
      <w:r w:rsidRPr="00E55FF4">
        <w:rPr>
          <w:color w:val="auto"/>
        </w:rPr>
        <w:t>Výnosy</w:t>
      </w:r>
    </w:p>
    <w:p w14:paraId="086163DD" w14:textId="77777777" w:rsidR="002A456E" w:rsidRPr="00E55FF4" w:rsidRDefault="00000000">
      <w:pPr>
        <w:pStyle w:val="FirstParagraph"/>
      </w:pPr>
      <w:r w:rsidRPr="00E55FF4">
        <w:t>Výnosy z hospodárskej činnosti predstavujú 120 826 EUR.</w:t>
      </w:r>
    </w:p>
    <w:p w14:paraId="1B40DB58" w14:textId="77777777" w:rsidR="002A456E" w:rsidRPr="00E55FF4" w:rsidRDefault="00000000">
      <w:pPr>
        <w:pStyle w:val="Nadpis3"/>
        <w:rPr>
          <w:color w:val="auto"/>
        </w:rPr>
      </w:pPr>
      <w:bookmarkStart w:id="17" w:name="náklady"/>
      <w:bookmarkEnd w:id="16"/>
      <w:r w:rsidRPr="00E55FF4">
        <w:rPr>
          <w:color w:val="auto"/>
        </w:rPr>
        <w:t>Náklady</w:t>
      </w:r>
    </w:p>
    <w:p w14:paraId="222B9271" w14:textId="77777777" w:rsidR="002A456E" w:rsidRPr="00E55FF4" w:rsidRDefault="00000000">
      <w:pPr>
        <w:pStyle w:val="FirstParagraph"/>
      </w:pPr>
      <w:r w:rsidRPr="00E55FF4">
        <w:t>Náklady na hospodársku činnosť predstavujú 119 197 EUR.</w:t>
      </w:r>
    </w:p>
    <w:p w14:paraId="7C9DB9DC" w14:textId="77777777" w:rsidR="002A456E" w:rsidRPr="00E55FF4" w:rsidRDefault="00000000">
      <w:pPr>
        <w:pStyle w:val="Nadpis3"/>
        <w:rPr>
          <w:color w:val="auto"/>
        </w:rPr>
      </w:pPr>
      <w:bookmarkStart w:id="18" w:name="výsledok-hospodárenia"/>
      <w:bookmarkEnd w:id="17"/>
      <w:r w:rsidRPr="00E55FF4">
        <w:rPr>
          <w:color w:val="auto"/>
        </w:rPr>
        <w:t>Výsledok hospodárenia</w:t>
      </w:r>
    </w:p>
    <w:p w14:paraId="49F031B2" w14:textId="77777777" w:rsidR="002A456E" w:rsidRPr="00E55FF4" w:rsidRDefault="00000000">
      <w:pPr>
        <w:pStyle w:val="FirstParagraph"/>
      </w:pPr>
      <w:r w:rsidRPr="00E55FF4">
        <w:t>Výsledok hospodárenia pred zdanením predstavuje 1 629 EUR.</w:t>
      </w:r>
    </w:p>
    <w:p w14:paraId="1EAF4E69" w14:textId="77777777" w:rsidR="002A456E" w:rsidRPr="00E55FF4" w:rsidRDefault="00000000">
      <w:pPr>
        <w:pStyle w:val="Zkladntext"/>
      </w:pPr>
      <w:r w:rsidRPr="00E55FF4">
        <w:lastRenderedPageBreak/>
        <w:t>Daň z príjmov: 0 EUR.</w:t>
      </w:r>
    </w:p>
    <w:p w14:paraId="465FD654" w14:textId="77777777" w:rsidR="002A456E" w:rsidRPr="00E55FF4" w:rsidRDefault="00000000">
      <w:pPr>
        <w:pStyle w:val="Zkladntext"/>
      </w:pPr>
      <w:r w:rsidRPr="00E55FF4">
        <w:t>Výsledok hospodárenia po zdanení predstavuje 1 629 EUR.</w:t>
      </w:r>
    </w:p>
    <w:p w14:paraId="65AE3998" w14:textId="77777777" w:rsidR="002A456E" w:rsidRPr="00E55FF4" w:rsidRDefault="00000000">
      <w:r w:rsidRPr="00E55FF4">
        <w:pict w14:anchorId="7F6D76A9">
          <v:rect id="_x0000_i1029" style="width:0;height:1.5pt" o:hralign="center" o:hrstd="t" o:hr="t"/>
        </w:pict>
      </w:r>
    </w:p>
    <w:p w14:paraId="67E45754" w14:textId="77777777" w:rsidR="002A456E" w:rsidRPr="00E55FF4" w:rsidRDefault="00000000">
      <w:pPr>
        <w:pStyle w:val="Nadpis2"/>
        <w:rPr>
          <w:color w:val="auto"/>
        </w:rPr>
      </w:pPr>
      <w:bookmarkStart w:id="19" w:name="X403b80272a4c2ee4814e50bd68d41d253f85e5c"/>
      <w:bookmarkEnd w:id="15"/>
      <w:bookmarkEnd w:id="18"/>
      <w:r w:rsidRPr="00E55FF4">
        <w:rPr>
          <w:color w:val="auto"/>
        </w:rPr>
        <w:t>VI. Udalosti po dni, ku ktorému sa zostavuje účtovná závierka</w:t>
      </w:r>
    </w:p>
    <w:p w14:paraId="3DF72CEC" w14:textId="77777777" w:rsidR="002A456E" w:rsidRPr="00E55FF4" w:rsidRDefault="00000000">
      <w:pPr>
        <w:pStyle w:val="FirstParagraph"/>
      </w:pPr>
      <w:r w:rsidRPr="00E55FF4">
        <w:t>Po dni, ku ktorému sa zostavuje účtovná závierka, nenastali významné udalosti, ktoré by mali vplyv na verné zobrazenie skutočností.</w:t>
      </w:r>
    </w:p>
    <w:p w14:paraId="4E8339CB" w14:textId="77777777" w:rsidR="002A456E" w:rsidRPr="00E55FF4" w:rsidRDefault="00000000">
      <w:r w:rsidRPr="00E55FF4">
        <w:pict w14:anchorId="256E34E5">
          <v:rect id="_x0000_i1030" style="width:0;height:1.5pt" o:hralign="center" o:hrstd="t" o:hr="t"/>
        </w:pict>
      </w:r>
    </w:p>
    <w:p w14:paraId="1B4CF558" w14:textId="77777777" w:rsidR="002A456E" w:rsidRPr="00E55FF4" w:rsidRDefault="00000000">
      <w:pPr>
        <w:pStyle w:val="Nadpis2"/>
        <w:rPr>
          <w:color w:val="auto"/>
        </w:rPr>
      </w:pPr>
      <w:bookmarkStart w:id="20" w:name="vii.-ostatné-informácie"/>
      <w:bookmarkEnd w:id="19"/>
      <w:r w:rsidRPr="00E55FF4">
        <w:rPr>
          <w:color w:val="auto"/>
        </w:rPr>
        <w:t>VII. Ostatné informácie</w:t>
      </w:r>
    </w:p>
    <w:p w14:paraId="726CE737" w14:textId="77777777" w:rsidR="002A456E" w:rsidRPr="00E55FF4" w:rsidRDefault="00000000">
      <w:pPr>
        <w:pStyle w:val="FirstParagraph"/>
      </w:pPr>
      <w:r w:rsidRPr="00E55FF4">
        <w:t>Účtovná jednotka nemá povinnosť overenia účtovnej závierky audítorom.</w:t>
      </w:r>
    </w:p>
    <w:p w14:paraId="56EF164D" w14:textId="77777777" w:rsidR="002A456E" w:rsidRPr="00E55FF4" w:rsidRDefault="00000000">
      <w:r w:rsidRPr="00E55FF4">
        <w:pict w14:anchorId="0FF006A4">
          <v:rect id="_x0000_i1031" style="width:0;height:1.5pt" o:hralign="center" o:hrstd="t" o:hr="t"/>
        </w:pict>
      </w:r>
    </w:p>
    <w:p w14:paraId="2D37626A" w14:textId="1B35B8DC" w:rsidR="002A456E" w:rsidRPr="00E55FF4" w:rsidRDefault="00000000">
      <w:pPr>
        <w:pStyle w:val="FirstParagraph"/>
      </w:pPr>
      <w:r w:rsidRPr="00E55FF4">
        <w:t xml:space="preserve">V </w:t>
      </w:r>
      <w:proofErr w:type="spellStart"/>
      <w:r w:rsidRPr="00E55FF4">
        <w:t>Považskej</w:t>
      </w:r>
      <w:proofErr w:type="spellEnd"/>
      <w:r w:rsidRPr="00E55FF4">
        <w:t xml:space="preserve"> Bystrici, </w:t>
      </w:r>
      <w:proofErr w:type="spellStart"/>
      <w:r w:rsidRPr="00E55FF4">
        <w:t>dňa</w:t>
      </w:r>
      <w:proofErr w:type="spellEnd"/>
      <w:r w:rsidRPr="00E55FF4">
        <w:t xml:space="preserve"> </w:t>
      </w:r>
      <w:r w:rsidR="00E55FF4">
        <w:t>25.06.2025</w:t>
      </w:r>
      <w:bookmarkEnd w:id="0"/>
      <w:bookmarkEnd w:id="20"/>
    </w:p>
    <w:sectPr w:rsidR="002A456E" w:rsidRPr="00E55FF4">
      <w:footnotePr>
        <w:numRestart w:val="eachSect"/>
      </w:footnotePr>
      <w:pgSz w:w="12240" w:h="15840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nsolas">
    <w:panose1 w:val="020B0609020204030204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A990"/>
    <w:multiLevelType w:val="multilevel"/>
    <w:tmpl w:val="C0FCFAF2"/>
    <w:lvl w:ilvl="0">
      <w:numFmt w:val="bullet"/>
      <w:lvlText w:val=" "/>
      <w:lvlJc w:val="left"/>
      <w:pPr>
        <w:ind w:left="720" w:hanging="360"/>
      </w:pPr>
    </w:lvl>
    <w:lvl w:ilvl="1">
      <w:numFmt w:val="bullet"/>
      <w:lvlText w:val=" "/>
      <w:lvlJc w:val="left"/>
      <w:pPr>
        <w:ind w:left="1440" w:hanging="360"/>
      </w:pPr>
    </w:lvl>
    <w:lvl w:ilvl="2">
      <w:numFmt w:val="bullet"/>
      <w:lvlText w:val=" "/>
      <w:lvlJc w:val="left"/>
      <w:pPr>
        <w:ind w:left="2160" w:hanging="360"/>
      </w:pPr>
    </w:lvl>
    <w:lvl w:ilvl="3">
      <w:numFmt w:val="bullet"/>
      <w:lvlText w:val=" "/>
      <w:lvlJc w:val="left"/>
      <w:pPr>
        <w:ind w:left="2880" w:hanging="360"/>
      </w:pPr>
    </w:lvl>
    <w:lvl w:ilvl="4">
      <w:numFmt w:val="bullet"/>
      <w:lvlText w:val=" "/>
      <w:lvlJc w:val="left"/>
      <w:pPr>
        <w:ind w:left="3600" w:hanging="360"/>
      </w:pPr>
    </w:lvl>
    <w:lvl w:ilvl="5">
      <w:numFmt w:val="bullet"/>
      <w:lvlText w:val=" "/>
      <w:lvlJc w:val="left"/>
      <w:pPr>
        <w:ind w:left="4320" w:hanging="360"/>
      </w:pPr>
    </w:lvl>
    <w:lvl w:ilvl="6">
      <w:numFmt w:val="bullet"/>
      <w:lvlText w:val=" "/>
      <w:lvlJc w:val="left"/>
      <w:pPr>
        <w:ind w:left="5040" w:hanging="360"/>
      </w:pPr>
    </w:lvl>
    <w:lvl w:ilvl="7">
      <w:numFmt w:val="bullet"/>
      <w:lvlText w:val=" "/>
      <w:lvlJc w:val="left"/>
      <w:pPr>
        <w:ind w:left="5760" w:hanging="360"/>
      </w:pPr>
    </w:lvl>
    <w:lvl w:ilvl="8">
      <w:numFmt w:val="bullet"/>
      <w:lvlText w:val=" "/>
      <w:lvlJc w:val="left"/>
      <w:pPr>
        <w:ind w:left="6480" w:hanging="360"/>
      </w:pPr>
    </w:lvl>
  </w:abstractNum>
  <w:num w:numId="1" w16cid:durableId="10659498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embedSystemFonts/>
  <w:proofState w:spelling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numRestart w:val="eachSec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456E"/>
    <w:rsid w:val="002A456E"/>
    <w:rsid w:val="004B7B87"/>
    <w:rsid w:val="00E55F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FE92E6"/>
  <w15:docId w15:val="{F73766DF-9811-4A0D-90C9-E3CF761F26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Zkladntext"/>
    <w:link w:val="Nadpis1Char"/>
    <w:uiPriority w:val="9"/>
    <w:qFormat/>
    <w:rsid w:val="00A10FD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Zkladntext"/>
    <w:link w:val="Nadpis2Char"/>
    <w:uiPriority w:val="9"/>
    <w:semiHidden/>
    <w:unhideWhenUsed/>
    <w:qFormat/>
    <w:rsid w:val="00A10FD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Zkladntext"/>
    <w:link w:val="Nadpis3Char"/>
    <w:uiPriority w:val="9"/>
    <w:semiHidden/>
    <w:unhideWhenUsed/>
    <w:qFormat/>
    <w:rsid w:val="00A10FD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Zkladntext"/>
    <w:link w:val="Nadpis4Char"/>
    <w:uiPriority w:val="9"/>
    <w:semiHidden/>
    <w:unhideWhenUsed/>
    <w:qFormat/>
    <w:rsid w:val="00A10FD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Zkladntext"/>
    <w:link w:val="Nadpis5Char"/>
    <w:uiPriority w:val="9"/>
    <w:semiHidden/>
    <w:unhideWhenUsed/>
    <w:qFormat/>
    <w:rsid w:val="00A10FD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Zkladntext"/>
    <w:link w:val="Nadpis6Char"/>
    <w:uiPriority w:val="9"/>
    <w:semiHidden/>
    <w:unhideWhenUsed/>
    <w:qFormat/>
    <w:rsid w:val="00A10FD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Zkladntext"/>
    <w:link w:val="Nadpis7Char"/>
    <w:uiPriority w:val="9"/>
    <w:semiHidden/>
    <w:unhideWhenUsed/>
    <w:qFormat/>
    <w:rsid w:val="00A10FD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Zkladntext"/>
    <w:link w:val="Nadpis8Char"/>
    <w:uiPriority w:val="9"/>
    <w:semiHidden/>
    <w:unhideWhenUsed/>
    <w:qFormat/>
    <w:rsid w:val="00A10FD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Zkladntext"/>
    <w:link w:val="Nadpis9Char"/>
    <w:uiPriority w:val="9"/>
    <w:semiHidden/>
    <w:unhideWhenUsed/>
    <w:qFormat/>
    <w:rsid w:val="00A10FD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qFormat/>
    <w:pPr>
      <w:spacing w:before="180" w:after="180"/>
    </w:pPr>
  </w:style>
  <w:style w:type="paragraph" w:customStyle="1" w:styleId="FirstParagraph">
    <w:name w:val="First Paragraph"/>
    <w:basedOn w:val="Zkladntext"/>
    <w:next w:val="Zkladntext"/>
    <w:qFormat/>
  </w:style>
  <w:style w:type="paragraph" w:customStyle="1" w:styleId="Compact">
    <w:name w:val="Compact"/>
    <w:basedOn w:val="Zkladntext"/>
    <w:qFormat/>
    <w:pPr>
      <w:spacing w:before="36" w:after="36"/>
    </w:pPr>
  </w:style>
  <w:style w:type="paragraph" w:styleId="Nzov">
    <w:name w:val="Title"/>
    <w:basedOn w:val="Normlny"/>
    <w:next w:val="Zkladntext"/>
    <w:link w:val="NzovChar"/>
    <w:uiPriority w:val="10"/>
    <w:qFormat/>
    <w:rsid w:val="00A10FD9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10F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zov"/>
    <w:next w:val="Zkladntext"/>
    <w:link w:val="PodtitulChar"/>
    <w:uiPriority w:val="11"/>
    <w:qFormat/>
    <w:rsid w:val="00A10FD9"/>
    <w:pPr>
      <w:numPr>
        <w:ilvl w:val="1"/>
      </w:numPr>
    </w:pPr>
    <w:rPr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10FD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customStyle="1" w:styleId="Author">
    <w:name w:val="Author"/>
    <w:next w:val="Zkladntext"/>
    <w:qFormat/>
    <w:pPr>
      <w:keepNext/>
      <w:keepLines/>
      <w:jc w:val="center"/>
    </w:pPr>
  </w:style>
  <w:style w:type="paragraph" w:styleId="Dtum">
    <w:name w:val="Date"/>
    <w:next w:val="Zkladntext"/>
    <w:qFormat/>
    <w:pPr>
      <w:keepNext/>
      <w:keepLines/>
      <w:jc w:val="center"/>
    </w:pPr>
  </w:style>
  <w:style w:type="paragraph" w:customStyle="1" w:styleId="AbstractTitle">
    <w:name w:val="Abstract Title"/>
    <w:basedOn w:val="Normlny"/>
    <w:next w:val="Abstract"/>
    <w:qFormat/>
    <w:pPr>
      <w:keepNext/>
      <w:keepLines/>
      <w:spacing w:before="300" w:after="0"/>
      <w:jc w:val="center"/>
    </w:pPr>
    <w:rPr>
      <w:b/>
      <w:sz w:val="20"/>
      <w:szCs w:val="20"/>
    </w:rPr>
  </w:style>
  <w:style w:type="paragraph" w:customStyle="1" w:styleId="Abstract">
    <w:name w:val="Abstract"/>
    <w:basedOn w:val="Normlny"/>
    <w:next w:val="Zkladntext"/>
    <w:qFormat/>
    <w:pPr>
      <w:keepNext/>
      <w:keepLines/>
      <w:spacing w:before="100" w:after="300"/>
    </w:pPr>
    <w:rPr>
      <w:sz w:val="20"/>
      <w:szCs w:val="20"/>
    </w:rPr>
  </w:style>
  <w:style w:type="paragraph" w:styleId="Bibliografia">
    <w:name w:val="Bibliography"/>
    <w:basedOn w:val="Normlny"/>
    <w:qFormat/>
  </w:style>
  <w:style w:type="character" w:customStyle="1" w:styleId="Nadpis1Char">
    <w:name w:val="Nadpis 1 Char"/>
    <w:basedOn w:val="Predvolenpsmoodseku"/>
    <w:link w:val="Nadpis1"/>
    <w:uiPriority w:val="9"/>
    <w:rsid w:val="00A10FD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10FD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10FD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10FD9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10FD9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10FD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10FD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10FD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10FD9"/>
    <w:rPr>
      <w:rFonts w:eastAsiaTheme="majorEastAsia" w:cstheme="majorBidi"/>
      <w:color w:val="272727" w:themeColor="text1" w:themeTint="D8"/>
    </w:rPr>
  </w:style>
  <w:style w:type="paragraph" w:styleId="Oznaitext">
    <w:name w:val="Block Text"/>
    <w:basedOn w:val="Zkladntext"/>
    <w:next w:val="Zkladntext"/>
    <w:uiPriority w:val="9"/>
    <w:unhideWhenUsed/>
    <w:qFormat/>
    <w:pPr>
      <w:spacing w:before="100" w:after="100"/>
      <w:ind w:left="480" w:right="480"/>
    </w:pPr>
  </w:style>
  <w:style w:type="paragraph" w:styleId="Textpoznmkypodiarou">
    <w:name w:val="footnote text"/>
    <w:basedOn w:val="Normlny"/>
    <w:uiPriority w:val="9"/>
    <w:unhideWhenUsed/>
    <w:qFormat/>
  </w:style>
  <w:style w:type="paragraph" w:customStyle="1" w:styleId="FootnoteBlockText">
    <w:name w:val="Footnote Block Text"/>
    <w:basedOn w:val="Textpoznmkypodiarou"/>
    <w:next w:val="Textpoznmkypodiarou"/>
    <w:uiPriority w:val="9"/>
    <w:unhideWhenUsed/>
    <w:qFormat/>
    <w:pPr>
      <w:spacing w:before="100" w:after="100"/>
      <w:ind w:left="480" w:right="480"/>
    </w:pPr>
  </w:style>
  <w:style w:type="table" w:customStyle="1" w:styleId="Table">
    <w:name w:val="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>
        <w:jc w:val="left"/>
      </w:tblPr>
      <w:trPr>
        <w:jc w:val="left"/>
      </w:trPr>
      <w:tcPr>
        <w:tcBorders>
          <w:bottom w:val="single" w:sz="0" w:space="0" w:color="auto"/>
        </w:tcBorders>
        <w:vAlign w:val="bottom"/>
      </w:tcPr>
    </w:tblStylePr>
  </w:style>
  <w:style w:type="paragraph" w:customStyle="1" w:styleId="DefinitionTerm">
    <w:name w:val="Definition Term"/>
    <w:basedOn w:val="Normlny"/>
    <w:next w:val="Definition"/>
    <w:pPr>
      <w:keepNext/>
      <w:keepLines/>
      <w:spacing w:after="0"/>
    </w:pPr>
    <w:rPr>
      <w:b/>
    </w:rPr>
  </w:style>
  <w:style w:type="paragraph" w:customStyle="1" w:styleId="Definition">
    <w:name w:val="Definition"/>
    <w:basedOn w:val="Normlny"/>
  </w:style>
  <w:style w:type="paragraph" w:styleId="Popis">
    <w:name w:val="caption"/>
    <w:basedOn w:val="Normlny"/>
    <w:link w:val="PopisChar"/>
    <w:pPr>
      <w:spacing w:after="120"/>
    </w:pPr>
    <w:rPr>
      <w:i/>
    </w:rPr>
  </w:style>
  <w:style w:type="paragraph" w:customStyle="1" w:styleId="TableCaption">
    <w:name w:val="Table Caption"/>
    <w:basedOn w:val="Popis"/>
    <w:pPr>
      <w:keepNext/>
    </w:pPr>
  </w:style>
  <w:style w:type="paragraph" w:customStyle="1" w:styleId="ImageCaption">
    <w:name w:val="Image Caption"/>
    <w:basedOn w:val="Popis"/>
  </w:style>
  <w:style w:type="paragraph" w:customStyle="1" w:styleId="Figure">
    <w:name w:val="Figure"/>
    <w:basedOn w:val="Normlny"/>
  </w:style>
  <w:style w:type="paragraph" w:customStyle="1" w:styleId="CaptionedFigure">
    <w:name w:val="Captioned Figure"/>
    <w:basedOn w:val="Figure"/>
    <w:pPr>
      <w:keepNext/>
    </w:pPr>
  </w:style>
  <w:style w:type="character" w:customStyle="1" w:styleId="PopisChar">
    <w:name w:val="Popis Char"/>
    <w:basedOn w:val="Predvolenpsmoodseku"/>
    <w:link w:val="Popis"/>
  </w:style>
  <w:style w:type="character" w:customStyle="1" w:styleId="VerbatimChar">
    <w:name w:val="Verbatim Char"/>
    <w:basedOn w:val="PopisChar"/>
    <w:link w:val="SourceCode"/>
    <w:rPr>
      <w:rFonts w:ascii="Consolas" w:hAnsi="Consolas"/>
      <w:sz w:val="22"/>
    </w:rPr>
  </w:style>
  <w:style w:type="character" w:customStyle="1" w:styleId="SectionNumber">
    <w:name w:val="Section Number"/>
    <w:basedOn w:val="PopisChar"/>
  </w:style>
  <w:style w:type="character" w:styleId="Odkaznapoznmkupodiarou">
    <w:name w:val="footnote reference"/>
    <w:basedOn w:val="PopisChar"/>
    <w:rPr>
      <w:vertAlign w:val="superscript"/>
    </w:rPr>
  </w:style>
  <w:style w:type="character" w:styleId="Hypertextovprepojenie">
    <w:name w:val="Hyperlink"/>
    <w:basedOn w:val="PopisChar"/>
    <w:rPr>
      <w:color w:val="156082" w:themeColor="accent1"/>
    </w:rPr>
  </w:style>
  <w:style w:type="paragraph" w:styleId="Hlavikaobsahu">
    <w:name w:val="TOC Heading"/>
    <w:basedOn w:val="Nadpis1"/>
    <w:next w:val="Zkladntext"/>
    <w:uiPriority w:val="39"/>
    <w:unhideWhenUsed/>
    <w:qFormat/>
    <w:pPr>
      <w:spacing w:before="240" w:line="259" w:lineRule="auto"/>
      <w:outlineLvl w:val="9"/>
    </w:pPr>
  </w:style>
  <w:style w:type="paragraph" w:customStyle="1" w:styleId="SourceCode">
    <w:name w:val="Source Code"/>
    <w:basedOn w:val="Normlny"/>
    <w:link w:val="VerbatimChar"/>
    <w:pPr>
      <w:wordWrap w:val="0"/>
    </w:pPr>
  </w:style>
  <w:style w:type="character" w:customStyle="1" w:styleId="KeywordTok">
    <w:name w:val="KeywordTok"/>
    <w:basedOn w:val="VerbatimChar"/>
    <w:rPr>
      <w:rFonts w:ascii="Consolas" w:hAnsi="Consolas"/>
      <w:b/>
      <w:color w:val="007020"/>
      <w:sz w:val="22"/>
    </w:rPr>
  </w:style>
  <w:style w:type="character" w:customStyle="1" w:styleId="DataTypeTok">
    <w:name w:val="DataTypeTok"/>
    <w:basedOn w:val="VerbatimChar"/>
    <w:rPr>
      <w:rFonts w:ascii="Consolas" w:hAnsi="Consolas"/>
      <w:color w:val="902000"/>
      <w:sz w:val="22"/>
    </w:rPr>
  </w:style>
  <w:style w:type="character" w:customStyle="1" w:styleId="DecValTok">
    <w:name w:val="DecValTok"/>
    <w:basedOn w:val="VerbatimChar"/>
    <w:rPr>
      <w:rFonts w:ascii="Consolas" w:hAnsi="Consolas"/>
      <w:color w:val="40A070"/>
      <w:sz w:val="22"/>
    </w:rPr>
  </w:style>
  <w:style w:type="character" w:customStyle="1" w:styleId="BaseNTok">
    <w:name w:val="BaseNTok"/>
    <w:basedOn w:val="VerbatimChar"/>
    <w:rPr>
      <w:rFonts w:ascii="Consolas" w:hAnsi="Consolas"/>
      <w:color w:val="40A070"/>
      <w:sz w:val="22"/>
    </w:rPr>
  </w:style>
  <w:style w:type="character" w:customStyle="1" w:styleId="FloatTok">
    <w:name w:val="FloatTok"/>
    <w:basedOn w:val="VerbatimChar"/>
    <w:rPr>
      <w:rFonts w:ascii="Consolas" w:hAnsi="Consolas"/>
      <w:color w:val="40A070"/>
      <w:sz w:val="22"/>
    </w:rPr>
  </w:style>
  <w:style w:type="character" w:customStyle="1" w:styleId="ConstantTok">
    <w:name w:val="ConstantTok"/>
    <w:basedOn w:val="VerbatimChar"/>
    <w:rPr>
      <w:rFonts w:ascii="Consolas" w:hAnsi="Consolas"/>
      <w:color w:val="880000"/>
      <w:sz w:val="22"/>
    </w:rPr>
  </w:style>
  <w:style w:type="character" w:customStyle="1" w:styleId="CharTok">
    <w:name w:val="CharTok"/>
    <w:basedOn w:val="VerbatimChar"/>
    <w:rPr>
      <w:rFonts w:ascii="Consolas" w:hAnsi="Consolas"/>
      <w:color w:val="4070A0"/>
      <w:sz w:val="22"/>
    </w:rPr>
  </w:style>
  <w:style w:type="character" w:customStyle="1" w:styleId="SpecialCharTok">
    <w:name w:val="SpecialCharTok"/>
    <w:basedOn w:val="VerbatimChar"/>
    <w:rPr>
      <w:rFonts w:ascii="Consolas" w:hAnsi="Consolas"/>
      <w:color w:val="4070A0"/>
      <w:sz w:val="22"/>
    </w:rPr>
  </w:style>
  <w:style w:type="character" w:customStyle="1" w:styleId="StringTok">
    <w:name w:val="StringTok"/>
    <w:basedOn w:val="VerbatimChar"/>
    <w:rPr>
      <w:rFonts w:ascii="Consolas" w:hAnsi="Consolas"/>
      <w:color w:val="4070A0"/>
      <w:sz w:val="22"/>
    </w:rPr>
  </w:style>
  <w:style w:type="character" w:customStyle="1" w:styleId="VerbatimStringTok">
    <w:name w:val="VerbatimStringTok"/>
    <w:basedOn w:val="VerbatimChar"/>
    <w:rPr>
      <w:rFonts w:ascii="Consolas" w:hAnsi="Consolas"/>
      <w:color w:val="4070A0"/>
      <w:sz w:val="22"/>
    </w:rPr>
  </w:style>
  <w:style w:type="character" w:customStyle="1" w:styleId="SpecialStringTok">
    <w:name w:val="SpecialStringTok"/>
    <w:basedOn w:val="VerbatimChar"/>
    <w:rPr>
      <w:rFonts w:ascii="Consolas" w:hAnsi="Consolas"/>
      <w:color w:val="BB6688"/>
      <w:sz w:val="22"/>
    </w:rPr>
  </w:style>
  <w:style w:type="character" w:customStyle="1" w:styleId="ImportTok">
    <w:name w:val="ImportTok"/>
    <w:basedOn w:val="VerbatimChar"/>
    <w:rPr>
      <w:rFonts w:ascii="Consolas" w:hAnsi="Consolas"/>
      <w:b/>
      <w:color w:val="008000"/>
      <w:sz w:val="22"/>
    </w:rPr>
  </w:style>
  <w:style w:type="character" w:customStyle="1" w:styleId="CommentTok">
    <w:name w:val="CommentTok"/>
    <w:basedOn w:val="VerbatimChar"/>
    <w:rPr>
      <w:rFonts w:ascii="Consolas" w:hAnsi="Consolas"/>
      <w:i/>
      <w:color w:val="60A0B0"/>
      <w:sz w:val="22"/>
    </w:rPr>
  </w:style>
  <w:style w:type="character" w:customStyle="1" w:styleId="DocumentationTok">
    <w:name w:val="DocumentationTok"/>
    <w:basedOn w:val="VerbatimChar"/>
    <w:rPr>
      <w:rFonts w:ascii="Consolas" w:hAnsi="Consolas"/>
      <w:i/>
      <w:color w:val="BA2121"/>
      <w:sz w:val="22"/>
    </w:rPr>
  </w:style>
  <w:style w:type="character" w:customStyle="1" w:styleId="AnnotationTok">
    <w:name w:val="Annotation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CommentVarTok">
    <w:name w:val="CommentVar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OtherTok">
    <w:name w:val="OtherTok"/>
    <w:basedOn w:val="VerbatimChar"/>
    <w:rPr>
      <w:rFonts w:ascii="Consolas" w:hAnsi="Consolas"/>
      <w:color w:val="007020"/>
      <w:sz w:val="22"/>
    </w:rPr>
  </w:style>
  <w:style w:type="character" w:customStyle="1" w:styleId="FunctionTok">
    <w:name w:val="FunctionTok"/>
    <w:basedOn w:val="VerbatimChar"/>
    <w:rPr>
      <w:rFonts w:ascii="Consolas" w:hAnsi="Consolas"/>
      <w:color w:val="06287E"/>
      <w:sz w:val="22"/>
    </w:rPr>
  </w:style>
  <w:style w:type="character" w:customStyle="1" w:styleId="VariableTok">
    <w:name w:val="VariableTok"/>
    <w:basedOn w:val="VerbatimChar"/>
    <w:rPr>
      <w:rFonts w:ascii="Consolas" w:hAnsi="Consolas"/>
      <w:color w:val="19177C"/>
      <w:sz w:val="22"/>
    </w:rPr>
  </w:style>
  <w:style w:type="character" w:customStyle="1" w:styleId="ControlFlowTok">
    <w:name w:val="ControlFlowTok"/>
    <w:basedOn w:val="VerbatimChar"/>
    <w:rPr>
      <w:rFonts w:ascii="Consolas" w:hAnsi="Consolas"/>
      <w:b/>
      <w:color w:val="007020"/>
      <w:sz w:val="22"/>
    </w:rPr>
  </w:style>
  <w:style w:type="character" w:customStyle="1" w:styleId="OperatorTok">
    <w:name w:val="OperatorTok"/>
    <w:basedOn w:val="VerbatimChar"/>
    <w:rPr>
      <w:rFonts w:ascii="Consolas" w:hAnsi="Consolas"/>
      <w:color w:val="666666"/>
      <w:sz w:val="22"/>
    </w:rPr>
  </w:style>
  <w:style w:type="character" w:customStyle="1" w:styleId="BuiltInTok">
    <w:name w:val="BuiltInTok"/>
    <w:basedOn w:val="VerbatimChar"/>
    <w:rPr>
      <w:rFonts w:ascii="Consolas" w:hAnsi="Consolas"/>
      <w:color w:val="008000"/>
      <w:sz w:val="22"/>
    </w:rPr>
  </w:style>
  <w:style w:type="character" w:customStyle="1" w:styleId="ExtensionTok">
    <w:name w:val="ExtensionTok"/>
    <w:basedOn w:val="VerbatimChar"/>
    <w:rPr>
      <w:rFonts w:ascii="Consolas" w:hAnsi="Consolas"/>
      <w:sz w:val="22"/>
    </w:rPr>
  </w:style>
  <w:style w:type="character" w:customStyle="1" w:styleId="PreprocessorTok">
    <w:name w:val="PreprocessorTok"/>
    <w:basedOn w:val="VerbatimChar"/>
    <w:rPr>
      <w:rFonts w:ascii="Consolas" w:hAnsi="Consolas"/>
      <w:color w:val="BC7A00"/>
      <w:sz w:val="22"/>
    </w:rPr>
  </w:style>
  <w:style w:type="character" w:customStyle="1" w:styleId="AttributeTok">
    <w:name w:val="AttributeTok"/>
    <w:basedOn w:val="VerbatimChar"/>
    <w:rPr>
      <w:rFonts w:ascii="Consolas" w:hAnsi="Consolas"/>
      <w:color w:val="7D9029"/>
      <w:sz w:val="22"/>
    </w:rPr>
  </w:style>
  <w:style w:type="character" w:customStyle="1" w:styleId="RegionMarkerTok">
    <w:name w:val="RegionMarkerTok"/>
    <w:basedOn w:val="VerbatimChar"/>
    <w:rPr>
      <w:rFonts w:ascii="Consolas" w:hAnsi="Consolas"/>
      <w:sz w:val="22"/>
    </w:rPr>
  </w:style>
  <w:style w:type="character" w:customStyle="1" w:styleId="InformationTok">
    <w:name w:val="Information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WarningTok">
    <w:name w:val="Warning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AlertTok">
    <w:name w:val="AlertTok"/>
    <w:basedOn w:val="VerbatimChar"/>
    <w:rPr>
      <w:rFonts w:ascii="Consolas" w:hAnsi="Consolas"/>
      <w:b/>
      <w:color w:val="FF0000"/>
      <w:sz w:val="22"/>
    </w:rPr>
  </w:style>
  <w:style w:type="character" w:customStyle="1" w:styleId="ErrorTok">
    <w:name w:val="ErrorTok"/>
    <w:basedOn w:val="VerbatimChar"/>
    <w:rPr>
      <w:rFonts w:ascii="Consolas" w:hAnsi="Consolas"/>
      <w:b/>
      <w:color w:val="FF0000"/>
      <w:sz w:val="22"/>
    </w:rPr>
  </w:style>
  <w:style w:type="character" w:customStyle="1" w:styleId="NormalTok">
    <w:name w:val="NormalTok"/>
    <w:basedOn w:val="VerbatimChar"/>
    <w:rPr>
      <w:rFonts w:ascii="Consolas" w:hAnsi="Consolas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347</Words>
  <Characters>2158</Characters>
  <Application>Microsoft Office Word</Application>
  <DocSecurity>0</DocSecurity>
  <Lines>63</Lines>
  <Paragraphs>58</Paragraphs>
  <ScaleCrop>false</ScaleCrop>
  <Company/>
  <LinksUpToDate>false</LinksUpToDate>
  <CharactersWithSpaces>2447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Radoslav Harvanec</dc:creator>
  <cp:keywords/>
  <cp:lastModifiedBy>Radoslav Harvanec</cp:lastModifiedBy>
  <cp:revision>2</cp:revision>
  <dcterms:created xsi:type="dcterms:W3CDTF">2026-03-26T06:21:00Z</dcterms:created>
  <dcterms:modified xsi:type="dcterms:W3CDTF">2026-03-26T06:21:00Z</dcterms:modified>
</cp:coreProperties>
</file>