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Mriekatabuky"/>
        <w:tblW w:w="10373" w:type="dxa"/>
        <w:jc w:val="left"/>
        <w:tblInd w:w="15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61"/>
        <w:gridCol w:w="2664"/>
        <w:gridCol w:w="341"/>
        <w:gridCol w:w="340"/>
        <w:gridCol w:w="339"/>
        <w:gridCol w:w="340"/>
        <w:gridCol w:w="341"/>
        <w:gridCol w:w="340"/>
        <w:gridCol w:w="340"/>
        <w:gridCol w:w="339"/>
        <w:gridCol w:w="568"/>
        <w:gridCol w:w="340"/>
        <w:gridCol w:w="339"/>
        <w:gridCol w:w="340"/>
        <w:gridCol w:w="341"/>
      </w:tblGrid>
      <w:tr>
        <w:trPr/>
        <w:tc>
          <w:tcPr>
            <w:tcW w:w="3061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eastAsia="sk-SK" w:bidi="ar-SA"/>
              </w:rPr>
              <w:t>Poznámky (Úč  – 01)</w:t>
            </w:r>
          </w:p>
        </w:tc>
        <w:tc>
          <w:tcPr>
            <w:tcW w:w="2664" w:type="dxa"/>
            <w:tcBorders>
              <w:top w:val="nil"/>
              <w:bottom w:val="nil"/>
            </w:tcBorders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 xml:space="preserve">IČO </w:t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 xml:space="preserve">5 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5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7</w:t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4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6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7</w:t>
            </w:r>
          </w:p>
        </w:tc>
        <w:tc>
          <w:tcPr>
            <w:tcW w:w="568" w:type="dxa"/>
            <w:tcBorders>
              <w:top w:val="nil"/>
              <w:bottom w:val="nil"/>
            </w:tcBorders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/SID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POZNÁMKY</w:t>
      </w:r>
    </w:p>
    <w:p>
      <w:pPr>
        <w:pStyle w:val="Normal"/>
        <w:spacing w:lineRule="auto" w:line="240" w:before="0" w:after="120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 xml:space="preserve">K ÚČTOVNEJ ZÁVIERKE </w:t>
      </w:r>
    </w:p>
    <w:p>
      <w:pPr>
        <w:pStyle w:val="Normal"/>
        <w:spacing w:lineRule="auto" w:line="240" w:before="0" w:after="120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31.12.2025</w:t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10373" w:type="dxa"/>
        <w:jc w:val="left"/>
        <w:tblInd w:w="15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61"/>
        <w:gridCol w:w="2664"/>
        <w:gridCol w:w="341"/>
        <w:gridCol w:w="340"/>
        <w:gridCol w:w="339"/>
        <w:gridCol w:w="340"/>
        <w:gridCol w:w="341"/>
        <w:gridCol w:w="340"/>
        <w:gridCol w:w="340"/>
        <w:gridCol w:w="339"/>
        <w:gridCol w:w="568"/>
        <w:gridCol w:w="340"/>
        <w:gridCol w:w="339"/>
        <w:gridCol w:w="340"/>
        <w:gridCol w:w="341"/>
      </w:tblGrid>
      <w:tr>
        <w:trPr/>
        <w:tc>
          <w:tcPr>
            <w:tcW w:w="3061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eastAsia="sk-SK" w:bidi="ar-SA"/>
              </w:rPr>
              <w:t>Poznámky (Úč  – 01)</w:t>
            </w:r>
          </w:p>
        </w:tc>
        <w:tc>
          <w:tcPr>
            <w:tcW w:w="2664" w:type="dxa"/>
            <w:tcBorders>
              <w:top w:val="nil"/>
              <w:bottom w:val="nil"/>
            </w:tcBorders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 xml:space="preserve">IČO </w:t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 xml:space="preserve">5 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5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7</w:t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4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6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7</w:t>
            </w:r>
          </w:p>
        </w:tc>
        <w:tc>
          <w:tcPr>
            <w:tcW w:w="568" w:type="dxa"/>
            <w:tcBorders>
              <w:top w:val="nil"/>
              <w:bottom w:val="nil"/>
            </w:tcBorders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/SID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41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ListParagraph"/>
        <w:numPr>
          <w:ilvl w:val="0"/>
          <w:numId w:val="5"/>
        </w:numPr>
        <w:spacing w:lineRule="auto" w:line="240" w:before="0" w:after="120"/>
        <w:ind w:hanging="0" w:left="0"/>
        <w:contextualSpacing/>
        <w:rPr>
          <w:b/>
          <w:sz w:val="22"/>
          <w:szCs w:val="22"/>
        </w:rPr>
      </w:pPr>
      <w:r>
        <w:rPr>
          <w:sz w:val="22"/>
          <w:szCs w:val="22"/>
        </w:rPr>
        <w:t xml:space="preserve">       </w:t>
      </w:r>
      <w:r>
        <w:rPr>
          <w:sz w:val="22"/>
          <w:szCs w:val="22"/>
        </w:rPr>
        <w:t xml:space="preserve">Dátum založenia spoločnosti s ručením obmedzeným :  </w:t>
      </w:r>
      <w:r>
        <w:rPr>
          <w:b/>
          <w:sz w:val="22"/>
          <w:szCs w:val="22"/>
        </w:rPr>
        <w:t>24.01.2023</w:t>
      </w:r>
    </w:p>
    <w:p>
      <w:pPr>
        <w:pStyle w:val="ListParagraph"/>
        <w:spacing w:lineRule="auto" w:line="240" w:before="0" w:after="120"/>
        <w:ind w:left="0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ListParagraph"/>
        <w:spacing w:lineRule="auto" w:line="240" w:before="0" w:after="120"/>
        <w:ind w:firstLine="1" w:left="0"/>
        <w:contextualSpacing/>
        <w:rPr>
          <w:b/>
          <w:sz w:val="22"/>
          <w:szCs w:val="22"/>
        </w:rPr>
      </w:pPr>
      <w:r>
        <w:rPr>
          <w:sz w:val="22"/>
          <w:szCs w:val="22"/>
        </w:rPr>
        <w:t xml:space="preserve">           </w:t>
      </w:r>
      <w:r>
        <w:rPr>
          <w:b/>
          <w:sz w:val="22"/>
          <w:szCs w:val="22"/>
        </w:rPr>
        <w:t xml:space="preserve">mbarcatering s.r.o. </w:t>
      </w:r>
    </w:p>
    <w:p>
      <w:pPr>
        <w:pStyle w:val="ListParagraph"/>
        <w:spacing w:lineRule="auto" w:line="240" w:before="0" w:after="120"/>
        <w:ind w:firstLine="1" w:left="0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rStyle w:val="Ra"/>
          <w:rFonts w:eastAsia="" w:eastAsiaTheme="majorEastAsia"/>
          <w:b/>
        </w:rPr>
        <w:t xml:space="preserve">Doležalova  </w:t>
      </w:r>
      <w:r>
        <w:rPr>
          <w:b/>
        </w:rPr>
        <w:br/>
      </w:r>
      <w:r>
        <w:rPr>
          <w:rStyle w:val="Ra"/>
          <w:rFonts w:eastAsia="" w:eastAsiaTheme="majorEastAsia"/>
          <w:b/>
        </w:rPr>
        <w:t xml:space="preserve">            821 04 Bratislava - mestská časť Ružinov </w:t>
      </w:r>
    </w:p>
    <w:p>
      <w:pPr>
        <w:pStyle w:val="ListParagraph"/>
        <w:spacing w:lineRule="auto" w:line="240" w:before="0" w:after="120"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ListParagraph"/>
        <w:numPr>
          <w:ilvl w:val="0"/>
          <w:numId w:val="0"/>
        </w:numPr>
        <w:spacing w:lineRule="auto" w:line="240" w:before="0" w:after="120"/>
        <w:ind w:hanging="0"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Zakladateľmi spoločnosti s ručením obmedzeným </w:t>
      </w:r>
      <w:r>
        <w:rPr>
          <w:b/>
          <w:sz w:val="22"/>
          <w:szCs w:val="22"/>
        </w:rPr>
        <w:t>mbarcatering s.r.o. :</w:t>
      </w:r>
    </w:p>
    <w:p>
      <w:pPr>
        <w:pStyle w:val="ListParagraph"/>
        <w:spacing w:lineRule="auto" w:line="240" w:before="0" w:after="120"/>
        <w:ind w:left="2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</w:t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</w:t>
      </w:r>
      <w:r>
        <w:rPr>
          <w:b/>
          <w:sz w:val="22"/>
          <w:szCs w:val="22"/>
        </w:rPr>
        <w:t>Ing. Patrik Dolinský</w:t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</w:t>
      </w:r>
      <w:r>
        <w:rPr>
          <w:b/>
          <w:sz w:val="22"/>
          <w:szCs w:val="22"/>
        </w:rPr>
        <w:t>Sabinovská 47</w:t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</w:t>
      </w:r>
      <w:r>
        <w:rPr>
          <w:b/>
          <w:sz w:val="22"/>
          <w:szCs w:val="22"/>
        </w:rPr>
        <w:t>080 01 Prešov</w:t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</w:t>
      </w:r>
      <w:r>
        <w:rPr>
          <w:b/>
          <w:sz w:val="22"/>
          <w:szCs w:val="22"/>
        </w:rPr>
        <w:t>Tomáš Dolinský</w:t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</w:t>
      </w:r>
      <w:r>
        <w:rPr>
          <w:b/>
          <w:sz w:val="22"/>
          <w:szCs w:val="22"/>
        </w:rPr>
        <w:t>Sabinovská 47</w:t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</w:t>
      </w:r>
      <w:r>
        <w:rPr>
          <w:b/>
          <w:sz w:val="22"/>
          <w:szCs w:val="22"/>
        </w:rPr>
        <w:t>080 01 Prešov</w:t>
      </w:r>
    </w:p>
    <w:p>
      <w:pPr>
        <w:pStyle w:val="ListParagraph"/>
        <w:spacing w:lineRule="auto" w:line="240" w:before="0" w:after="120"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5"/>
        </w:numPr>
        <w:spacing w:lineRule="auto" w:line="240" w:before="0" w:after="120"/>
        <w:ind w:hanging="0" w:left="0"/>
        <w:contextualSpacing/>
        <w:rPr>
          <w:b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>
        <w:rPr>
          <w:rFonts w:cs="Times New Roman"/>
          <w:sz w:val="22"/>
          <w:szCs w:val="22"/>
        </w:rPr>
        <w:t>Š</w:t>
      </w:r>
      <w:bookmarkStart w:id="0" w:name="_GoBack"/>
      <w:bookmarkEnd w:id="0"/>
      <w:r>
        <w:rPr>
          <w:rFonts w:cs="Times New Roman"/>
          <w:sz w:val="22"/>
          <w:szCs w:val="22"/>
        </w:rPr>
        <w:t xml:space="preserve">tatutárom </w:t>
      </w:r>
      <w:r>
        <w:rPr>
          <w:sz w:val="22"/>
          <w:szCs w:val="22"/>
        </w:rPr>
        <w:t xml:space="preserve">spoločnosti s ručením obmedzeným </w:t>
      </w:r>
      <w:r>
        <w:rPr>
          <w:b/>
          <w:sz w:val="22"/>
          <w:szCs w:val="22"/>
        </w:rPr>
        <w:t>mbarcatering s.r.o. :</w:t>
      </w:r>
    </w:p>
    <w:p>
      <w:pPr>
        <w:pStyle w:val="ListParagraph"/>
        <w:spacing w:lineRule="auto" w:line="240" w:before="0" w:after="120"/>
        <w:ind w:left="0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ListParagraph"/>
        <w:spacing w:lineRule="auto" w:line="240" w:before="0" w:after="120"/>
        <w:ind w:left="0"/>
        <w:contextualSpacing/>
        <w:rPr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  </w:t>
      </w:r>
      <w:r>
        <w:rPr>
          <w:rFonts w:cs="Times New Roman"/>
          <w:b/>
          <w:sz w:val="22"/>
          <w:szCs w:val="22"/>
        </w:rPr>
        <w:t xml:space="preserve">Konateľ - </w:t>
      </w:r>
      <w:r>
        <w:rPr>
          <w:b/>
          <w:sz w:val="22"/>
          <w:szCs w:val="22"/>
        </w:rPr>
        <w:t>Ing. Patrik Dolinský</w:t>
      </w:r>
    </w:p>
    <w:p>
      <w:pPr>
        <w:pStyle w:val="ListParagraph"/>
        <w:spacing w:lineRule="auto" w:line="240" w:before="0" w:after="120"/>
        <w:ind w:firstLine="1" w:left="3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  <w:tab/>
        <w:t>Konateľ - Tomáš Dolinský</w:t>
      </w:r>
    </w:p>
    <w:p>
      <w:pPr>
        <w:pStyle w:val="ListParagraph"/>
        <w:spacing w:lineRule="auto" w:line="240" w:before="0" w:after="120"/>
        <w:ind w:left="0"/>
        <w:contextualSpacing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</w:r>
    </w:p>
    <w:p>
      <w:pPr>
        <w:pStyle w:val="ListParagraph"/>
        <w:spacing w:lineRule="auto" w:line="240" w:before="0" w:after="120"/>
        <w:ind w:left="0"/>
        <w:contextualSpacing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ListParagraph"/>
        <w:numPr>
          <w:ilvl w:val="0"/>
          <w:numId w:val="5"/>
        </w:numPr>
        <w:spacing w:lineRule="auto" w:line="240" w:before="0" w:after="120"/>
        <w:ind w:hanging="0" w:left="0"/>
        <w:contextualSpacing/>
        <w:rPr>
          <w:rFonts w:cs="Times New Roman"/>
          <w:b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 xml:space="preserve">Základné imanie spoločnosti:   </w:t>
      </w:r>
      <w:r>
        <w:rPr>
          <w:rFonts w:cs="Times New Roman"/>
          <w:b/>
          <w:sz w:val="22"/>
          <w:szCs w:val="22"/>
        </w:rPr>
        <w:t>5 000,- €</w:t>
        <w:tab/>
        <w:tab/>
        <w:t xml:space="preserve">                                               </w:t>
      </w:r>
    </w:p>
    <w:p>
      <w:pPr>
        <w:pStyle w:val="ListParagraph"/>
        <w:numPr>
          <w:ilvl w:val="0"/>
          <w:numId w:val="5"/>
        </w:numPr>
        <w:spacing w:lineRule="auto" w:line="240" w:before="0" w:after="120"/>
        <w:ind w:hanging="0" w:left="0"/>
        <w:contextualSpacing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</w:t>
      </w:r>
      <w:r>
        <w:rPr>
          <w:rFonts w:cs="Times New Roman"/>
          <w:b/>
          <w:sz w:val="22"/>
          <w:szCs w:val="22"/>
        </w:rPr>
        <w:t xml:space="preserve">Splatená časť 100 % : 5 000,- € </w:t>
      </w:r>
    </w:p>
    <w:p>
      <w:pPr>
        <w:pStyle w:val="ListParagraph"/>
        <w:spacing w:lineRule="auto" w:line="240" w:before="0" w:after="120"/>
        <w:ind w:left="0"/>
        <w:contextualSpacing/>
        <w:rPr>
          <w:rFonts w:cs="Times New Roman"/>
          <w:b/>
          <w:sz w:val="22"/>
          <w:szCs w:val="22"/>
        </w:rPr>
      </w:pPr>
      <w:r>
        <w:rPr>
          <w:sz w:val="22"/>
          <w:szCs w:val="22"/>
        </w:rPr>
        <w:t xml:space="preserve">       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>Výška vkladu každého spoločníka :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Ing. Partik Dolinský </w:t>
      </w:r>
    </w:p>
    <w:p>
      <w:pPr>
        <w:pStyle w:val="Normal"/>
        <w:spacing w:lineRule="auto" w:line="240" w:before="0" w:after="120"/>
        <w:rPr>
          <w:rStyle w:val="Ra"/>
          <w:rFonts w:eastAsia="" w:eastAsiaTheme="majorEastAsia"/>
          <w:sz w:val="22"/>
          <w:szCs w:val="22"/>
        </w:rPr>
      </w:pPr>
      <w:r>
        <w:rPr>
          <w:rStyle w:val="Ra"/>
          <w:rFonts w:eastAsia="" w:eastAsiaTheme="majorEastAsia"/>
          <w:sz w:val="24"/>
        </w:rPr>
        <w:t xml:space="preserve">        </w:t>
      </w:r>
      <w:r>
        <w:rPr>
          <w:rStyle w:val="Ra"/>
          <w:rFonts w:eastAsia="" w:eastAsiaTheme="majorEastAsia"/>
          <w:sz w:val="22"/>
          <w:szCs w:val="22"/>
        </w:rPr>
        <w:t>Vklad: 1 500 EUR ( peňažný vklad ) Splatené: 1 500 EUR</w:t>
      </w:r>
    </w:p>
    <w:p>
      <w:pPr>
        <w:pStyle w:val="Normal"/>
        <w:spacing w:lineRule="auto" w:line="240" w:before="0" w:after="12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</w:p>
    <w:p>
      <w:pPr>
        <w:pStyle w:val="Normal"/>
        <w:spacing w:lineRule="auto" w:line="240" w:before="0" w:after="120"/>
        <w:jc w:val="left"/>
        <w:rPr>
          <w:rStyle w:val="Ra"/>
          <w:rFonts w:eastAsia="" w:eastAsiaTheme="majorEastAsia"/>
          <w:sz w:val="22"/>
          <w:szCs w:val="22"/>
        </w:rPr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>Tomáš Dolinský</w:t>
        <w:br/>
      </w:r>
      <w:r>
        <w:rPr>
          <w:rStyle w:val="Ra"/>
          <w:rFonts w:eastAsia="" w:eastAsiaTheme="majorEastAsia"/>
          <w:sz w:val="22"/>
          <w:szCs w:val="22"/>
        </w:rPr>
        <w:t xml:space="preserve">          Vklad: 3 500 EUR ( peňažný vklad ) Splatené: 3 500 EUR</w:t>
      </w:r>
    </w:p>
    <w:p>
      <w:pPr>
        <w:pStyle w:val="ListParagraph"/>
        <w:spacing w:lineRule="auto" w:line="240" w:before="0" w:after="120"/>
        <w:ind w:left="724"/>
        <w:contextualSpacing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ListParagraph"/>
        <w:numPr>
          <w:ilvl w:val="0"/>
          <w:numId w:val="5"/>
        </w:numPr>
        <w:spacing w:lineRule="auto" w:line="240" w:before="0" w:after="120"/>
        <w:ind w:hanging="0" w:left="0"/>
        <w:contextualSpacing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>Konanie menom spoločnosti:</w:t>
      </w:r>
    </w:p>
    <w:p>
      <w:pPr>
        <w:pStyle w:val="ListParagraph"/>
        <w:spacing w:lineRule="auto" w:line="240" w:before="0" w:after="120"/>
        <w:ind w:left="724"/>
        <w:contextualSpacing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Style w:val="Ra"/>
          <w:rFonts w:eastAsia="" w:eastAsiaTheme="majorEastAsia"/>
        </w:rPr>
        <w:t xml:space="preserve">           </w:t>
      </w:r>
      <w:r>
        <w:rPr>
          <w:rStyle w:val="Ra"/>
          <w:rFonts w:eastAsia="" w:eastAsiaTheme="majorEastAsia"/>
          <w:sz w:val="22"/>
          <w:szCs w:val="22"/>
        </w:rPr>
        <w:t>V</w:t>
      </w:r>
      <w:r>
        <w:rPr>
          <w:rStyle w:val="Ra"/>
          <w:rFonts w:eastAsia="" w:eastAsiaTheme="majorEastAsia"/>
        </w:rPr>
        <w:t xml:space="preserve"> </w:t>
      </w:r>
      <w:r>
        <w:rPr>
          <w:rStyle w:val="Ra"/>
          <w:rFonts w:eastAsia="" w:eastAsiaTheme="majorEastAsia"/>
          <w:sz w:val="22"/>
          <w:szCs w:val="22"/>
        </w:rPr>
        <w:t>mene spoločnosti koná a podpisuje každý konateľ samostatne.</w:t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(5)     Predmet činnosti:</w:t>
      </w:r>
    </w:p>
    <w:p>
      <w:pPr>
        <w:pStyle w:val="ListParagraph"/>
        <w:ind w:left="709"/>
        <w:rPr>
          <w:b/>
          <w:szCs w:val="20"/>
        </w:rPr>
      </w:pPr>
      <w:r>
        <w:rPr>
          <w:b/>
          <w:szCs w:val="20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Výroba nápojov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Prenájom hnuteľných vecí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Fotografické služby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Administratívne služby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Vykonávanie mimoškolskej vzdelávacej činnosti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Vedenie účtovníctva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Skladovanie a pomocné činnosti v doprave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Výroba potravinárskych výrobkov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Finančný lízing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Poskytovanie služieb osobného charakteru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Služby súvisiace s produkciou filmov, videozáznamov a zvukových nahrávok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Vydavateľská činnosť, polygrafická výroba a knihárske práce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Dizajnérske činnosti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Prípravné práce k realizácii stavby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Čistiace a upratovacie služby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Uskutočňovanie stavieb a ich zmien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21"/>
        <w:gridCol w:w="3382"/>
      </w:tblGrid>
      <w:tr>
        <w:trPr/>
        <w:tc>
          <w:tcPr>
            <w:tcW w:w="68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3382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>
              <w:rPr>
                <w:rFonts w:cs="Times New Roman"/>
                <w:sz w:val="22"/>
                <w:szCs w:val="22"/>
                <w:lang w:eastAsia="sk-SK"/>
              </w:rPr>
              <w:t>(od: 24.01.2023)</w:t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cs="Times New Roman"/>
          <w:vanish/>
          <w:sz w:val="22"/>
          <w:szCs w:val="22"/>
          <w:lang w:eastAsia="sk-SK"/>
        </w:rPr>
      </w:pPr>
      <w:r>
        <w:rPr>
          <w:rFonts w:cs="Times New Roman"/>
          <w:vanish/>
          <w:sz w:val="22"/>
          <w:szCs w:val="22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04"/>
      </w:tblGrid>
      <w:tr>
        <w:trPr/>
        <w:tc>
          <w:tcPr>
            <w:tcW w:w="10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Prevádzkovanie kultúrnych, spoločenských a zábavných zariadení 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ListParagraph"/>
        <w:spacing w:lineRule="auto" w:line="240" w:before="0" w:after="120"/>
        <w:ind w:left="870"/>
        <w:contextualSpacing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6"/>
        </w:numPr>
        <w:spacing w:lineRule="auto" w:line="240" w:before="0" w:after="120"/>
        <w:ind w:firstLine="2" w:left="0"/>
        <w:contextualSpacing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Spoločnosti s ručením obmedzeným mbarcatering  s.r.o., </w:t>
      </w:r>
      <w:r>
        <w:rPr>
          <w:rFonts w:cs="Times New Roman"/>
          <w:sz w:val="22"/>
          <w:szCs w:val="22"/>
        </w:rPr>
        <w:t xml:space="preserve">predpokladá pokračovať vo svojej činnosti aj v budúcom roku      . </w:t>
      </w:r>
    </w:p>
    <w:p>
      <w:pPr>
        <w:pStyle w:val="ListParagraph"/>
        <w:spacing w:lineRule="auto" w:line="240" w:before="0" w:after="120"/>
        <w:ind w:left="870"/>
        <w:contextualSpacing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6"/>
        </w:numPr>
        <w:spacing w:lineRule="auto" w:line="240" w:before="0" w:after="0"/>
        <w:contextualSpacing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   </w:t>
      </w:r>
    </w:p>
    <w:p>
      <w:pPr>
        <w:pStyle w:val="Normal"/>
        <w:spacing w:lineRule="auto" w:line="240" w:before="0" w:after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>
        <w:rPr>
          <w:rFonts w:cs="Times New Roman"/>
          <w:sz w:val="22"/>
          <w:szCs w:val="22"/>
        </w:rPr>
        <w:t>s obstaraním a podobne.</w:t>
      </w:r>
    </w:p>
    <w:p>
      <w:pPr>
        <w:pStyle w:val="Normal"/>
        <w:spacing w:lineRule="auto" w:line="240" w:before="0" w:after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(3)     </w:t>
        <w:tab/>
        <w:t xml:space="preserve">Pohľadávky a záväzky sú oceňované menovitou hodnotou. Ocenenie pohľadávok sa znižuje o pochybné  </w:t>
      </w:r>
    </w:p>
    <w:p>
      <w:pPr>
        <w:pStyle w:val="Normal"/>
        <w:spacing w:lineRule="auto" w:line="240" w:before="0" w:after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>
        <w:rPr>
          <w:rFonts w:cs="Times New Roman"/>
          <w:sz w:val="22"/>
          <w:szCs w:val="22"/>
        </w:rPr>
        <w:t xml:space="preserve">a nevymožiteľné pohľadávky.  </w:t>
      </w:r>
    </w:p>
    <w:p>
      <w:pPr>
        <w:pStyle w:val="Normal"/>
        <w:spacing w:lineRule="auto" w:line="240" w:before="0" w:after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sectPr>
          <w:footerReference w:type="default" r:id="rId2"/>
          <w:footerReference w:type="first" r:id="rId3"/>
          <w:type w:val="nextPage"/>
          <w:pgSz w:w="11906" w:h="16838"/>
          <w:pgMar w:left="851" w:right="851" w:gutter="0" w:header="0" w:top="851" w:footer="709" w:bottom="851"/>
          <w:pgNumType w:start="1" w:fmt="decimal"/>
          <w:formProt w:val="false"/>
          <w:textDirection w:val="lrTb"/>
          <w:docGrid w:type="default" w:linePitch="272" w:charSpace="8192"/>
        </w:sectPr>
        <w:pStyle w:val="Normal"/>
        <w:spacing w:lineRule="auto" w:line="240" w:before="0" w:after="0"/>
        <w:ind w:firstLine="1" w:left="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>
        <w:rPr>
          <w:rFonts w:cs="Times New Roman"/>
          <w:sz w:val="22"/>
          <w:szCs w:val="22"/>
        </w:rPr>
        <w:t>Peňažné prostriedky a ceniny sa oceňujú menovitou hodnotou.</w:t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III:</w:t>
      </w:r>
    </w:p>
    <w:tbl>
      <w:tblPr>
        <w:tblW w:w="15685" w:type="dxa"/>
        <w:jc w:val="left"/>
        <w:tblInd w:w="15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943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Spolu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b/>
                <w:szCs w:val="20"/>
              </w:rPr>
              <w:t>Prvotné ocenenie</w:t>
            </w:r>
            <w:r>
              <w:rPr>
                <w:rFonts w:cs="Times New Roman"/>
                <w:szCs w:val="20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11 410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11 410</w:t>
            </w:r>
          </w:p>
        </w:tc>
      </w:tr>
      <w:tr>
        <w:trPr>
          <w:trHeight w:val="40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3 595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11 410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3 595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15 005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 xml:space="preserve">Oprávky – </w:t>
            </w:r>
            <w:r>
              <w:rPr>
                <w:rFonts w:cs="Times New Roman"/>
                <w:szCs w:val="20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  <w:r>
              <w:rPr>
                <w:rFonts w:cs="Times New Roman"/>
                <w:szCs w:val="20"/>
              </w:rPr>
              <w:t>5 467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  <w:r>
              <w:rPr>
                <w:rFonts w:cs="Times New Roman"/>
                <w:szCs w:val="20"/>
              </w:rPr>
              <w:t>5 467</w:t>
            </w:r>
          </w:p>
        </w:tc>
      </w:tr>
      <w:tr>
        <w:trPr>
          <w:trHeight w:val="426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- </w:t>
            </w:r>
            <w:r>
              <w:rPr>
                <w:rFonts w:cs="Times New Roman"/>
                <w:szCs w:val="20"/>
              </w:rPr>
              <w:t>2 853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  <w:r>
              <w:rPr>
                <w:rFonts w:cs="Times New Roman"/>
                <w:szCs w:val="20"/>
              </w:rPr>
              <w:t>182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- </w:t>
            </w:r>
            <w:r>
              <w:rPr>
                <w:rFonts w:cs="Times New Roman"/>
                <w:szCs w:val="20"/>
              </w:rPr>
              <w:t>3 035</w:t>
            </w:r>
          </w:p>
        </w:tc>
      </w:tr>
      <w:tr>
        <w:trPr>
          <w:trHeight w:val="43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 -</w:t>
            </w:r>
            <w:r>
              <w:rPr>
                <w:rFonts w:cs="Times New Roman"/>
                <w:szCs w:val="20"/>
              </w:rPr>
              <w:t>8 320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  <w:r>
              <w:rPr>
                <w:rFonts w:cs="Times New Roman"/>
                <w:szCs w:val="20"/>
              </w:rPr>
              <w:t>182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  <w:r>
              <w:rPr>
                <w:rFonts w:cs="Times New Roman"/>
                <w:szCs w:val="20"/>
              </w:rPr>
              <w:t>8 502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b/>
                <w:szCs w:val="20"/>
              </w:rPr>
              <w:t>Opravné položky</w:t>
            </w:r>
            <w:r>
              <w:rPr>
                <w:rFonts w:cs="Times New Roman"/>
                <w:szCs w:val="20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</w:tr>
      <w:tr>
        <w:trPr>
          <w:trHeight w:val="30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/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/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 xml:space="preserve">- </w:t>
            </w:r>
            <w:r>
              <w:rPr>
                <w:rFonts w:cs="Times New Roman"/>
                <w:b/>
                <w:szCs w:val="20"/>
              </w:rPr>
              <w:t>3 090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-3 413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 xml:space="preserve">- </w:t>
            </w:r>
            <w:r>
              <w:rPr>
                <w:rFonts w:cs="Times New Roman"/>
                <w:b/>
                <w:szCs w:val="20"/>
              </w:rPr>
              <w:t>6 503</w:t>
            </w:r>
          </w:p>
        </w:tc>
      </w:tr>
    </w:tbl>
    <w:p>
      <w:pPr>
        <w:pStyle w:val="Normal"/>
        <w:spacing w:lineRule="auto" w:line="240" w:before="0" w:after="120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tbl>
      <w:tblPr>
        <w:tblW w:w="15990" w:type="dxa"/>
        <w:jc w:val="left"/>
        <w:tblInd w:w="-6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120"/>
        <w:gridCol w:w="4973"/>
        <w:gridCol w:w="3897"/>
      </w:tblGrid>
      <w:tr>
        <w:trPr>
          <w:trHeight w:val="386" w:hRule="atLeast"/>
        </w:trPr>
        <w:tc>
          <w:tcPr>
            <w:tcW w:w="7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pokladní a bánk</w:t>
            </w:r>
          </w:p>
        </w:tc>
        <w:tc>
          <w:tcPr>
            <w:tcW w:w="8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>
          <w:trHeight w:val="140" w:hRule="atLeast"/>
        </w:trPr>
        <w:tc>
          <w:tcPr>
            <w:tcW w:w="71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right="-116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>
          <w:trHeight w:val="380" w:hRule="atLeast"/>
        </w:trPr>
        <w:tc>
          <w:tcPr>
            <w:tcW w:w="7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156</w:t>
            </w:r>
          </w:p>
        </w:tc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39</w:t>
            </w:r>
          </w:p>
        </w:tc>
      </w:tr>
      <w:tr>
        <w:trPr>
          <w:trHeight w:val="434" w:hRule="atLeast"/>
        </w:trPr>
        <w:tc>
          <w:tcPr>
            <w:tcW w:w="7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Pokladnice  spolu</w:t>
            </w:r>
          </w:p>
        </w:tc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</w:t>
            </w:r>
          </w:p>
        </w:tc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</w:p>
        </w:tc>
      </w:tr>
      <w:tr>
        <w:trPr>
          <w:trHeight w:val="456" w:hRule="atLeast"/>
        </w:trPr>
        <w:tc>
          <w:tcPr>
            <w:tcW w:w="7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24 028</w:t>
            </w:r>
          </w:p>
        </w:tc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12 727</w:t>
            </w:r>
          </w:p>
        </w:tc>
      </w:tr>
      <w:tr>
        <w:trPr>
          <w:trHeight w:val="397" w:hRule="atLeast"/>
        </w:trPr>
        <w:tc>
          <w:tcPr>
            <w:tcW w:w="7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Bankové účty  spolu</w:t>
            </w:r>
          </w:p>
        </w:tc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24 028</w:t>
            </w:r>
          </w:p>
        </w:tc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12 727</w:t>
            </w:r>
          </w:p>
        </w:tc>
      </w:tr>
    </w:tbl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tbl>
      <w:tblPr>
        <w:tblW w:w="17299" w:type="dxa"/>
        <w:jc w:val="left"/>
        <w:tblInd w:w="-6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"/>
        <w:gridCol w:w="7122"/>
        <w:gridCol w:w="4974"/>
        <w:gridCol w:w="3895"/>
        <w:gridCol w:w="172"/>
        <w:gridCol w:w="166"/>
        <w:gridCol w:w="776"/>
        <w:gridCol w:w="165"/>
      </w:tblGrid>
      <w:tr>
        <w:trPr>
          <w:trHeight w:val="399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 a  záväzkov</w:t>
            </w:r>
          </w:p>
        </w:tc>
        <w:tc>
          <w:tcPr>
            <w:tcW w:w="8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145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712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right="-116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393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2 540</w:t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1 990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449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pohľadávky  spolu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2 540</w:t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1 990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47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4 259</w:t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2 386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411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4 259</w:t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2 386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5991" w:type="dxa"/>
            <w:gridSpan w:val="3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279" w:type="dxa"/>
            <w:gridSpan w:val="4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5991" w:type="dxa"/>
            <w:gridSpan w:val="3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279" w:type="dxa"/>
            <w:gridSpan w:val="4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99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rFonts w:cs="Times New Roman"/>
                <w:b/>
                <w:color w:val="000000"/>
                <w:sz w:val="22"/>
                <w:szCs w:val="22"/>
              </w:rPr>
              <w:t>Prijaté preddavky</w:t>
            </w:r>
          </w:p>
        </w:tc>
        <w:tc>
          <w:tcPr>
            <w:tcW w:w="8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145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712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393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preddavky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1 000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393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7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Prijaté preddavky spolu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1 000</w:t>
            </w:r>
          </w:p>
        </w:tc>
        <w:tc>
          <w:tcPr>
            <w:tcW w:w="172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200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5991" w:type="dxa"/>
            <w:gridSpan w:val="3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279" w:type="dxa"/>
            <w:gridSpan w:val="4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200" w:hRule="atLeast"/>
        </w:trPr>
        <w:tc>
          <w:tcPr>
            <w:tcW w:w="16190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  <w:tbl>
            <w:tblPr>
              <w:tblW w:w="15964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4a0"/>
            </w:tblPr>
            <w:tblGrid>
              <w:gridCol w:w="7084"/>
              <w:gridCol w:w="5061"/>
              <w:gridCol w:w="1823"/>
              <w:gridCol w:w="1996"/>
            </w:tblGrid>
            <w:tr>
              <w:trPr>
                <w:trHeight w:val="399" w:hRule="atLeast"/>
              </w:trPr>
              <w:tc>
                <w:tcPr>
                  <w:tcW w:w="7084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Ostatné dane a poplatky</w:t>
                  </w:r>
                </w:p>
              </w:tc>
              <w:tc>
                <w:tcPr>
                  <w:tcW w:w="8880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Stav na konci</w:t>
                  </w:r>
                </w:p>
              </w:tc>
            </w:tr>
            <w:tr>
              <w:trPr>
                <w:trHeight w:val="145" w:hRule="atLeast"/>
              </w:trPr>
              <w:tc>
                <w:tcPr>
                  <w:tcW w:w="7084" w:type="dxa"/>
                  <w:vMerge w:val="continue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spacing w:lineRule="auto" w:line="240" w:before="0" w:after="0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bežného účtovného obdobia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bezprostredne predchádzajúceho účtovného obdobia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Ostatné dane a poplatky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178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123</w:t>
                  </w:r>
                </w:p>
              </w:tc>
            </w:tr>
            <w:tr>
              <w:trPr>
                <w:trHeight w:val="449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Ostatné dane a poplatky  spolu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178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123</w:t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2145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3819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2145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3819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99" w:hRule="atLeast"/>
              </w:trPr>
              <w:tc>
                <w:tcPr>
                  <w:tcW w:w="7084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b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  <w:t>Ostatné záväzky voči spoločníkom a členom</w:t>
                  </w:r>
                </w:p>
              </w:tc>
              <w:tc>
                <w:tcPr>
                  <w:tcW w:w="8880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Stav na konci</w:t>
                  </w:r>
                </w:p>
              </w:tc>
            </w:tr>
            <w:tr>
              <w:trPr>
                <w:trHeight w:val="145" w:hRule="atLeast"/>
              </w:trPr>
              <w:tc>
                <w:tcPr>
                  <w:tcW w:w="7084" w:type="dxa"/>
                  <w:vMerge w:val="continue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spacing w:lineRule="auto" w:line="240" w:before="0" w:after="0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bežného účtovného obdobia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bezprostredne predchádzajúceho účtovného obdobia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Ostatné záväzky voči spoločníkom a členom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1 200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4 600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  <w:t>Ostatné záväzky voči spoločníkom a členom spolu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1 200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4 600</w:t>
                  </w:r>
                </w:p>
              </w:tc>
            </w:tr>
            <w:tr>
              <w:trPr>
                <w:trHeight w:val="200" w:hRule="atLeast"/>
              </w:trPr>
              <w:tc>
                <w:tcPr>
                  <w:tcW w:w="12145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3819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</w:r>
                </w:p>
              </w:tc>
              <w:tc>
                <w:tcPr>
                  <w:tcW w:w="3819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bottom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>
                    <w:bottom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</w:r>
                </w:p>
              </w:tc>
              <w:tc>
                <w:tcPr>
                  <w:tcW w:w="3819" w:type="dxa"/>
                  <w:gridSpan w:val="2"/>
                  <w:tcBorders>
                    <w:bottom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</w:r>
                </w:p>
              </w:tc>
            </w:tr>
            <w:tr>
              <w:trPr>
                <w:trHeight w:val="399" w:hRule="atLeast"/>
              </w:trPr>
              <w:tc>
                <w:tcPr>
                  <w:tcW w:w="7084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b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  <w:t>Náklady budúcich období</w:t>
                  </w:r>
                </w:p>
              </w:tc>
              <w:tc>
                <w:tcPr>
                  <w:tcW w:w="8880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Stav na konci</w:t>
                  </w:r>
                </w:p>
              </w:tc>
            </w:tr>
            <w:tr>
              <w:trPr>
                <w:trHeight w:val="145" w:hRule="atLeast"/>
              </w:trPr>
              <w:tc>
                <w:tcPr>
                  <w:tcW w:w="7084" w:type="dxa"/>
                  <w:vMerge w:val="continue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spacing w:lineRule="auto" w:line="240" w:before="0" w:after="0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ind w:right="325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bežného účtovného obdobia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bezprostredne predchádzajúceho účtovného obdobia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Náklady budúcich období krátkodobé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89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52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  <w:t>Náklady budúcich období spolu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89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52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</w:r>
                </w:p>
              </w:tc>
            </w:tr>
            <w:tr>
              <w:trPr>
                <w:trHeight w:val="399" w:hRule="atLeast"/>
              </w:trPr>
              <w:tc>
                <w:tcPr>
                  <w:tcW w:w="7084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b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  <w:t>Základné imanie a kapitálové fondy</w:t>
                  </w:r>
                </w:p>
              </w:tc>
              <w:tc>
                <w:tcPr>
                  <w:tcW w:w="8880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Stav na konci</w:t>
                  </w:r>
                </w:p>
              </w:tc>
            </w:tr>
            <w:tr>
              <w:trPr>
                <w:trHeight w:val="145" w:hRule="atLeast"/>
              </w:trPr>
              <w:tc>
                <w:tcPr>
                  <w:tcW w:w="7084" w:type="dxa"/>
                  <w:vMerge w:val="continue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spacing w:lineRule="auto" w:line="240" w:before="0" w:after="0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ind w:right="325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bežného účtovného obdobia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bezprostredne predchádzajúceho účtovného obdobia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Základné imanie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5 000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5 000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color w:val="000000"/>
                      <w:sz w:val="22"/>
                      <w:szCs w:val="22"/>
                    </w:rPr>
                    <w:t>Základné Imanie a kapitálové fondy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5 000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5 000</w:t>
                  </w:r>
                </w:p>
              </w:tc>
            </w:tr>
            <w:tr>
              <w:trPr>
                <w:trHeight w:val="399" w:hRule="atLeast"/>
              </w:trPr>
              <w:tc>
                <w:tcPr>
                  <w:tcW w:w="7084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Záväzky z prenájmu</w:t>
                  </w:r>
                </w:p>
              </w:tc>
              <w:tc>
                <w:tcPr>
                  <w:tcW w:w="8880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Stav na konci</w:t>
                  </w:r>
                </w:p>
              </w:tc>
            </w:tr>
            <w:tr>
              <w:trPr>
                <w:trHeight w:val="145" w:hRule="atLeast"/>
              </w:trPr>
              <w:tc>
                <w:tcPr>
                  <w:tcW w:w="7084" w:type="dxa"/>
                  <w:vMerge w:val="continue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spacing w:lineRule="auto" w:line="240" w:before="0" w:after="0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bežného účtovného obdobia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bezprostredne predchádzajúceho účtovného obdobia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Záväzky z prenájmu Tatraleasing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2 686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sz w:val="22"/>
                      <w:szCs w:val="22"/>
                      <w:lang w:eastAsia="sk-SK"/>
                    </w:rPr>
                  </w:pPr>
                  <w:r>
                    <w:rPr>
                      <w:sz w:val="22"/>
                      <w:szCs w:val="22"/>
                      <w:lang w:eastAsia="sk-SK"/>
                    </w:rPr>
                    <w:t>5 001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70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left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Záväzky z prenájmu spolu</w:t>
                  </w:r>
                </w:p>
              </w:tc>
              <w:tc>
                <w:tcPr>
                  <w:tcW w:w="50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2 686</w:t>
                  </w:r>
                </w:p>
              </w:tc>
              <w:tc>
                <w:tcPr>
                  <w:tcW w:w="381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b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sz w:val="22"/>
                      <w:szCs w:val="22"/>
                      <w:lang w:eastAsia="sk-SK"/>
                    </w:rPr>
                    <w:t>5 001</w:t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2145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  <w:t>Výsledok hospodárenia k 31.12.2025</w:t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0"/>
                    <w:rPr>
                      <w:b/>
                      <w:bCs/>
                      <w:kern w:val="2"/>
                      <w:sz w:val="24"/>
                    </w:rPr>
                  </w:pPr>
                  <w:r>
                    <w:rPr>
                      <w:b/>
                      <w:bCs/>
                      <w:kern w:val="2"/>
                      <w:sz w:val="24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4"/>
                    </w:rPr>
                  </w:pPr>
                  <w:r>
                    <w:rPr>
                      <w:rFonts w:cs="Times New Roman"/>
                      <w:color w:val="000000"/>
                      <w:sz w:val="24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4"/>
                    </w:rPr>
                  </w:pPr>
                  <w:r>
                    <w:rPr>
                      <w:rFonts w:cs="Times New Roman"/>
                      <w:color w:val="000000"/>
                      <w:sz w:val="24"/>
                    </w:rPr>
                  </w:r>
                </w:p>
              </w:tc>
              <w:tc>
                <w:tcPr>
                  <w:tcW w:w="3819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2145" w:type="dxa"/>
                  <w:gridSpan w:val="2"/>
                  <w:tcBorders/>
                  <w:vAlign w:val="center"/>
                </w:tcPr>
                <w:tbl>
                  <w:tblPr>
                    <w:tblW w:w="11899" w:type="dxa"/>
                    <w:jc w:val="center"/>
                    <w:tblInd w:w="0" w:type="dxa"/>
                    <w:tblLayout w:type="fixed"/>
                    <w:tblCellMar>
                      <w:top w:w="0" w:type="dxa"/>
                      <w:left w:w="108" w:type="dxa"/>
                      <w:bottom w:w="0" w:type="dxa"/>
                      <w:right w:w="108" w:type="dxa"/>
                    </w:tblCellMar>
                    <w:tblLook w:val="04a0"/>
                  </w:tblPr>
                  <w:tblGrid>
                    <w:gridCol w:w="4158"/>
                    <w:gridCol w:w="1277"/>
                    <w:gridCol w:w="1416"/>
                    <w:gridCol w:w="1134"/>
                    <w:gridCol w:w="1277"/>
                    <w:gridCol w:w="1275"/>
                    <w:gridCol w:w="1361"/>
                  </w:tblGrid>
                  <w:tr>
                    <w:trPr>
                      <w:trHeight w:val="645" w:hRule="atLeast"/>
                    </w:trPr>
                    <w:tc>
                      <w:tcPr>
                        <w:tcW w:w="4158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Názov položky</w:t>
                        </w:r>
                      </w:p>
                    </w:tc>
                    <w:tc>
                      <w:tcPr>
                        <w:tcW w:w="3827" w:type="dxa"/>
                        <w:gridSpan w:val="3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Bežné účtovné obdobie</w:t>
                        </w:r>
                      </w:p>
                    </w:tc>
                    <w:tc>
                      <w:tcPr>
                        <w:tcW w:w="3913" w:type="dxa"/>
                        <w:gridSpan w:val="3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Bezprostredne predchádzajúce</w:t>
                        </w:r>
                      </w:p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 xml:space="preserve"> </w:t>
                        </w:r>
                        <w:r>
                          <w:rPr/>
                          <w:t>účtovné obdobie</w:t>
                        </w:r>
                      </w:p>
                    </w:tc>
                  </w:tr>
                  <w:tr>
                    <w:trPr>
                      <w:trHeight w:val="347" w:hRule="atLeast"/>
                    </w:trPr>
                    <w:tc>
                      <w:tcPr>
                        <w:tcW w:w="4158" w:type="dxa"/>
                        <w:vMerge w:val="continue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b/>
                            <w:bCs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Základ dane</w:t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Daň %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Daň v €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Základ dane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Daň %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TopHeader"/>
                          <w:rPr/>
                        </w:pPr>
                        <w:r>
                          <w:rPr/>
                          <w:t>Daň v €</w:t>
                        </w:r>
                      </w:p>
                    </w:tc>
                  </w:tr>
                  <w:tr>
                    <w:trPr>
                      <w:trHeight w:val="332" w:hRule="atLeast"/>
                    </w:trPr>
                    <w:tc>
                      <w:tcPr>
                        <w:tcW w:w="4158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416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113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1275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1361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g</w:t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Výsledok hospodárenia </w:t>
                          <w:br/>
                          <w:t>pred zdanením, z toho: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0" w:after="0"/>
                          <w:jc w:val="center"/>
                          <w:rPr>
                            <w:b/>
                            <w:szCs w:val="22"/>
                            <w:u w:val="single"/>
                          </w:rPr>
                        </w:pPr>
                        <w:r>
                          <w:rPr>
                            <w:b/>
                            <w:szCs w:val="22"/>
                            <w:u w:val="single"/>
                          </w:rPr>
                          <w:t>17 693</w:t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0" w:after="0"/>
                          <w:jc w:val="center"/>
                          <w:rPr>
                            <w:b/>
                            <w:szCs w:val="22"/>
                            <w:u w:val="single"/>
                          </w:rPr>
                        </w:pPr>
                        <w:r>
                          <w:rPr>
                            <w:b/>
                            <w:szCs w:val="22"/>
                            <w:u w:val="single"/>
                          </w:rPr>
                          <w:t>1 832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left w:val="single" w:sz="12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 xml:space="preserve">teoretická daň 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416" w:type="dxa"/>
                        <w:tcBorders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275" w:type="dxa"/>
                        <w:tcBorders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Daňovo neuznané náklady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94</w:t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Výnosy nepodliehajúce dani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Vplyv nevykázanej odloženej daňovej pohľadávky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6" w:space="0" w:color="000000"/>
                          <w:bottom w:val="single" w:sz="6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Umorenie daňovej straty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6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6" w:space="0" w:color="000000"/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6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Zmena sadzby dane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/>
                        </w:r>
                      </w:p>
                    </w:tc>
                    <w:tc>
                      <w:tcPr>
                        <w:tcW w:w="1134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</w:r>
                      </w:p>
                    </w:tc>
                    <w:tc>
                      <w:tcPr>
                        <w:tcW w:w="1275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/>
                        </w:r>
                      </w:p>
                    </w:tc>
                    <w:tc>
                      <w:tcPr>
                        <w:tcW w:w="1361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/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Iné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5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Spolu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17 787</w:t>
                        </w:r>
                      </w:p>
                    </w:tc>
                    <w:tc>
                      <w:tcPr>
                        <w:tcW w:w="1416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10 %</w:t>
                        </w:r>
                      </w:p>
                    </w:tc>
                    <w:tc>
                      <w:tcPr>
                        <w:tcW w:w="1134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1 779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5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>15 %</w:t>
                        </w:r>
                      </w:p>
                    </w:tc>
                    <w:tc>
                      <w:tcPr>
                        <w:tcW w:w="1361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>275</w:t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Splatná daň z príjmov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416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275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top w:val="single" w:sz="4" w:space="0" w:color="000000"/>
                          <w:left w:val="single" w:sz="12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Odložená daň z príjmov</w:t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4" w:space="0" w:color="000000"/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top w:val="single" w:sz="4" w:space="0" w:color="000000"/>
                          <w:left w:val="single" w:sz="12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val="399" w:hRule="atLeast"/>
                    </w:trPr>
                    <w:tc>
                      <w:tcPr>
                        <w:tcW w:w="4158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left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 xml:space="preserve">Celková daň z príjmov </w:t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416" w:type="dxa"/>
                        <w:tcBorders>
                          <w:bottom w:val="single" w:sz="12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134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277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jc w:val="center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275" w:type="dxa"/>
                        <w:tcBorders>
                          <w:bottom w:val="single" w:sz="12" w:space="0" w:color="000000"/>
                          <w:right w:val="single" w:sz="4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  <w:tc>
                      <w:tcPr>
                        <w:tcW w:w="1361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  <w:vAlign w:val="center"/>
                      </w:tcPr>
                      <w:p>
                        <w:pPr>
                          <w:pStyle w:val="Normal"/>
                          <w:spacing w:lineRule="auto" w:line="240" w:before="120" w:after="0"/>
                          <w:rPr>
                            <w:szCs w:val="22"/>
                          </w:rPr>
                        </w:pPr>
                        <w:r>
                          <w:rPr>
                            <w:szCs w:val="22"/>
                          </w:rPr>
                        </w:r>
                      </w:p>
                    </w:tc>
                  </w:tr>
                </w:tbl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3819" w:type="dxa"/>
                  <w:gridSpan w:val="2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5964" w:type="dxa"/>
                  <w:gridSpan w:val="4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3968" w:type="dxa"/>
                  <w:gridSpan w:val="3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1996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3968" w:type="dxa"/>
                  <w:gridSpan w:val="3"/>
                  <w:tcBorders/>
                  <w:vAlign w:val="center"/>
                </w:tcPr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0"/>
                    <w:rPr>
                      <w:b/>
                      <w:bCs/>
                      <w:kern w:val="2"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kern w:val="2"/>
                      <w:sz w:val="22"/>
                      <w:szCs w:val="22"/>
                    </w:rPr>
                    <w:t>Čl. IV</w:t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1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Informácie, ktoré dopĺňajú a vysvetľujú údaje o firme</w:t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1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1"/>
                    <w:rPr>
                      <w:rFonts w:cs="Times New Roman"/>
                      <w:sz w:val="22"/>
                      <w:szCs w:val="22"/>
                    </w:rPr>
                  </w:pPr>
                  <w:r>
                    <w:rPr>
                      <w:bCs/>
                      <w:sz w:val="22"/>
                      <w:szCs w:val="22"/>
                    </w:rPr>
                    <w:t>Spoločnosť mbarcatering, má v záujme sa zaoberať naďalej svojou činnosťou v oblasti cateringových služieb.</w:t>
                  </w:r>
                </w:p>
                <w:p>
                  <w:pPr>
                    <w:pStyle w:val="Normal"/>
                    <w:spacing w:lineRule="auto" w:line="240"/>
                    <w:jc w:val="center"/>
                    <w:rPr>
                      <w:rFonts w:cs="Times New Roman"/>
                      <w:sz w:val="22"/>
                      <w:szCs w:val="22"/>
                    </w:rPr>
                  </w:pPr>
                  <w:r>
                    <w:rPr>
                      <w:rFonts w:cs="Times New Roman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/>
                    <w:jc w:val="center"/>
                    <w:rPr>
                      <w:rFonts w:cs="Times New Roman"/>
                      <w:sz w:val="22"/>
                      <w:szCs w:val="22"/>
                    </w:rPr>
                  </w:pPr>
                  <w:r>
                    <w:rPr>
                      <w:rFonts w:cs="Times New Roman"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120"/>
                    <w:jc w:val="center"/>
                    <w:rPr>
                      <w:b/>
                      <w:bCs/>
                      <w:kern w:val="2"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kern w:val="2"/>
                      <w:sz w:val="22"/>
                      <w:szCs w:val="22"/>
                    </w:rPr>
                    <w:t>Čl. V</w:t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1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Ďalšie informácie</w:t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1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1"/>
                    <w:rPr>
                      <w:rFonts w:cs="Times New Roman"/>
                      <w:bCs/>
                      <w:sz w:val="22"/>
                      <w:szCs w:val="22"/>
                    </w:rPr>
                  </w:pPr>
                  <w:r>
                    <w:rPr>
                      <w:rFonts w:cs="Times New Roman"/>
                      <w:bCs/>
                      <w:sz w:val="22"/>
                      <w:szCs w:val="22"/>
                    </w:rPr>
                    <w:t>Spoločnosť s ručením obmedzeným nezaznamenala ďalšie skutočnosti, ktoré sú obsahom tohto článku.</w:t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jc w:val="center"/>
                    <w:outlineLvl w:val="1"/>
                    <w:rPr>
                      <w:rFonts w:cs="Times New Roman"/>
                      <w:bCs/>
                      <w:sz w:val="22"/>
                      <w:szCs w:val="22"/>
                    </w:rPr>
                  </w:pPr>
                  <w:r>
                    <w:rPr>
                      <w:rFonts w:cs="Times New Roman"/>
                      <w:bCs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1"/>
                    <w:rPr>
                      <w:rFonts w:cs="Times New Roman"/>
                      <w:bCs/>
                      <w:sz w:val="22"/>
                      <w:szCs w:val="22"/>
                    </w:rPr>
                  </w:pPr>
                  <w:r>
                    <w:rPr>
                      <w:rFonts w:cs="Times New Roman"/>
                      <w:bCs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keepNext w:val="true"/>
                    <w:numPr>
                      <w:ilvl w:val="0"/>
                      <w:numId w:val="0"/>
                    </w:numPr>
                    <w:spacing w:lineRule="auto" w:line="240" w:before="0" w:after="120"/>
                    <w:outlineLvl w:val="1"/>
                    <w:rPr>
                      <w:rFonts w:cs="Times New Roman"/>
                      <w:bCs/>
                      <w:sz w:val="22"/>
                      <w:szCs w:val="22"/>
                    </w:rPr>
                  </w:pPr>
                  <w:r>
                    <w:rPr>
                      <w:rFonts w:cs="Times New Roman"/>
                      <w:bCs/>
                      <w:sz w:val="22"/>
                      <w:szCs w:val="22"/>
                    </w:rPr>
                  </w:r>
                </w:p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1996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3968" w:type="dxa"/>
                  <w:gridSpan w:val="3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1996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3968" w:type="dxa"/>
                  <w:gridSpan w:val="3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1996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3968" w:type="dxa"/>
                  <w:gridSpan w:val="3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1996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3968" w:type="dxa"/>
                  <w:gridSpan w:val="3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1996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32" w:hRule="atLeast"/>
              </w:trPr>
              <w:tc>
                <w:tcPr>
                  <w:tcW w:w="13968" w:type="dxa"/>
                  <w:gridSpan w:val="3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  <w:tc>
                <w:tcPr>
                  <w:tcW w:w="1996" w:type="dxa"/>
                  <w:tcBorders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cs="Times New Roman"/>
                      <w:color w:val="000000"/>
                      <w:sz w:val="22"/>
                      <w:szCs w:val="22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</w:rPr>
                  </w:r>
                </w:p>
              </w:tc>
            </w:tr>
          </w:tbl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2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776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  <w:tc>
          <w:tcPr>
            <w:tcW w:w="165" w:type="dxa"/>
            <w:tcBorders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  <w:tr>
        <w:trPr>
          <w:trHeight w:val="332" w:hRule="atLeast"/>
        </w:trPr>
        <w:tc>
          <w:tcPr>
            <w:tcW w:w="27" w:type="dxa"/>
            <w:tcBorders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16329" w:type="dxa"/>
            <w:gridSpan w:val="5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  <w:tc>
          <w:tcPr>
            <w:tcW w:w="941" w:type="dxa"/>
            <w:gridSpan w:val="2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</w:r>
          </w:p>
        </w:tc>
      </w:tr>
    </w:tbl>
    <w:p>
      <w:pPr>
        <w:sectPr>
          <w:footerReference w:type="even" r:id="rId4"/>
          <w:footerReference w:type="default" r:id="rId5"/>
          <w:footerReference w:type="first" r:id="rId6"/>
          <w:type w:val="nextPage"/>
          <w:pgSz w:orient="landscape" w:w="16838" w:h="11906"/>
          <w:pgMar w:left="851" w:right="395" w:gutter="0" w:header="0" w:top="851" w:footer="709" w:bottom="851"/>
          <w:pgNumType w:start="7" w:fmt="decimal"/>
          <w:formProt w:val="false"/>
          <w:textDirection w:val="lrTb"/>
          <w:docGrid w:type="default" w:linePitch="272" w:charSpace="8192"/>
        </w:sectPr>
      </w:pP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</w:r>
    </w:p>
    <w:sectPr>
      <w:footerReference w:type="even" r:id="rId7"/>
      <w:footerReference w:type="default" r:id="rId8"/>
      <w:footerReference w:type="first" r:id="rId9"/>
      <w:type w:val="nextPage"/>
      <w:pgSz w:w="11906" w:h="16838"/>
      <w:pgMar w:left="851" w:right="851" w:gutter="0" w:header="0" w:top="851" w:footer="709" w:bottom="851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  <w:p>
    <w:pPr>
      <w:pStyle w:val="Footer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  <w:p>
    <w:pPr>
      <w:pStyle w:val="Footer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  <w:p>
    <w:pPr>
      <w:pStyle w:val="Footer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/>
      <w:rPr/>
    </w:pPr>
    <w:r>
      <w:rPr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  <w:p>
    <w:pPr>
      <w:pStyle w:val="Footer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/>
      <w:rPr/>
    </w:pPr>
    <w:r>
      <w:rPr/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  <w:p>
    <w:pPr>
      <w:pStyle w:val="Footer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/>
      <w:rPr/>
    </w:pPr>
    <w:r>
      <w:rPr/>
    </w:r>
  </w:p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rPr/>
    </w:pPr>
    <w:r>
      <w:rPr/>
    </w:r>
  </w:p>
  <w:p>
    <w:pPr>
      <w:pStyle w:val="Footer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 w:color="000000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24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4" w:hanging="180"/>
      </w:pPr>
      <w:rPr/>
    </w:lvl>
  </w:abstractNum>
  <w:abstractNum w:abstractNumId="6">
    <w:lvl w:ilvl="0">
      <w:start w:val="1"/>
      <w:numFmt w:val="decimal"/>
      <w:lvlText w:val="(%1)"/>
      <w:lvlJc w:val="left"/>
      <w:pPr>
        <w:tabs>
          <w:tab w:val="num" w:pos="0"/>
        </w:tabs>
        <w:ind w:left="362" w:hanging="360"/>
      </w:pPr>
      <w:rPr>
        <w:rFonts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2" w:hanging="180"/>
      </w:pPr>
      <w:rPr/>
    </w:lvl>
  </w:abstractNum>
  <w:abstractNum w:abstractNumId="7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hyphenationZone w:val="425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ce3723"/>
    <w:pPr>
      <w:widowControl/>
      <w:suppressAutoHyphens w:val="true"/>
      <w:bidi w:val="0"/>
      <w:spacing w:lineRule="auto" w:line="360" w:before="120" w:after="120"/>
      <w:jc w:val="both"/>
    </w:pPr>
    <w:rPr>
      <w:rFonts w:ascii="Arial Narrow" w:hAnsi="Arial Narrow" w:cs="Arial" w:eastAsia="Times New Roman"/>
      <w:color w:val="auto"/>
      <w:kern w:val="0"/>
      <w:sz w:val="20"/>
      <w:szCs w:val="24"/>
      <w:lang w:eastAsia="cs-CZ" w:val="sk-SK" w:bidi="ar-SA"/>
    </w:rPr>
  </w:style>
  <w:style w:type="paragraph" w:styleId="Heading1">
    <w:name w:val="Heading 1"/>
    <w:basedOn w:val="Normal"/>
    <w:next w:val="Heading2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"/>
    <w:qFormat/>
    <w:locked/>
    <w:rsid w:val="00bb0e9f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  <w:lang w:eastAsia="cs-CZ"/>
    </w:rPr>
  </w:style>
  <w:style w:type="character" w:styleId="Nadpis2Char" w:customStyle="1">
    <w:name w:val="Nadpis 2 Char"/>
    <w:basedOn w:val="DefaultParagraphFont"/>
    <w:uiPriority w:val="9"/>
    <w:semiHidden/>
    <w:qFormat/>
    <w:locked/>
    <w:rsid w:val="00bb0e9f"/>
    <w:rPr>
      <w:rFonts w:ascii="Cambria" w:hAnsi="Cambria" w:eastAsia="" w:cs="Times New Roman" w:asciiTheme="majorHAnsi" w:eastAsiaTheme="majorEastAsia" w:hAnsiTheme="majorHAnsi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basedOn w:val="DefaultParagraphFont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uiPriority w:val="99"/>
    <w:qFormat/>
    <w:locked/>
    <w:rsid w:val="00bb0e9f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>
      <w:rFonts w:cs="Times New Roman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e774eb"/>
    <w:rPr>
      <w:rFonts w:ascii="Tahoma" w:hAnsi="Tahoma" w:cs="Tahoma"/>
      <w:sz w:val="16"/>
      <w:szCs w:val="16"/>
      <w:lang w:eastAsia="cs-CZ"/>
    </w:rPr>
  </w:style>
  <w:style w:type="character" w:styleId="HlavikaChar" w:customStyle="1">
    <w:name w:val="Hlavička Char"/>
    <w:basedOn w:val="DefaultParagraphFont"/>
    <w:uiPriority w:val="99"/>
    <w:qFormat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St1" w:customStyle="1">
    <w:name w:val="st1"/>
    <w:basedOn w:val="DefaultParagraphFont"/>
    <w:qFormat/>
    <w:rsid w:val="00b626ad"/>
    <w:rPr/>
  </w:style>
  <w:style w:type="character" w:styleId="Ra" w:customStyle="1">
    <w:name w:val="ra"/>
    <w:basedOn w:val="DefaultParagraphFont"/>
    <w:qFormat/>
    <w:rsid w:val="00c43e9a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next w:val="Normal"/>
    <w:uiPriority w:val="99"/>
    <w:qFormat/>
    <w:rsid w:val="00d71ffb"/>
    <w:pPr>
      <w:widowControl/>
      <w:bidi w:val="0"/>
      <w:spacing w:lineRule="auto" w:line="360" w:before="0" w:after="0"/>
      <w:jc w:val="both"/>
    </w:pPr>
    <w:rPr>
      <w:rFonts w:ascii="Arial" w:hAnsi="Arial" w:cs="Arial" w:eastAsia="Times New Roman"/>
      <w:color w:val="000000"/>
      <w:kern w:val="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numPr>
        <w:ilvl w:val="0"/>
        <w:numId w:val="2"/>
      </w:numPr>
      <w:bidi w:val="0"/>
      <w:spacing w:before="120" w:after="120"/>
      <w:jc w:val="left"/>
    </w:pPr>
    <w:rPr>
      <w:rFonts w:ascii="Arial" w:hAnsi="Arial" w:cs="Arial" w:eastAsia="Times New Roman"/>
      <w:b/>
      <w:bCs/>
      <w:color w:val="auto"/>
      <w:kern w:val="0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spacing w:before="0" w:after="0"/>
      <w:jc w:val="both"/>
    </w:pPr>
    <w:rPr>
      <w:rFonts w:ascii="Arial" w:hAnsi="Arial" w:cs="Arial" w:eastAsia="Times New Roman"/>
      <w:color w:val="auto"/>
      <w:kern w:val="0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numPr>
        <w:ilvl w:val="0"/>
        <w:numId w:val="3"/>
      </w:numPr>
      <w:spacing w:lineRule="auto" w:line="240"/>
    </w:pPr>
    <w:rPr/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link w:val="PtaChar"/>
    <w:uiPriority w:val="99"/>
    <w:rsid w:val="0072048d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next w:val="Normal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auto"/>
      <w:kern w:val="0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numPr>
        <w:ilvl w:val="0"/>
        <w:numId w:val="4"/>
      </w:numPr>
      <w:bidi w:val="0"/>
      <w:spacing w:before="120" w:after="120"/>
      <w:jc w:val="both"/>
    </w:pPr>
    <w:rPr>
      <w:rFonts w:ascii="Arial Narrow" w:hAnsi="Arial Narrow" w:cs="Arial" w:eastAsia="Times New Roman"/>
      <w:color w:val="auto"/>
      <w:kern w:val="0"/>
      <w:sz w:val="22"/>
      <w:szCs w:val="22"/>
      <w:lang w:eastAsia="cs-CZ" w:val="sk-SK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e774e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lavikaChar"/>
    <w:uiPriority w:val="99"/>
    <w:unhideWhenUsed/>
    <w:rsid w:val="00335024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uiPriority w:val="99"/>
    <w:qFormat/>
    <w:rsid w:val="00b626ad"/>
    <w:pPr>
      <w:spacing w:before="120" w:after="120"/>
      <w:ind w:left="720"/>
      <w:contextualSpacing/>
    </w:pPr>
    <w:rPr/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footer" Target="footer4.xml"/><Relationship Id="rId6" Type="http://schemas.openxmlformats.org/officeDocument/2006/relationships/footer" Target="footer5.xml"/><Relationship Id="rId7" Type="http://schemas.openxmlformats.org/officeDocument/2006/relationships/footer" Target="footer6.xml"/><Relationship Id="rId8" Type="http://schemas.openxmlformats.org/officeDocument/2006/relationships/footer" Target="footer7.xml"/><Relationship Id="rId9" Type="http://schemas.openxmlformats.org/officeDocument/2006/relationships/footer" Target="footer8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<Relationship Id="rId14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39299F-FDD4-422A-A5AC-C92D40352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Application>LibreOffice/24.2.3.2$Windows_X86_64 LibreOffice_project/433d9c2ded56988e8a90e6b2e771ee4e6a5ab2ba</Application>
  <AppVersion>15.0000</AppVersion>
  <Pages>14</Pages>
  <Words>982</Words>
  <Characters>5758</Characters>
  <CharactersWithSpaces>6892</CharactersWithSpaces>
  <Paragraphs>309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2026-03-25T11:47:00Z</dcterms:created>
  <dc:creator>jvrskova</dc:creator>
  <dc:description/>
  <dc:language>sk-SK</dc:language>
  <cp:lastModifiedBy/>
  <cp:lastPrinted>2022-03-29T06:50:00Z</cp:lastPrinted>
  <dcterms:modified xsi:type="dcterms:W3CDTF">2026-03-29T18:54:36Z</dcterms:modified>
  <cp:revision>9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