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4E62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0" w:name="_gjdgxs" w:colFirst="0" w:colLast="0"/>
      <w:bookmarkEnd w:id="0"/>
    </w:p>
    <w:p w14:paraId="1A97A232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účtovnej jednotke</w:t>
      </w:r>
    </w:p>
    <w:p w14:paraId="24579D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4BB0794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Založenie spoločnosti</w:t>
      </w:r>
    </w:p>
    <w:p w14:paraId="085662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Spoločnosť: </w:t>
      </w:r>
      <w:r>
        <w:rPr>
          <w:rFonts w:hint="default"/>
          <w:color w:val="000000"/>
          <w:sz w:val="22"/>
          <w:szCs w:val="22"/>
          <w:lang w:val="sk-SK"/>
        </w:rPr>
        <w:t>VISEET</w:t>
      </w:r>
      <w:r>
        <w:rPr>
          <w:color w:val="000000"/>
          <w:sz w:val="22"/>
          <w:szCs w:val="22"/>
        </w:rPr>
        <w:t>, s.r.o. (ďalej len Spoločnosť)</w:t>
      </w:r>
    </w:p>
    <w:p w14:paraId="46A0269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 xml:space="preserve">Sídlo: </w:t>
      </w:r>
      <w:r>
        <w:rPr>
          <w:rFonts w:hint="default"/>
          <w:color w:val="000000"/>
          <w:sz w:val="22"/>
          <w:szCs w:val="22"/>
          <w:lang w:val="sk-SK"/>
        </w:rPr>
        <w:t xml:space="preserve">Kpt. Jaroša 780/15 </w:t>
      </w:r>
      <w:r>
        <w:rPr>
          <w:color w:val="000000"/>
          <w:sz w:val="22"/>
          <w:szCs w:val="22"/>
        </w:rPr>
        <w:t>, 0</w:t>
      </w:r>
      <w:r>
        <w:rPr>
          <w:rFonts w:hint="default"/>
          <w:color w:val="000000"/>
          <w:sz w:val="22"/>
          <w:szCs w:val="22"/>
          <w:lang w:val="sk-SK"/>
        </w:rPr>
        <w:t>40</w:t>
      </w:r>
      <w:r>
        <w:rPr>
          <w:color w:val="000000"/>
          <w:sz w:val="22"/>
          <w:szCs w:val="22"/>
        </w:rPr>
        <w:t xml:space="preserve"> </w:t>
      </w:r>
      <w:r>
        <w:rPr>
          <w:rFonts w:hint="default"/>
          <w:color w:val="000000"/>
          <w:sz w:val="22"/>
          <w:szCs w:val="22"/>
          <w:lang w:val="sk-SK"/>
        </w:rPr>
        <w:t>22</w:t>
      </w:r>
      <w:r>
        <w:rPr>
          <w:color w:val="000000"/>
          <w:sz w:val="22"/>
          <w:szCs w:val="22"/>
        </w:rPr>
        <w:t xml:space="preserve"> </w:t>
      </w:r>
      <w:r>
        <w:rPr>
          <w:rFonts w:hint="default"/>
          <w:color w:val="000000"/>
          <w:sz w:val="22"/>
          <w:szCs w:val="22"/>
          <w:lang w:val="sk-SK"/>
        </w:rPr>
        <w:t>Košice</w:t>
      </w:r>
    </w:p>
    <w:p w14:paraId="06F17D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 xml:space="preserve">Založená dňa:  </w:t>
      </w:r>
      <w:r>
        <w:rPr>
          <w:rFonts w:hint="default"/>
          <w:color w:val="000000"/>
          <w:sz w:val="22"/>
          <w:szCs w:val="22"/>
          <w:lang w:val="sk-SK"/>
        </w:rPr>
        <w:t>31.01.2019</w:t>
      </w:r>
    </w:p>
    <w:p w14:paraId="784FAD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Do obchodného registra bola zapísaná dňa: </w:t>
      </w:r>
      <w:r>
        <w:rPr>
          <w:rFonts w:hint="default"/>
          <w:color w:val="000000"/>
          <w:sz w:val="22"/>
          <w:szCs w:val="22"/>
          <w:lang w:val="sk-SK"/>
        </w:rPr>
        <w:t>31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01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2019</w:t>
      </w:r>
      <w:r>
        <w:rPr>
          <w:color w:val="000000"/>
          <w:sz w:val="22"/>
          <w:szCs w:val="22"/>
        </w:rPr>
        <w:t xml:space="preserve"> </w:t>
      </w:r>
    </w:p>
    <w:p w14:paraId="46ACE9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(Obchodný register Okresného súdu Prešov, oddiel s.r.o., vložka </w:t>
      </w:r>
      <w:r>
        <w:rPr>
          <w:rFonts w:hint="default"/>
          <w:color w:val="000000"/>
          <w:sz w:val="22"/>
          <w:szCs w:val="22"/>
          <w:lang w:val="sk-SK"/>
        </w:rPr>
        <w:t>45484</w:t>
      </w:r>
      <w:r>
        <w:rPr>
          <w:color w:val="000000"/>
          <w:sz w:val="22"/>
          <w:szCs w:val="22"/>
        </w:rPr>
        <w:t>/</w:t>
      </w:r>
      <w:r>
        <w:rPr>
          <w:rFonts w:hint="default"/>
          <w:color w:val="000000"/>
          <w:sz w:val="22"/>
          <w:szCs w:val="22"/>
          <w:lang w:val="sk-SK"/>
        </w:rPr>
        <w:t>V</w:t>
      </w:r>
      <w:r>
        <w:rPr>
          <w:color w:val="000000"/>
          <w:sz w:val="22"/>
          <w:szCs w:val="22"/>
        </w:rPr>
        <w:t xml:space="preserve">). </w:t>
      </w:r>
    </w:p>
    <w:p w14:paraId="737D681E">
      <w:pPr>
        <w:pStyle w:val="3"/>
        <w:rPr>
          <w:sz w:val="22"/>
          <w:szCs w:val="22"/>
        </w:rPr>
      </w:pPr>
    </w:p>
    <w:p w14:paraId="17FBA69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rFonts w:hint="default"/>
          <w:b w:val="0"/>
          <w:bCs/>
          <w:color w:val="000000"/>
          <w:sz w:val="22"/>
          <w:szCs w:val="22"/>
          <w:lang w:val="sk-SK"/>
        </w:rPr>
      </w:pPr>
      <w:bookmarkStart w:id="1" w:name="_30j0zll" w:colFirst="0" w:colLast="0"/>
      <w:bookmarkEnd w:id="1"/>
      <w:r>
        <w:rPr>
          <w:b/>
          <w:color w:val="000000"/>
          <w:sz w:val="22"/>
          <w:szCs w:val="22"/>
        </w:rPr>
        <w:t xml:space="preserve">Hlavnými činnosťami Spoločnosti sú: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Počítačové služby a služby súvisiace s počítačovým spracovaním údajov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ab/>
      </w:r>
    </w:p>
    <w:p w14:paraId="2BB1BD0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E0B111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Údaje o neobmedzenom ručení</w:t>
      </w:r>
    </w:p>
    <w:p w14:paraId="27E42047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1DE4DA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8036D3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Právny dôvod na zostavenie účtovnej závierky</w:t>
      </w:r>
    </w:p>
    <w:p w14:paraId="08DEFD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Účtovná závierka Spoločnosti k 31. decembru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do 31. decembra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>.</w:t>
      </w:r>
    </w:p>
    <w:p w14:paraId="28324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DA226AE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 w:firstLine="330" w:firstLineChars="150"/>
        <w:rPr>
          <w:rFonts w:hint="default"/>
          <w:b/>
          <w:color w:val="000000"/>
          <w:sz w:val="22"/>
          <w:szCs w:val="22"/>
          <w:lang w:val="sk-SK"/>
        </w:rPr>
      </w:pPr>
      <w:r>
        <w:rPr>
          <w:b/>
          <w:color w:val="000000"/>
          <w:sz w:val="22"/>
          <w:szCs w:val="22"/>
        </w:rPr>
        <w:t>Dátum schválenia účtovnej závierky za predchádzajúce účtovné obdobie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. </w:t>
      </w:r>
    </w:p>
    <w:p w14:paraId="5F9C1DA6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40" w:leftChars="220" w:firstLine="0" w:firstLineChars="0"/>
        <w:rPr>
          <w:rFonts w:hint="default"/>
          <w:b w:val="0"/>
          <w:bCs/>
          <w:color w:val="000000"/>
          <w:sz w:val="22"/>
          <w:szCs w:val="22"/>
          <w:lang w:val="sk-SK"/>
        </w:rPr>
      </w:pPr>
      <w:r>
        <w:rPr>
          <w:rFonts w:hint="default"/>
          <w:b w:val="0"/>
          <w:bCs/>
          <w:color w:val="000000"/>
          <w:sz w:val="22"/>
          <w:szCs w:val="22"/>
          <w:lang w:val="sk-SK"/>
        </w:rPr>
        <w:t>Účtovná závierka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za rok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2024 bola schválená 27.3.2025. Zisk za rok 2025 vo výške 2 198, Eur bol schválený ako nerozdelený zisk.</w:t>
      </w:r>
    </w:p>
    <w:p w14:paraId="7F66463B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rFonts w:hint="default"/>
          <w:b/>
          <w:color w:val="000000"/>
          <w:sz w:val="22"/>
          <w:szCs w:val="22"/>
          <w:lang w:val="sk-SK"/>
        </w:rPr>
      </w:pPr>
    </w:p>
    <w:p w14:paraId="1F74B6B8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Počet zamestnancov </w:t>
      </w:r>
    </w:p>
    <w:p w14:paraId="27AB21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BD9A4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FDE5B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Údaje o počte zamestnancov za bežné účtovné obdobie sú uvedené v nasledujúcom prehľade:</w:t>
      </w:r>
    </w:p>
    <w:p w14:paraId="35586C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DA07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 </w:t>
      </w:r>
    </w:p>
    <w:p w14:paraId="4E4B83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 w14:paraId="6A272DA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749134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694730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31937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068FC17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 w14:paraId="338D56E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0</w:t>
            </w:r>
          </w:p>
          <w:p w14:paraId="356210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0AD875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0C6D694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orgánoch účtovnej jednotky</w:t>
      </w:r>
    </w:p>
    <w:p w14:paraId="2B4162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5B6175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Výška jednotlivých druhov záruk alebo iných zabezpečení poskytnutých pre členov štatutárneho orgánu, dozorného orgánu a iného orgánu ÚJ:</w:t>
      </w:r>
    </w:p>
    <w:p w14:paraId="590F1A51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Informácia o pôžičkách:</w:t>
      </w:r>
    </w:p>
    <w:p w14:paraId="440AF0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poskytnutých pôžičiek k 31.12. bežného obdobia podľa jednotlivých orgánov:</w:t>
      </w:r>
    </w:p>
    <w:p w14:paraId="2539CE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Konateľ:</w:t>
      </w:r>
    </w:p>
    <w:p w14:paraId="302209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761000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6DA5DB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splatených pôžičiek za posledné účtovné obdobie:</w:t>
      </w:r>
    </w:p>
    <w:p w14:paraId="44C217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Konateľ:</w:t>
      </w:r>
    </w:p>
    <w:p w14:paraId="34E91EC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86C9FA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554FDB8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odpustených pôžičiek a odpísaných pôžičiek k 31.12. bežného obdobia: 0,- €</w:t>
      </w:r>
    </w:p>
    <w:p w14:paraId="33A3D0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aktuálnom účtovnom období neboli odpustené ani odpísané žiadne pôžičky.</w:t>
      </w:r>
    </w:p>
    <w:p w14:paraId="53C133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1F88F37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7D0DE0FD">
      <w:pPr>
        <w:pStyle w:val="3"/>
        <w:rPr>
          <w:sz w:val="22"/>
          <w:szCs w:val="22"/>
        </w:rPr>
      </w:pPr>
    </w:p>
    <w:p w14:paraId="44EBF0F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konsolidovanom celku</w:t>
      </w:r>
    </w:p>
    <w:p w14:paraId="00E044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 xml:space="preserve">        Spoločnosť není súčasťou konsolidovaného celku.</w:t>
      </w:r>
    </w:p>
    <w:p w14:paraId="4B091329">
      <w:pPr>
        <w:pStyle w:val="3"/>
        <w:rPr>
          <w:sz w:val="22"/>
          <w:szCs w:val="22"/>
        </w:rPr>
      </w:pPr>
      <w:bookmarkStart w:id="2" w:name="_1fob9te" w:colFirst="0" w:colLast="0"/>
      <w:bookmarkEnd w:id="2"/>
    </w:p>
    <w:p w14:paraId="35299033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 xml:space="preserve">Informácie o účtovných zásadách a účtovných metódach  </w:t>
      </w:r>
    </w:p>
    <w:p w14:paraId="1FFF8C6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466B7C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Východiská pre zostavenie účtovnej závierky</w:t>
      </w:r>
    </w:p>
    <w:p w14:paraId="0B1194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závierka bola zostavená za predpokladu, že Spoločnosť bude nepretržite pokračovať vo svojej činnosti (goingconcern).</w:t>
      </w:r>
    </w:p>
    <w:p w14:paraId="65DA6C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V účtovnom období 2025 spoločnosť neúčtovala o výzmnamných skutočnostiach nimulých období.</w:t>
      </w:r>
    </w:p>
    <w:p w14:paraId="2BBB5E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23F6F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59B18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12832F12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Počas účtovného obdobia neboli prijaté zmeny účtovných zásad a účtovných metód</w:t>
      </w:r>
    </w:p>
    <w:p w14:paraId="17A5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73DEBD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642831F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Účtovné metódy a všeobecné účtovné zásady pri oceňovaní</w:t>
      </w:r>
    </w:p>
    <w:p w14:paraId="0D34F6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01C10A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Dlhodobý nehmotný majetok a dlhodobý hmotný majetok</w:t>
      </w:r>
    </w:p>
    <w:p w14:paraId="69E33D4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8F974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074512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11021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61B20E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049F32B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F6BE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14F397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6EBFA46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Cenné papiere a podiely</w:t>
      </w:r>
    </w:p>
    <w:p w14:paraId="3C645C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566747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D3BF4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na obchodovanie sa pri ich obstaraní oceňujú reálnou hodnotou. </w:t>
      </w:r>
    </w:p>
    <w:p w14:paraId="19DF25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66CF8D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Zásoby </w:t>
      </w:r>
    </w:p>
    <w:p w14:paraId="479228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Zásoby sa oceňujú obstarávacou cenou.</w:t>
      </w:r>
    </w:p>
    <w:p w14:paraId="0EA096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B3C0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7501EE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2FA66A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29878B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účtuje  zásoby spôsobom B.</w:t>
      </w:r>
    </w:p>
    <w:p w14:paraId="7600A9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4F348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Peňažné prostriedky a ceniny</w:t>
      </w:r>
    </w:p>
    <w:p w14:paraId="244F03A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Peňažné prostriedky a ceniny sa oceňujú ich menovitou hodnotou. Zníženie ich hodnoty sa vyjadruje opravnou položkou.</w:t>
      </w:r>
    </w:p>
    <w:p w14:paraId="1DE3B15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DC69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5F9E5D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17100E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44B70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Cudzia mena</w:t>
      </w:r>
    </w:p>
    <w:p w14:paraId="102D7F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BFB62A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3264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Na ocenenie prírastku cudzej meny nakúpenej za euro sa použije kurz, za ktorý bola táto cudzia mena nakúpená.</w:t>
      </w:r>
    </w:p>
    <w:p w14:paraId="765AF4B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BF43A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326FF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BA648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87BF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982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83B06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AE1F8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5E0095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E0695E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Výnosy</w:t>
      </w:r>
    </w:p>
    <w:p w14:paraId="49AD09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980BE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8A28F55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výroba</w:t>
      </w:r>
    </w:p>
    <w:p w14:paraId="588F9A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Nemáme</w:t>
      </w:r>
    </w:p>
    <w:p w14:paraId="2C87FE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4191DC2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výstavba nehnuteľnosti</w:t>
      </w:r>
    </w:p>
    <w:p w14:paraId="62714D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16E5CB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Nemáme</w:t>
      </w:r>
    </w:p>
    <w:p w14:paraId="2EB084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1D5C100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Pohľadávky</w:t>
      </w:r>
    </w:p>
    <w:p w14:paraId="6F2E2A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D970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23BE46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4233AB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Náklady budúcich období a príjmy budúcich období</w:t>
      </w:r>
    </w:p>
    <w:p w14:paraId="431305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31D5EB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8EB4E3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Rezervy</w:t>
      </w:r>
    </w:p>
    <w:p w14:paraId="32F8BE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84E88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2BF749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1C4A52F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07A00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3F96523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Záväzky</w:t>
      </w:r>
    </w:p>
    <w:p w14:paraId="77690B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3FACA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BDCD0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ADCB92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Výdavky budúcich období a výnosy budúcich období</w:t>
      </w:r>
    </w:p>
    <w:p w14:paraId="42D7D68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D9FF1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62145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E0DFA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Prenájom (lízing)</w:t>
      </w:r>
    </w:p>
    <w:p w14:paraId="2DE63E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Majetok prenajatý na základe operatívneho prenájmu vykazuje ako svoj majetok jeho vlastník, nie nájomca.</w:t>
      </w:r>
    </w:p>
    <w:p w14:paraId="3DC680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91C9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1224E8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C595E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46AB55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60861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53E867C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904AB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074D5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8EC5FF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Odložené dane</w:t>
      </w:r>
    </w:p>
    <w:p w14:paraId="138DB4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14:paraId="5941B733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63A1ECDD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72A432CA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previesť nevyužité daňové odpočty a iné daňové nároky do budúcich období.</w:t>
      </w:r>
    </w:p>
    <w:p w14:paraId="444B1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DA30A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bookmarkStart w:id="3" w:name="_3znysh7" w:colFirst="0" w:colLast="0"/>
      <w:bookmarkEnd w:id="3"/>
      <w:r>
        <w:rPr>
          <w:b/>
          <w:color w:val="000000"/>
          <w:sz w:val="22"/>
          <w:szCs w:val="22"/>
        </w:rPr>
        <w:t>Tvorba odpisovaného plánu</w:t>
      </w:r>
    </w:p>
    <w:p w14:paraId="008A96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4F827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FAA8B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4D6E41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4E6CD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6262F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8AB7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14:paraId="45745B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9D8B15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7E3D6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FF3632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2F69F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A9B376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306BF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Ročná odpisová</w:t>
            </w:r>
          </w:p>
        </w:tc>
      </w:tr>
      <w:tr w14:paraId="50B7BA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2F8AF19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7108DFB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2886EE3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688D070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7D902BB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607CA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4E2A87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sadzba v %</w:t>
            </w:r>
          </w:p>
        </w:tc>
      </w:tr>
      <w:tr w14:paraId="38691A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384DA2B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administratívu, bytové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5C51CB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11AB938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40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4892FE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2CD1A9A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linárna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56095C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01FF24E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2,5</w:t>
            </w:r>
          </w:p>
        </w:tc>
      </w:tr>
      <w:tr w14:paraId="0C3F6A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  <w:tcBorders>
              <w:top w:val="single" w:color="000000" w:sz="4" w:space="0"/>
            </w:tcBorders>
          </w:tcPr>
          <w:p w14:paraId="08C814C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obchod, priemysel</w:t>
            </w:r>
          </w:p>
        </w:tc>
        <w:tc>
          <w:tcPr>
            <w:tcW w:w="1985" w:type="dxa"/>
            <w:tcBorders>
              <w:top w:val="single" w:color="000000" w:sz="4" w:space="0"/>
            </w:tcBorders>
          </w:tcPr>
          <w:p w14:paraId="16C149C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color="000000" w:sz="4" w:space="0"/>
            </w:tcBorders>
          </w:tcPr>
          <w:p w14:paraId="281D9ED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614AD05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color="000000" w:sz="4" w:space="0"/>
            </w:tcBorders>
          </w:tcPr>
          <w:p w14:paraId="541B109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411DE7B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</w:tr>
      <w:tr w14:paraId="58B601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414091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Lode, lietadlá, železničné lokomotívy</w:t>
            </w:r>
          </w:p>
        </w:tc>
        <w:tc>
          <w:tcPr>
            <w:tcW w:w="1985" w:type="dxa"/>
          </w:tcPr>
          <w:p w14:paraId="50179FD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</w:t>
            </w:r>
          </w:p>
        </w:tc>
        <w:tc>
          <w:tcPr>
            <w:tcW w:w="141" w:type="dxa"/>
          </w:tcPr>
          <w:p w14:paraId="62ECD25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6E9D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1829297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6C2FA3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8,3</w:t>
            </w:r>
          </w:p>
        </w:tc>
      </w:tr>
      <w:tr w14:paraId="2132F3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7068D4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Elektrické motory,turbíny, pece,horáky</w:t>
            </w:r>
          </w:p>
        </w:tc>
        <w:tc>
          <w:tcPr>
            <w:tcW w:w="1985" w:type="dxa"/>
          </w:tcPr>
          <w:p w14:paraId="591BAB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</w:t>
            </w:r>
          </w:p>
        </w:tc>
        <w:tc>
          <w:tcPr>
            <w:tcW w:w="141" w:type="dxa"/>
          </w:tcPr>
          <w:p w14:paraId="3F5D5C7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DAD94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3683A3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AE947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</w:tc>
      </w:tr>
      <w:tr w14:paraId="698662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2B98A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Benzinový os. automobil, počítač, projek</w:t>
            </w:r>
          </w:p>
        </w:tc>
        <w:tc>
          <w:tcPr>
            <w:tcW w:w="1985" w:type="dxa"/>
          </w:tcPr>
          <w:p w14:paraId="1103B9F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</w:t>
            </w:r>
          </w:p>
        </w:tc>
        <w:tc>
          <w:tcPr>
            <w:tcW w:w="141" w:type="dxa"/>
          </w:tcPr>
          <w:p w14:paraId="7EEFD4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3E452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4C05C3C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4EE8C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25</w:t>
            </w:r>
          </w:p>
        </w:tc>
      </w:tr>
      <w:tr w14:paraId="59DEA0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3EAF64C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Elektromobil</w:t>
            </w:r>
          </w:p>
        </w:tc>
        <w:tc>
          <w:tcPr>
            <w:tcW w:w="1985" w:type="dxa"/>
          </w:tcPr>
          <w:p w14:paraId="4D5C859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</w:t>
            </w:r>
          </w:p>
        </w:tc>
        <w:tc>
          <w:tcPr>
            <w:tcW w:w="141" w:type="dxa"/>
          </w:tcPr>
          <w:p w14:paraId="7153C8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11D0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7286749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C06ED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50</w:t>
            </w:r>
          </w:p>
        </w:tc>
      </w:tr>
      <w:tr w14:paraId="10CA6E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E0FC8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6D4CA37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1A47517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6A5483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19BB387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D1F49A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</w:t>
            </w:r>
          </w:p>
        </w:tc>
      </w:tr>
      <w:tr w14:paraId="2E478B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877DFC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92F4A2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" w:type="dxa"/>
          </w:tcPr>
          <w:p w14:paraId="5D277B4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8B6FD5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</w:tcPr>
          <w:p w14:paraId="03965B1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EFAB8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1D03E3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5B2C4E6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16411B2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42D234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0D83C04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Dotácie zo štátneho rozpočtu</w:t>
      </w:r>
    </w:p>
    <w:p w14:paraId="0328A7BE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098F39">
      <w:pPr>
        <w:pStyle w:val="3"/>
        <w:ind w:left="450"/>
        <w:jc w:val="both"/>
        <w:rPr>
          <w:sz w:val="22"/>
          <w:szCs w:val="22"/>
        </w:rPr>
      </w:pPr>
    </w:p>
    <w:p w14:paraId="64DF7EC6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8412C39">
      <w:pPr>
        <w:pStyle w:val="3"/>
        <w:ind w:left="450"/>
        <w:jc w:val="both"/>
        <w:rPr>
          <w:sz w:val="22"/>
          <w:szCs w:val="22"/>
        </w:rPr>
      </w:pPr>
    </w:p>
    <w:p w14:paraId="1A0F7B70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22"/>
          <w:szCs w:val="22"/>
        </w:rPr>
        <w:br w:type="textWrapping"/>
      </w:r>
      <w:r>
        <w:rPr>
          <w:sz w:val="22"/>
          <w:szCs w:val="22"/>
        </w:rPr>
        <w:t xml:space="preserve">z tohto dlhodobého majetku. </w:t>
      </w:r>
    </w:p>
    <w:p w14:paraId="35FAF10F">
      <w:pPr>
        <w:pStyle w:val="3"/>
        <w:ind w:left="450"/>
        <w:jc w:val="both"/>
        <w:rPr>
          <w:sz w:val="22"/>
          <w:szCs w:val="22"/>
        </w:rPr>
      </w:pPr>
    </w:p>
    <w:p w14:paraId="4C4DCA3D">
      <w:pPr>
        <w:pStyle w:val="3"/>
        <w:ind w:left="450"/>
        <w:jc w:val="both"/>
        <w:rPr>
          <w:sz w:val="22"/>
          <w:szCs w:val="22"/>
        </w:rPr>
      </w:pPr>
    </w:p>
    <w:p w14:paraId="402C596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Oprava významných chýb minulých účtovných období</w:t>
      </w:r>
    </w:p>
    <w:p w14:paraId="128FD881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0F9E63FE">
      <w:pPr>
        <w:pStyle w:val="3"/>
        <w:ind w:left="450"/>
        <w:jc w:val="both"/>
        <w:rPr>
          <w:sz w:val="22"/>
          <w:szCs w:val="22"/>
        </w:rPr>
      </w:pPr>
    </w:p>
    <w:p w14:paraId="617DD217">
      <w:pPr>
        <w:pStyle w:val="3"/>
        <w:ind w:left="450"/>
        <w:jc w:val="both"/>
        <w:rPr>
          <w:sz w:val="22"/>
          <w:szCs w:val="22"/>
        </w:rPr>
      </w:pPr>
    </w:p>
    <w:p w14:paraId="1A729DE7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aktív súvahy</w:t>
      </w:r>
    </w:p>
    <w:p w14:paraId="47899A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22"/>
          <w:szCs w:val="22"/>
        </w:rPr>
      </w:pPr>
    </w:p>
    <w:p w14:paraId="6402600F"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4" w:name="_2et92p0" w:colFirst="0" w:colLast="0"/>
      <w:bookmarkEnd w:id="4"/>
      <w:r>
        <w:rPr>
          <w:b/>
          <w:color w:val="000000"/>
          <w:sz w:val="22"/>
          <w:szCs w:val="22"/>
        </w:rPr>
        <w:t>Informácia o goodwille</w:t>
      </w:r>
    </w:p>
    <w:p w14:paraId="273ED7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D59C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Dôvod vzniku goodvilu:</w:t>
      </w:r>
    </w:p>
    <w:p w14:paraId="725425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Spôsob výpočtu:</w:t>
      </w:r>
    </w:p>
    <w:p w14:paraId="2DA5E2F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Odpisovanie:</w:t>
      </w:r>
    </w:p>
    <w:p w14:paraId="66A8938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34A056DE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06F723C6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40E47C3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7C10A07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pasív súvahy</w:t>
      </w:r>
    </w:p>
    <w:p w14:paraId="70E012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DEF2E7A"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 záväzkoch</w:t>
      </w:r>
    </w:p>
    <w:p w14:paraId="329566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0FE568A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Celková suma záväzkov so zostatkovou dobou splatnosti dlhšou ako 5 rokov:  0</w:t>
      </w:r>
    </w:p>
    <w:p w14:paraId="6B2A1727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 w14:paraId="74CC5F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2219768F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 w14:paraId="5F3FBDA7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 w14:paraId="517C5DAA">
            <w:pPr>
              <w:pStyle w:val="3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0</w:t>
            </w:r>
          </w:p>
        </w:tc>
      </w:tr>
    </w:tbl>
    <w:p w14:paraId="765D8D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p w14:paraId="6AEEC68E">
      <w:pPr>
        <w:pStyle w:val="3"/>
        <w:rPr>
          <w:sz w:val="22"/>
          <w:szCs w:val="22"/>
        </w:rPr>
      </w:pPr>
    </w:p>
    <w:p w14:paraId="0F889054">
      <w:pPr>
        <w:pStyle w:val="3"/>
        <w:rPr>
          <w:sz w:val="22"/>
          <w:szCs w:val="22"/>
        </w:rPr>
      </w:pPr>
    </w:p>
    <w:p w14:paraId="09C46E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22"/>
          <w:szCs w:val="22"/>
        </w:rPr>
      </w:pPr>
    </w:p>
    <w:p w14:paraId="3789F655"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14:paraId="49144179">
      <w:pPr>
        <w:pStyle w:val="3"/>
        <w:rPr>
          <w:sz w:val="22"/>
          <w:szCs w:val="22"/>
        </w:rPr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 w14:paraId="1FEE20F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221088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7695BE3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412ADF1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07F78256"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B03319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082B99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 w14:paraId="144B960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5ABF883B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 w14:paraId="09F38323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 w14:paraId="4E825591">
            <w:pPr>
              <w:pStyle w:val="3"/>
              <w:rPr>
                <w:sz w:val="22"/>
                <w:szCs w:val="22"/>
              </w:rPr>
            </w:pPr>
          </w:p>
        </w:tc>
      </w:tr>
      <w:tr w14:paraId="709991E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 w14:paraId="55F9F048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 w14:paraId="4EDF2029">
            <w:pPr>
              <w:pStyle w:val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 w14:paraId="2D471F9C">
            <w:pPr>
              <w:pStyle w:val="3"/>
              <w:rPr>
                <w:sz w:val="22"/>
                <w:szCs w:val="22"/>
              </w:rPr>
            </w:pPr>
          </w:p>
        </w:tc>
      </w:tr>
    </w:tbl>
    <w:p w14:paraId="3679577E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rPr>
          <w:b/>
          <w:smallCaps/>
          <w:color w:val="000000"/>
          <w:sz w:val="22"/>
          <w:szCs w:val="22"/>
        </w:rPr>
      </w:pPr>
    </w:p>
    <w:p w14:paraId="7A40697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</w:t>
      </w:r>
      <w:r>
        <w:rPr>
          <w:b w:val="0"/>
          <w:bCs/>
          <w:smallCaps/>
          <w:color w:val="000000"/>
          <w:sz w:val="22"/>
          <w:szCs w:val="22"/>
        </w:rPr>
        <w:t xml:space="preserve">NÁKLADOCH </w:t>
      </w:r>
      <w:r>
        <w:rPr>
          <w:b/>
          <w:smallCaps/>
          <w:color w:val="000000"/>
          <w:sz w:val="22"/>
          <w:szCs w:val="22"/>
        </w:rPr>
        <w:t>A výnosoch</w:t>
      </w:r>
    </w:p>
    <w:p w14:paraId="131C83A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</w:p>
    <w:p w14:paraId="6C6D1EE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Celkový hospodársky výsledok za rok 2025 po zdanení je  446 082,93 Eur</w:t>
      </w:r>
    </w:p>
    <w:p w14:paraId="7DC0BDE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5" w:name="_tyjcwt" w:colFirst="0" w:colLast="0"/>
      <w:bookmarkEnd w:id="5"/>
    </w:p>
    <w:p w14:paraId="3FEB6963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 nákladoch a výnosoch, ktoré majú výnimočný rozsah alebo výskyt:</w:t>
      </w:r>
    </w:p>
    <w:p w14:paraId="1148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9620E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Nenastali</w:t>
      </w:r>
    </w:p>
    <w:p w14:paraId="422DE01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FC748F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iných aktívach a iných pasívach</w:t>
      </w:r>
    </w:p>
    <w:p w14:paraId="23CA1E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980E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neeviduje iné aktíva a iné pasíva</w:t>
      </w:r>
    </w:p>
    <w:p w14:paraId="46560F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459B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40C9DCF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Významné položky prenajatého majetku</w:t>
      </w:r>
    </w:p>
    <w:p w14:paraId="6588EC5F">
      <w:pPr>
        <w:pStyle w:val="3"/>
        <w:rPr>
          <w:sz w:val="22"/>
          <w:szCs w:val="22"/>
        </w:rPr>
      </w:pPr>
    </w:p>
    <w:p w14:paraId="61FCE6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FA6322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odpísaných pohľadávkach</w:t>
      </w:r>
    </w:p>
    <w:p w14:paraId="31BA2D7C">
      <w:pPr>
        <w:pStyle w:val="3"/>
        <w:rPr>
          <w:sz w:val="22"/>
          <w:szCs w:val="22"/>
        </w:rPr>
      </w:pPr>
    </w:p>
    <w:p w14:paraId="647D38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na podsúvahovej evidencii eviduje odpísané pohľadávky vo hodnote  0,- EUR</w:t>
      </w:r>
    </w:p>
    <w:p w14:paraId="18DDCE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314BF0F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4CE622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poistení majetk</w:t>
      </w:r>
      <w:r>
        <w:rPr>
          <w:color w:val="000000"/>
          <w:sz w:val="22"/>
          <w:szCs w:val="22"/>
        </w:rPr>
        <w:t>u:</w:t>
      </w:r>
    </w:p>
    <w:p w14:paraId="1F2695DF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6" w:name="_3dy6vkm" w:colFirst="0" w:colLast="0"/>
      <w:bookmarkEnd w:id="6"/>
      <w:bookmarkStart w:id="8" w:name="_GoBack"/>
      <w:bookmarkEnd w:id="8"/>
      <w:r>
        <w:rPr>
          <w:b/>
          <w:smallCaps/>
          <w:color w:val="000000"/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50E8F7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800D2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 31. decembri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nenastali žiadne zmeny, ktoré by mali významný vplyv na verné zobrazenie skutočnosti, ktoré sú predmetom účtovníctva.</w:t>
      </w:r>
    </w:p>
    <w:p w14:paraId="257327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0EE8A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028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bookmarkStart w:id="7" w:name="_1t3h5sf" w:colFirst="0" w:colLast="0"/>
      <w:bookmarkEnd w:id="7"/>
    </w:p>
    <w:p w14:paraId="0CE90C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53CF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EB6F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3D9A5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2FDC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E0F2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401D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0D541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4E512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A47D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513AD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BCAD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A73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1BF82E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1688C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8283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C73D6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33D70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3A777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0E2E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07D0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616EF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D206B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73A1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3FC2E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D66FD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3B4AD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6FF30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719BCA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BF9B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BD80C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F9E4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66D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C3E92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DF331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3AEBD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D2FA9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16D77C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BBFA3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500FF8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1287A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DFE0F2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657AE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 w14:paraId="4F7E4F7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66C66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F37AD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14:paraId="5CBDDA9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72FD7894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27D71F3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 w14:paraId="043B2883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71A43F3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289AE6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703EF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4C70F0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3A12E7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5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5E40A91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9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57F6E28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985B152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 w14:paraId="7FF8154E"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 w14:paraId="038B839C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88BA1E4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73DBC"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73303D09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CD0DEAC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98AAB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58AC5E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AD0B178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0506C0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6EAED0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8EDBB9">
          <w:pPr>
            <w:pStyle w:val="3"/>
            <w:jc w:val="center"/>
          </w:pPr>
          <w:r>
            <w:t>8</w:t>
          </w:r>
        </w:p>
      </w:tc>
    </w:tr>
  </w:tbl>
  <w:p w14:paraId="33B03A43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 w14:paraId="0C11EE9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8C93B7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14:paraId="2028229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5F63002F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541FC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818D6B1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2FBE5E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994925B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F80205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0D498BE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A2D5C38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5973E88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7205C3D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E0ED0A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15F7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F5D73EE">
          <w:pPr>
            <w:pStyle w:val="3"/>
            <w:jc w:val="center"/>
          </w:pPr>
          <w:r>
            <w:t> </w:t>
          </w:r>
        </w:p>
      </w:tc>
    </w:tr>
  </w:tbl>
  <w:p w14:paraId="29A28FB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27E6C9D"/>
    <w:rsid w:val="22102F35"/>
    <w:rsid w:val="28BB6272"/>
    <w:rsid w:val="28FF1D8F"/>
    <w:rsid w:val="2D2506EA"/>
    <w:rsid w:val="339B3EF7"/>
    <w:rsid w:val="34B6466F"/>
    <w:rsid w:val="36190512"/>
    <w:rsid w:val="46446E14"/>
    <w:rsid w:val="4AF34671"/>
    <w:rsid w:val="5E336982"/>
    <w:rsid w:val="64AD6003"/>
    <w:rsid w:val="67BD0FD7"/>
    <w:rsid w:val="690C68A2"/>
    <w:rsid w:val="6C2C3FD5"/>
    <w:rsid w:val="6F1A6C9D"/>
    <w:rsid w:val="714F1030"/>
    <w:rsid w:val="771A18F3"/>
    <w:rsid w:val="77F677C3"/>
    <w:rsid w:val="7FCC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qFormat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qFormat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qFormat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qFormat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1801</Words>
  <Characters>10272</Characters>
  <Lines>85</Lines>
  <Paragraphs>24</Paragraphs>
  <TotalTime>30</TotalTime>
  <ScaleCrop>false</ScaleCrop>
  <LinksUpToDate>false</LinksUpToDate>
  <CharactersWithSpaces>12049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cp:lastPrinted>2026-03-20T13:28:00Z</cp:lastPrinted>
  <dcterms:modified xsi:type="dcterms:W3CDTF">2026-03-20T13:58:16Z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16571832BFD548B097B0AE04C53E3D07</vt:lpwstr>
  </property>
</Properties>
</file>