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27" w:rsidRDefault="00565F27"/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Čl. I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VŠEOBECNÉ INFORMÁCIE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Obchodné meno a sídlo spoločnosti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Arreat</w:t>
      </w:r>
      <w:proofErr w:type="spellEnd"/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 r. o.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Sídlo: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Vŕbová ulica 2873/3A, 900 42 Miloslavov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IČO: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57 250 511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Arreat</w:t>
      </w:r>
      <w:proofErr w:type="spellEnd"/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 r. o. bola založená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9.10.2025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do obchodného registra vedeného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Mestským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súdom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Bratislava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zapísaná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9.10.2025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oddielu s. r. o., vložka č.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192232/B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Hlavné činnosti spoločnosti zapísané v obchodnom registri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vykonáva z predmetu podnikania zapísaného v obchodnom registri tieto hlavné činnosti:</w:t>
      </w:r>
    </w:p>
    <w:p w:rsidR="00E332D5" w:rsidRPr="00E332D5" w:rsidRDefault="00E332D5" w:rsidP="00E33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Počítačové služby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služby súvisiace s počítačovým spracovaním údajov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32D5" w:rsidRPr="00E332D5" w:rsidTr="00E332D5">
        <w:trPr>
          <w:tblCellSpacing w:w="15" w:type="dxa"/>
        </w:trPr>
        <w:tc>
          <w:tcPr>
            <w:tcW w:w="3350" w:type="pct"/>
            <w:vAlign w:val="center"/>
          </w:tcPr>
          <w:p w:rsidR="00E332D5" w:rsidRPr="00E332D5" w:rsidRDefault="00E332D5" w:rsidP="00E332D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Reklamné, marketingové, fotografické a informačné služby, prieskum trhu a verejnej mienky</w:t>
            </w:r>
          </w:p>
        </w:tc>
        <w:tc>
          <w:tcPr>
            <w:tcW w:w="1650" w:type="pct"/>
          </w:tcPr>
          <w:p w:rsidR="00E332D5" w:rsidRPr="00E332D5" w:rsidRDefault="00E332D5" w:rsidP="00E3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2D5" w:rsidRPr="00E332D5" w:rsidRDefault="00E332D5" w:rsidP="00E332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332D5" w:rsidRPr="00E332D5" w:rsidRDefault="00E332D5" w:rsidP="00E332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332D5" w:rsidRPr="00E332D5" w:rsidRDefault="00E332D5" w:rsidP="00E332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podnikateľských, organizačných a ekonomických poradcov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Právny dôvod zostavenia účtovnej závierky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spoločnosti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Arreat</w:t>
      </w:r>
      <w:proofErr w:type="spellEnd"/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s. r. o. k 31. decembru 2025 je zostavená ako riadna účtovná závierka podľa </w:t>
      </w:r>
      <w:hyperlink r:id="rId8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§ 17 ods. 6 zákona č. 431/2002 Z. z.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účtovníctve v znení neskorších predpisov (ďalej len „</w:t>
      </w:r>
      <w:hyperlink r:id="rId9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zákon o účtovníctve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“), a to za účtovné obdobie od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októbra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2025 do 31. decembra 2025.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 Účtovné jednotky, v ktorých je spoločnosť neobmedzene ručiacim spoločníkom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nie je neobmedzene ručiacim spoločníkom v inej účtovnej jednotke.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5. Priemerný počet zamestnancov počas účtovného obdobia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0"/>
        <w:gridCol w:w="2276"/>
        <w:gridCol w:w="2276"/>
      </w:tblGrid>
      <w:tr w:rsidR="00E332D5" w:rsidRPr="00E332D5" w:rsidTr="00E332D5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Bežné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 xml:space="preserve">účtovné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Bezprostredne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 xml:space="preserve">predchádzajúce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prepočítaný počet zamestnancov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zamestnancov ku dňu, ku ktorému sa zostavuje účtovná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záverka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vedúcich zamestnancov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C350A" w:rsidRDefault="008C350A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</w:p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 xml:space="preserve">Čl. II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INFORMÁCIE O ORGÁNOCH ÚČTOVNEJ JEDNOTKY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Zoznam členov štatutárnych, dozorných a iných orgánov spoločnosti v účtovnom období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spoločnosti: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Konatelia: Ing.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Daniel Švec</w:t>
      </w:r>
    </w:p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Čl. III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INFORMÁCIE O PRIJATÝCH POSTUPOCH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Východiská pre zostavenie účtovnej závierky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bola vypracovaná v súlade so </w:t>
      </w:r>
      <w:hyperlink r:id="rId10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zákonom o účtovníctve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Opatrením MF SR č. </w:t>
      </w:r>
      <w:hyperlink r:id="rId11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23054/2002-92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 sa ustanovujú podrobnosti o </w:t>
      </w:r>
      <w:hyperlink r:id="rId12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postupoch účtovania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rámcovej účtovej osnove pre podnikateľov účtujúcich v sústave podvojného účtovníctva v znení neskorších predpisov a Opatrením MF SR č. </w:t>
      </w:r>
      <w:hyperlink r:id="rId13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MF/23378/2014-74,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ktorým sa ustanovujú podrobnosti o individuálnej účtovnej závierke a rozsahu údajov určených z individuálnej účtovnej závierky na zverejnenie pre malé účtovné jednotky v znení neskorších predpisov.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Menou pre vykazovanie je mena euro.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Táto účtovná závierka bola vypracovaná za predpokladu nepretržitého trvania účtovnej jednotky, t. j. vychádza z predpokladu, že spoločnosť bude realizovať svoje aktíva, záväzky a dohody v rámci riadneho chodu svojej činnosti.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Zostavenie tejto účtovnej závierky si vyžaduje, aby vedenie spoločnosti robilo určité odhady, ktoré majú vplyv na vykazované hodnoty aktív a pasív spoločnosti a vykazované náklady a výnosy za vykazované obdobie. Budúce udalosti a ich vplyvy sa nedajú predvídať s určitosťou, preto pri výskyte nových udalostí sa skutočné výsledky môžu líšiť od účtovných odhadov. V účtovnej závierke sa použili tieto kľúčové odhady a predpoklady:</w:t>
      </w:r>
    </w:p>
    <w:p w:rsidR="00E332D5" w:rsidRPr="00E332D5" w:rsidRDefault="00E332D5" w:rsidP="00E33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 doby použitia pri dlhodobom majetku,</w:t>
      </w:r>
    </w:p>
    <w:p w:rsidR="00E332D5" w:rsidRPr="00E332D5" w:rsidRDefault="00E332D5" w:rsidP="00E33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 majetku, či nedošlo k zníženiu jeho hodnoty (tvorba opravných položiek),</w:t>
      </w:r>
    </w:p>
    <w:p w:rsidR="00E332D5" w:rsidRPr="00E332D5" w:rsidRDefault="00E332D5" w:rsidP="00E33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hodnotenie, či sú zásoby vykázané v čistej realizačnej hodnote (tvorba opravných položiek),</w:t>
      </w:r>
    </w:p>
    <w:p w:rsidR="00E332D5" w:rsidRPr="00E332D5" w:rsidRDefault="00E332D5" w:rsidP="00E33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hodnotenie, či inkaso pohľadávok nie je spochybnené (tvorba opravných položiek),</w:t>
      </w:r>
    </w:p>
    <w:p w:rsidR="00E332D5" w:rsidRPr="00E332D5" w:rsidRDefault="00E332D5" w:rsidP="00E33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odhad rezerv,</w:t>
      </w:r>
    </w:p>
    <w:p w:rsidR="00E332D5" w:rsidRPr="00E332D5" w:rsidRDefault="00E332D5" w:rsidP="00E332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zistenie a vykázanie podmienených záväzkov a majetku.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Zmeny účtovných metód a účtovných zásad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Účtovníctvo je vedené na akruálnom princípe, t. j. o nákladoch a výnosoch sa účtuje v momente, keď sú plnené bez ohľadu na dátum ich úhrady, inkasa alebo deň vyrovnania iným spôsobom. Dodržuje sa pritom zásada časovej a vecnej súvislosti nákladov a výnosov.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Pri oceňovaní sa uplatňuje princíp historických cien. Položky, ktoré sa oceňujú v reálnej hodnote (realizovateľné cenné papiere a deriváty držané na obchodovanie), účtovná jednotka nevlastní.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Hlavné účtovné zásady a metódy použité pri zostavení tejto účtovnej závierky sú uvedené ďalej. Tieto zásady boli konzistentne uplatnené vo všetkých vykázaných obdobiach a vychádzajú z platnej legislatívy.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3. Spôsob ocenenia jednotlivých zložiek majetku a záväzkov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a) Dlhodobý nehmotný a dlhodobý hmotný majetok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Ocenenie pri obstaraní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Dlhodobý nehmotný a dlhodobý hmotný majetok sa vykazuje v obstarávacích cenách, pričom jeho hodnotu znižujú oprávky a opravné položky (účtovná jednotka za rok 2025 nevytvorila opravné položky k dlhodobému majetku). Obstarávacia cena zahrnuje cenu obstarania a náklady súvisiace s obstaraním (registračný poplatok pri vozidlách, clo, dovoznú prirážku, prepravu, montáž a pod.). Súčasťou obstarávacej ceny nie sú úroky z úverov.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b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Pohľadávky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sa pri ich vzniku oceňujú ich menovitou hodnotou; postúpené pohľadávky a pohľadávky nadobudnuté vkladom do základného imania sa oceňujú obstarávacou cenou, v ktorej sú zahrnuté aj nákladov súvisiace s obstaraním. Toto ocenenie jednotlivých pohľadávok sa znižuje o pochybné a nevymožiteľné pohľadávky (tvorbou opravnej položky).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c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Peňažné prostriedky a ceniny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Peňažné prostriedky a ceniny sa oceňujú ich menovitou hodnotou. Zníženie ich hodnoty sa vyjadruje opravnou položkou.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Náklady budúcich období a príjmy budúcich období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 a príjmy budúcich období sa vykazujú vo výške, ktorá je potrebná na dodržanie zásady vecnej a časovej súvislosti s účtovným obdobím.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e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Rezervy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Rezervy účtovná jednotka netvorila.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f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Záväzky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g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Výdavky budúcich období a výnosy budúcich období</w:t>
      </w:r>
    </w:p>
    <w:p w:rsid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Výdavky budúcich období a výnosy budúcich období sa vykazujú vo výške, ktorá je potrebná na dodržanie zásady vecnej a časovej súvislosti s účtovným obdobím.</w:t>
      </w:r>
    </w:p>
    <w:p w:rsidR="008C350A" w:rsidRDefault="008C350A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350A" w:rsidRPr="00E332D5" w:rsidRDefault="008C350A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h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Daň z príjmov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Daň z príjmov sa skladá zo splatnej dane, o odloženej dani účtovná jednotka neúčtuje. Splatná daň z príjmov sa počíta vo výške podľa </w:t>
      </w:r>
      <w:hyperlink r:id="rId14" w:history="1">
        <w:r w:rsidRPr="00E332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§ 15 zákona č. 595/2003 Z. z.</w:t>
        </w:r>
      </w:hyperlink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dani z príjmov v znení neskorších predpisov, ktorá sa vypočítala úpravou účtovného výsledku hospodárenia pred zdanením o pripočítateľné a odpočítateľné položky.</w:t>
      </w:r>
    </w:p>
    <w:p w:rsidR="00E332D5" w:rsidRPr="00E332D5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</w:t>
      </w:r>
      <w:r w:rsidR="00E332D5"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) Výnosy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za vlastné výkony a tovar neobsahujú daň z pridanej hodnoty. Spoločnosť v roku 2025 neposkytovala zľavy z ceny.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Spôsob zostavenia odpisového plánu pre dlhodobý majetok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Dlhodobý nehmotný majetok (DNM)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sú stanovené vychádzajúc z predpokladanej doby jeho používania. Odpisovať sa začína počnúc mesiacom zaradenia dlhodobého majetku do používania.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používania a metóda odpisovania sú uvedené v nasledujúcej tabuľke:</w:t>
      </w:r>
    </w:p>
    <w:p w:rsidR="00E332D5" w:rsidRPr="00E332D5" w:rsidRDefault="00E332D5" w:rsidP="00933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2025 neobstarala žiaden dlhodobý nehmotný majetok.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Dlhodobý hmotný majetok (DHM)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hmotného majetku sú stanovené vychádzajúc z predpokladanej doby jeho používania a predpokladaného priebehu jeho opotrebovania. Odpisovať sa začína počnúc mesiacom zaradenia dlhodobého majetku do používania. Pozemky sa neodpisujú.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Ročná výška odpisov dlhodobého majetku predstavuje 12-násobok mesačného odpisu vypočítaného rovnomerným spôsobom zo vstupnej ceny majetku, ktorá pripadá na zostatok doby odpisovania. Pri nových položkách ročný odpis predstavuje 12-násobok mesačného odpisu pripadajúceho na jeden mesiac stanovenej doby odpisovania. Spoločnosť zatiaľ nevedie kategóriu drobného dlhodobého hmotného majetku. Prípadný hmotný majetok, ktorého obstarávacia cena bude 1700 EUR a nižšia, sa pri obstaraní bude účtovať do dlhodobého majetku na základe individuálneho posúdenia.</w:t>
      </w:r>
    </w:p>
    <w:p w:rsidR="00933A02" w:rsidRPr="00E332D5" w:rsidRDefault="00933A02" w:rsidP="00933A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2025 neobstarala žiaden dlhodobý hmotný majetok.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Čl. IV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INFORMÁCIE, KTORÉ VYSVETĽUJÚ A DOPĹŇAJÚ SÚVAHU A VÝKAZ ZISKOV A STRÁT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Strana Aktív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Dlhodobý nehmotný majetok, dlhodobý hmotný majetok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a) Prehľad o pohybe dlhodobého nehmotného a dlhodobého hmotného majetku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lastRenderedPageBreak/>
        <w:t>Dlhodobý nehmotný majetok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1204"/>
        <w:gridCol w:w="777"/>
        <w:gridCol w:w="1169"/>
        <w:gridCol w:w="964"/>
        <w:gridCol w:w="844"/>
        <w:gridCol w:w="1271"/>
        <w:gridCol w:w="1177"/>
        <w:gridCol w:w="618"/>
      </w:tblGrid>
      <w:tr w:rsidR="00E332D5" w:rsidRPr="00E332D5" w:rsidTr="00E332D5">
        <w:trPr>
          <w:tblHeader/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40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E332D5" w:rsidRPr="00E332D5" w:rsidTr="00E332D5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Aktivované náklady na vývoj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Softvér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Oceniteľné práva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Goodwill</w:t>
            </w:r>
            <w:proofErr w:type="spellEnd"/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Ostatný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Obtarávaný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Poskytnuté preddavky na DNM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Prvotné ocenenie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Opravné položky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konci účtovného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Dlhodobý nehmotný majetok za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bežné 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obdobie účtovná jednotka nevykazovala. 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Dlhodobý hmotný majetok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"/>
        <w:gridCol w:w="864"/>
        <w:gridCol w:w="661"/>
        <w:gridCol w:w="869"/>
        <w:gridCol w:w="1297"/>
        <w:gridCol w:w="900"/>
        <w:gridCol w:w="757"/>
        <w:gridCol w:w="1221"/>
        <w:gridCol w:w="1054"/>
        <w:gridCol w:w="555"/>
      </w:tblGrid>
      <w:tr w:rsidR="00E332D5" w:rsidRPr="00E332D5" w:rsidTr="00E332D5">
        <w:trPr>
          <w:tblHeader/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4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</w:tr>
      <w:tr w:rsidR="00E332D5" w:rsidRPr="00E332D5" w:rsidTr="00E332D5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Pozemky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Sam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. hnuteľné veci a súbory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hnut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vecí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Pestovateľské celky trvalých porastov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Základné stádo a ťažné zvieratá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Ostatný DHM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Obstarávaný DHM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Poskytnuté preddavky na DHM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Prvotné ocenenie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Presuny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Oprávky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Opravné položky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začiatku účtovnéh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Prírastky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Zostatková hodnota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 na začiatku účtovného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odbobia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hmotný majetok za 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bežné 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 obdobie účtovná jednotka nevykazovala. 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a) Spôsob a výška poistenia dlhodobého majetku</w:t>
      </w:r>
    </w:p>
    <w:p w:rsidR="00E332D5" w:rsidRPr="00E332D5" w:rsidRDefault="00933A02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n/a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b) Obmedzené práva pri nakladaní s dlhodobým majetkom, zmluvy o zabezpečovacom prevode práva</w:t>
      </w:r>
    </w:p>
    <w:p w:rsidR="00E332D5" w:rsidRPr="00E332D5" w:rsidRDefault="00933A02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n/a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Dlhodobý finančný majetok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Prehľad o pohybe dlhodobého finančného majetku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nevlastní dlhodobý finančný majetok.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Zásoby</w:t>
      </w:r>
    </w:p>
    <w:p w:rsidR="00E332D5" w:rsidRPr="00E332D5" w:rsidRDefault="00933A02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nemá zásoby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Pohľadávky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a) Opravné položky k pohľadávkam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Spoločnosť nevytvárala opravné položky k pohľadávkam voči dlžníkom, keďže v prvom roku podnikania nedošlo k vzniku predpokladu, že dlžník pohľadávku úplne alebo čiastočne nezaplatí.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b) Veková štruktúra pohľadávok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Všetky pohľadávky boli zaplatené alebo sú v lehote splatnosti.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Pohľadávky podľa zostatkovej doby splatnosti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E332D5" w:rsidRPr="00E332D5" w:rsidTr="00E332D5">
        <w:trPr>
          <w:tblHeader/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Pohľadávky podľa zostatkovej doby splatnosti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Bezprostredne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do jedného roka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4 640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1 rok až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so zostatkovou dobou splatnosti dlhšou ako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Dlhodobé pohľadávky 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c) Pohľadávky zabezpečené záložným právom alebo inou formou zabezpečenia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vo vykazovanom období neeviduje pohľadávky zabezpečené záložným právom alebo inou formou zabezpečenia.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d) Odložená daňová pohľadávka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vo vykazovanom období neeviduje odloženú daňovú pohľadávku; o odloženej dani neúčtuje.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Finančné účty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a) Peniaze a bankové účty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Ako finančné účty sú vykázané peniaze v pokladnici, účty v bankách a cenné papiere. Účtami v bankách môže spoločnosť voľne disponovať.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E332D5" w:rsidRPr="00E332D5" w:rsidTr="00E332D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Bezprostredne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bankové účty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Bankové účty - termínované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Peniaze na ceste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11 309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b) Krátkodobý finančný majetok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Spoločnosť nevlastní iný krátkodobý finančný majetok okrem vykázaných peňažných prostriedkov v hotovosti a na účte v banke.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Časové rozlíšenie aktív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Ide o nasledujúce položky: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E332D5" w:rsidRPr="00E332D5" w:rsidTr="00E332D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Opis položky časového rozlíšenia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Bezprostredne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Náklady budúcich období dlhodobé,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Náklady budúcich období krátkodobé,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 platby za doménu a webhosting,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prenájom kancelárskych priestorov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budúcich období dlhodobé,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budúcich období krátkodobé,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 úrokov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budúcich období - stavebná činnosť, úroky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Strana pasív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Vlastné imanie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a) Základné imanie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Ku dňu 31. 12. 2025 účtovnej závierky je základné imanie splatené v celom rozsahu a v tejto hodnote je zapísané v obchodnom registri príslušného registrového súdu.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Rezervy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rezervy netvorila, pretože nevznikol zákonný dôvod. 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Záväzky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Veková štruktúra záväzkov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záväzkov do lehoty splatnosti a po lehote splatnosti je uvedená v nasledujúcej tabuľke: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365"/>
        <w:gridCol w:w="910"/>
        <w:gridCol w:w="1365"/>
      </w:tblGrid>
      <w:tr w:rsidR="00E332D5" w:rsidRPr="00E332D5" w:rsidTr="00E332D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Odložený daňový záväzok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Dlhodobé prijaté preddavky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Dlhodobé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zmenyk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úhradu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dlhodobé záväzky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Krátkodobé záväzky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z obchodného styku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Nevyfakturované dodávky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voči dcérskej účtovnej jednotke a materskej účtovnej jednotke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záväzky v rámci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kons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Celku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voči spoločníkom, členom a združeniu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Sociálne poistenie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 záväzky a dotácie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8C350A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záväzky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8C350A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8C350A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Daňové záväzky a dotácie, účty: 342 + 345 + 341.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Záväzky podľa zostatkovej doby splatnosti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záväzkov (okrem bankových úverov) podľa zostatkovej doby splatnosti je uvedená v nasledujúcej tabuľke: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E332D5" w:rsidRPr="00E332D5" w:rsidTr="00E332D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Bezprostredne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so zostatkovou dobou splatnosti do jedného roka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8C350A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8C350A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so zostatkovou dobou splatnosti 1 rok až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so zostatkovou dobou splatnosti nad 5 rokov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933A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Záväzky zabezpečené záložným právom alebo zabezpečené inou formou zabezpečenia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vo vykazovanom období neevidovala záväzky kryté záložným právom.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Sociálny fond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Tvorba a čerpanie sociálneho fondu v príklade nie sú z dôvodu zjednodušenia v príklade riešené.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Bankové úvery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vo vykazovanom období </w:t>
      </w:r>
      <w:r w:rsidR="00933A02"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evidovala bankové úvery.</w:t>
      </w:r>
    </w:p>
    <w:p w:rsidR="008C350A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8C350A" w:rsidRDefault="008C350A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lastRenderedPageBreak/>
        <w:t>Výnosy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15"/>
          <w:szCs w:val="15"/>
          <w:lang w:eastAsia="sk-SK"/>
        </w:rPr>
        <w:t>Tržby za vlastné výkony a tovar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Tržby za vlastné výkony a tovar podľa jednotlivých segmentov, t. j. podľa typov výrobkov a služieb a podľa hlavných teritórií, sú uvedené v nasledujúcej tabuľke: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9"/>
        <w:gridCol w:w="844"/>
        <w:gridCol w:w="1657"/>
        <w:gridCol w:w="844"/>
        <w:gridCol w:w="1657"/>
        <w:gridCol w:w="844"/>
        <w:gridCol w:w="1657"/>
      </w:tblGrid>
      <w:tr w:rsidR="00E332D5" w:rsidRPr="00E332D5" w:rsidTr="00E332D5">
        <w:trPr>
          <w:tblHeader/>
          <w:tblCellSpacing w:w="0" w:type="dxa"/>
        </w:trPr>
        <w:tc>
          <w:tcPr>
            <w:tcW w:w="2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Tovar a výrobky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Služby</w:t>
            </w:r>
          </w:p>
        </w:tc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E332D5" w:rsidRPr="00E332D5" w:rsidTr="00E332D5">
        <w:trPr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Tuzemsko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6C39C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6C39C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Zahraničie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 </w:t>
            </w: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933A02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6C39C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6C39C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Zmena stavu zásob vlastnej výroby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nevykonávala výrobnú činnosť.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Aktivácia, ostatné výnosy z hospodárskej činnosti, finančné výnosy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daný typ výnosov nevykazuje.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Čistý obrat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E332D5" w:rsidRPr="00E332D5" w:rsidTr="00E332D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Bezprostredne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Tržba za vlastné výrobky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Tržba z predaj služieb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6C39C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11 600</w:t>
            </w:r>
            <w:r w:rsidR="00E332D5"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Tržba za tovar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Výnosy zo zákazky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Výnosy z nehnuteľnosti na predaj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výnosy súvisiace s bežnou činnosťou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Čistý obrat celkom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6C39C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11 600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Náklady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o štruktúre vykázaných nákladov je znázornený v nasledujúcej tabuľke: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1820"/>
        <w:gridCol w:w="1820"/>
      </w:tblGrid>
      <w:tr w:rsidR="00E332D5" w:rsidRPr="00E332D5" w:rsidTr="00E332D5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Bezprostredne </w:t>
            </w: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br/>
              <w:t>predchádzajúce účtovné obdobie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Náklady za poskytnuté služby,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Náklady voči audítorovi, audítorskej spoločnosti,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na overenie individuálnej účtovnej závierky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iné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uisťovacie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audítorské služby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súvisiace audítorské služby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daňové poradenstvo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neaudítorské služby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Ostatné významné položky nákladov za poskytnuté služby,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Poplatok za uzavretie úveru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Doména, webhosting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Reprezentačné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 spojov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Práce v kooperácii - stavebné poddodávky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Stočné, likvidácia odpadov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Právne služby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na inzerciu, propagáciu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bookmarkStart w:id="0" w:name="_GoBack"/>
        <w:bookmarkEnd w:id="0"/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ostatné - náklady na založenie spoločnosti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8C350A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216</w:t>
            </w:r>
            <w:r w:rsidR="00E332D5"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pokuty a penále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odpis pohľadávok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poistenie majetku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tvorba rezervy na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zár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opravu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náhrady za spôsobené škody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6C39C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iné - krádež šperkov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Finančné náklady,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Kurzové straty,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kurzové straty ku dňu, ku </w:t>
            </w:r>
            <w:proofErr w:type="spellStart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ktroému</w:t>
            </w:r>
            <w:proofErr w:type="spellEnd"/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sa zostavuje účtovná závierka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Ostatné významné položky finančných nákladov,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predané cenné papiere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bankové poplatky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E332D5" w:rsidRPr="00E332D5" w:rsidTr="00E332D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Mimoriadne náklady, z toho: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32D5" w:rsidRPr="00E332D5" w:rsidRDefault="00E332D5" w:rsidP="00E332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2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Čl. V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INFORMÁCIE O INÝCH AKTÍVACH A INÝCH PASÍVACH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podmienených záväzkoch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neeviduje žiadne iné aktíva a záväzky okrem tých, ktoré sú uvedené v súvahe.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Ostatné finančné povinnosti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 a nevykazuje žiadne iné finančné povinnosti, okrem tých, ktoré sú vykázané v účtovníctve.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lastRenderedPageBreak/>
        <w:t xml:space="preserve">Čl. VI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UDALOSTI, KTORÉ NASTALI PO DNI, KU KTORÉMU SA ZOSTAVUJE ÚČTOVNÁ ZÁVIERKA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Po 31. decembri 2025 do dňa zostavenia účtovnej závierky nenastali žiadne významné skutočnosti, ktoré by ovplyvnili výsledok hospodárenia za rok 2025.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</w:pP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t xml:space="preserve">Čl. VII </w:t>
      </w:r>
      <w:r w:rsidRPr="00E332D5">
        <w:rPr>
          <w:rFonts w:ascii="Times New Roman" w:eastAsia="Times New Roman" w:hAnsi="Times New Roman" w:cs="Times New Roman"/>
          <w:b/>
          <w:bCs/>
          <w:sz w:val="27"/>
          <w:szCs w:val="27"/>
          <w:lang w:eastAsia="sk-SK"/>
        </w:rPr>
        <w:br/>
        <w:t>OSTATNÉ INFORMÁCIE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nemá obsahovú náplň pre ostatné informácie.</w:t>
      </w:r>
    </w:p>
    <w:p w:rsidR="00E332D5" w:rsidRPr="00E332D5" w:rsidRDefault="00E332D5" w:rsidP="00E332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332D5" w:rsidRPr="00E332D5" w:rsidRDefault="00E332D5" w:rsidP="006C39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32D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332D5" w:rsidRDefault="00E332D5"/>
    <w:sectPr w:rsidR="00E332D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95" w:rsidRDefault="00781095" w:rsidP="00E332D5">
      <w:pPr>
        <w:spacing w:after="0" w:line="240" w:lineRule="auto"/>
      </w:pPr>
      <w:r>
        <w:separator/>
      </w:r>
    </w:p>
  </w:endnote>
  <w:endnote w:type="continuationSeparator" w:id="0">
    <w:p w:rsidR="00781095" w:rsidRDefault="00781095" w:rsidP="00E3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95" w:rsidRDefault="00781095" w:rsidP="00E332D5">
      <w:pPr>
        <w:spacing w:after="0" w:line="240" w:lineRule="auto"/>
      </w:pPr>
      <w:r>
        <w:separator/>
      </w:r>
    </w:p>
  </w:footnote>
  <w:footnote w:type="continuationSeparator" w:id="0">
    <w:p w:rsidR="00781095" w:rsidRDefault="00781095" w:rsidP="00E33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D5" w:rsidRDefault="00E332D5">
    <w:pPr>
      <w:pStyle w:val="Hlavika"/>
    </w:pPr>
    <w:r>
      <w:t>Poznámky k účtovnej závierke k 31.12.2025</w:t>
    </w:r>
    <w:r>
      <w:tab/>
    </w:r>
    <w:r>
      <w:tab/>
    </w:r>
    <w:proofErr w:type="spellStart"/>
    <w:r>
      <w:t>Arreat</w:t>
    </w:r>
    <w:proofErr w:type="spellEnd"/>
    <w:r>
      <w:t xml:space="preserve"> </w:t>
    </w:r>
    <w:proofErr w:type="spellStart"/>
    <w:r>
      <w:t>s.r.o</w:t>
    </w:r>
    <w:proofErr w:type="spellEnd"/>
  </w:p>
  <w:p w:rsidR="00E332D5" w:rsidRDefault="00E33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6BA7"/>
    <w:multiLevelType w:val="multilevel"/>
    <w:tmpl w:val="6B46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11FB8"/>
    <w:multiLevelType w:val="multilevel"/>
    <w:tmpl w:val="3416A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068B5"/>
    <w:multiLevelType w:val="multilevel"/>
    <w:tmpl w:val="5E88F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14842"/>
    <w:multiLevelType w:val="multilevel"/>
    <w:tmpl w:val="96641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E478FB"/>
    <w:multiLevelType w:val="multilevel"/>
    <w:tmpl w:val="225A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80136"/>
    <w:multiLevelType w:val="multilevel"/>
    <w:tmpl w:val="289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3967EA"/>
    <w:multiLevelType w:val="multilevel"/>
    <w:tmpl w:val="A5E4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B47"/>
    <w:rsid w:val="00565F27"/>
    <w:rsid w:val="005F4B47"/>
    <w:rsid w:val="006C39C5"/>
    <w:rsid w:val="00781095"/>
    <w:rsid w:val="008C350A"/>
    <w:rsid w:val="00933A02"/>
    <w:rsid w:val="00E3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332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332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E332D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adpis6">
    <w:name w:val="heading 6"/>
    <w:basedOn w:val="Normlny"/>
    <w:link w:val="Nadpis6Char"/>
    <w:uiPriority w:val="9"/>
    <w:qFormat/>
    <w:rsid w:val="00E332D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332D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332D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E332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E332D5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Normlnywebov">
    <w:name w:val="Normal (Web)"/>
    <w:basedOn w:val="Normlny"/>
    <w:uiPriority w:val="99"/>
    <w:unhideWhenUsed/>
    <w:rsid w:val="00E3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332D5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332D5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E332D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33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32D5"/>
  </w:style>
  <w:style w:type="paragraph" w:styleId="Pta">
    <w:name w:val="footer"/>
    <w:basedOn w:val="Normlny"/>
    <w:link w:val="PtaChar"/>
    <w:uiPriority w:val="99"/>
    <w:unhideWhenUsed/>
    <w:rsid w:val="00E33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32D5"/>
  </w:style>
  <w:style w:type="paragraph" w:styleId="Textbubliny">
    <w:name w:val="Balloon Text"/>
    <w:basedOn w:val="Normlny"/>
    <w:link w:val="TextbublinyChar"/>
    <w:uiPriority w:val="99"/>
    <w:semiHidden/>
    <w:unhideWhenUsed/>
    <w:rsid w:val="00E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2D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332D5"/>
  </w:style>
  <w:style w:type="paragraph" w:styleId="Odsekzoznamu">
    <w:name w:val="List Paragraph"/>
    <w:basedOn w:val="Normlny"/>
    <w:uiPriority w:val="34"/>
    <w:qFormat/>
    <w:rsid w:val="00E33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E332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E332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E332D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adpis6">
    <w:name w:val="heading 6"/>
    <w:basedOn w:val="Normlny"/>
    <w:link w:val="Nadpis6Char"/>
    <w:uiPriority w:val="9"/>
    <w:qFormat/>
    <w:rsid w:val="00E332D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E332D5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332D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E332D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E332D5"/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paragraph" w:styleId="Normlnywebov">
    <w:name w:val="Normal (Web)"/>
    <w:basedOn w:val="Normlny"/>
    <w:uiPriority w:val="99"/>
    <w:unhideWhenUsed/>
    <w:rsid w:val="00E33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332D5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E332D5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E332D5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E33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32D5"/>
  </w:style>
  <w:style w:type="paragraph" w:styleId="Pta">
    <w:name w:val="footer"/>
    <w:basedOn w:val="Normlny"/>
    <w:link w:val="PtaChar"/>
    <w:uiPriority w:val="99"/>
    <w:unhideWhenUsed/>
    <w:rsid w:val="00E33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32D5"/>
  </w:style>
  <w:style w:type="paragraph" w:styleId="Textbubliny">
    <w:name w:val="Balloon Text"/>
    <w:basedOn w:val="Normlny"/>
    <w:link w:val="TextbublinyChar"/>
    <w:uiPriority w:val="99"/>
    <w:semiHidden/>
    <w:unhideWhenUsed/>
    <w:rsid w:val="00E33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32D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332D5"/>
  </w:style>
  <w:style w:type="paragraph" w:styleId="Odsekzoznamu">
    <w:name w:val="List Paragraph"/>
    <w:basedOn w:val="Normlny"/>
    <w:uiPriority w:val="34"/>
    <w:qFormat/>
    <w:rsid w:val="00E33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1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76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0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anovecentrum.sk/form/goto.ashx?t=27&amp;p=2802187&amp;f=3" TargetMode="External"/><Relationship Id="rId13" Type="http://schemas.openxmlformats.org/officeDocument/2006/relationships/hyperlink" Target="https://www.danovecentrum.sk/form/goto.ashx?t=26&amp;p=4273900&amp;f=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danovecentrum.sk/form/goto.ashx?t=26&amp;p=1024091&amp;f=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danovecentrum.sk/form/goto.ashx?t=26&amp;p=1020591&amp;f=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danovecentrum.sk/form/goto.ashx?t=26&amp;p=1020274&amp;f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novecentrum.sk/form/goto.ashx?t=26&amp;p=1020274&amp;f=3" TargetMode="External"/><Relationship Id="rId14" Type="http://schemas.openxmlformats.org/officeDocument/2006/relationships/hyperlink" Target="https://www.danovecentrum.sk/form/goto.ashx?t=27&amp;p=2970100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13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2026-03-29T09:29:00Z</dcterms:created>
  <dcterms:modified xsi:type="dcterms:W3CDTF">2026-03-29T11:28:00Z</dcterms:modified>
</cp:coreProperties>
</file>