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65F27" w:rsidRDefault="00565F27"/>
    <w:p w:rsidR="00E332D5" w:rsidRPr="00E332D5" w:rsidRDefault="00E332D5" w:rsidP="00E332D5">
      <w:pPr>
        <w:spacing w:before="100" w:beforeAutospacing="1" w:after="100" w:afterAutospacing="1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  <w:r w:rsidRPr="00E332D5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 xml:space="preserve">Čl. I </w:t>
      </w:r>
      <w:r w:rsidRPr="00E332D5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br/>
        <w:t>VŠEOBECNÉ INFORMÁCIE</w:t>
      </w:r>
    </w:p>
    <w:p w:rsidR="00E332D5" w:rsidRPr="00E332D5" w:rsidRDefault="00E332D5" w:rsidP="00E332D5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E332D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1. Obchodné meno a sídlo spoločnosti</w:t>
      </w:r>
    </w:p>
    <w:p w:rsidR="00E332D5" w:rsidRPr="00E332D5" w:rsidRDefault="00E332D5" w:rsidP="00E332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332D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Obchodné meno: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Arreat</w:t>
      </w:r>
      <w:proofErr w:type="spellEnd"/>
      <w:r w:rsidRPr="00E332D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s. r. o.</w:t>
      </w:r>
      <w:r w:rsidRPr="00E332D5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 xml:space="preserve">Sídlo: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Vŕbová ulica 2873/3A, 900 42 Miloslavov</w:t>
      </w:r>
      <w:r w:rsidRPr="00E332D5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 xml:space="preserve">IČO: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57 250 511</w:t>
      </w:r>
    </w:p>
    <w:p w:rsidR="00E332D5" w:rsidRPr="00E332D5" w:rsidRDefault="00E332D5" w:rsidP="00E332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332D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Spoločnosť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Arreat</w:t>
      </w:r>
      <w:proofErr w:type="spellEnd"/>
      <w:r w:rsidRPr="00E332D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s. r. o. bola založená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9.10.2025</w:t>
      </w:r>
      <w:r w:rsidRPr="00E332D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 do obchodného registra vedeného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Mestským</w:t>
      </w:r>
      <w:r w:rsidRPr="00E332D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súdom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Bratislava</w:t>
      </w:r>
      <w:r w:rsidRPr="00E332D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bola zapísaná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9.10.2025</w:t>
      </w:r>
      <w:r w:rsidRPr="00E332D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do oddielu s. r. o., vložka č.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192232/B</w:t>
      </w:r>
      <w:r w:rsidRPr="00E332D5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E332D5" w:rsidRPr="00E332D5" w:rsidRDefault="00E332D5" w:rsidP="00E332D5">
      <w:pPr>
        <w:spacing w:before="100" w:beforeAutospacing="1" w:after="100" w:afterAutospacing="1" w:line="240" w:lineRule="auto"/>
        <w:outlineLvl w:val="4"/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</w:pPr>
      <w:r w:rsidRPr="00E332D5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Hlavné činnosti spoločnosti zapísané v obchodnom registri</w:t>
      </w:r>
    </w:p>
    <w:p w:rsidR="00E332D5" w:rsidRPr="00E332D5" w:rsidRDefault="00E332D5" w:rsidP="00E332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332D5">
        <w:rPr>
          <w:rFonts w:ascii="Times New Roman" w:eastAsia="Times New Roman" w:hAnsi="Times New Roman" w:cs="Times New Roman"/>
          <w:sz w:val="24"/>
          <w:szCs w:val="24"/>
          <w:lang w:eastAsia="sk-SK"/>
        </w:rPr>
        <w:t>Spoločnosť vykonáva z predmetu podnikania zapísaného v obchodnom registri tieto hlavné činnosti:</w:t>
      </w:r>
    </w:p>
    <w:p w:rsidR="00E332D5" w:rsidRPr="00E332D5" w:rsidRDefault="00E332D5" w:rsidP="00E332D5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Počítačové služby</w:t>
      </w:r>
      <w:r w:rsidRPr="00E332D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 služby súvisiace s počítačovým spracovaním údajov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E332D5" w:rsidRPr="00E332D5" w:rsidTr="00E332D5">
        <w:trPr>
          <w:tblCellSpacing w:w="15" w:type="dxa"/>
        </w:trPr>
        <w:tc>
          <w:tcPr>
            <w:tcW w:w="3350" w:type="pct"/>
            <w:vAlign w:val="center"/>
          </w:tcPr>
          <w:p w:rsidR="00E332D5" w:rsidRPr="00E332D5" w:rsidRDefault="00E332D5" w:rsidP="00E332D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Reklamné, marketingové, fotografické a informačné služby, prieskum trhu a verejnej mienky</w:t>
            </w:r>
          </w:p>
        </w:tc>
        <w:tc>
          <w:tcPr>
            <w:tcW w:w="1650" w:type="pct"/>
          </w:tcPr>
          <w:p w:rsidR="00E332D5" w:rsidRPr="00E332D5" w:rsidRDefault="00E332D5" w:rsidP="00E332D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E332D5" w:rsidRPr="00E332D5" w:rsidRDefault="00E332D5" w:rsidP="00E332D5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:rsidR="00E332D5" w:rsidRPr="00E332D5" w:rsidRDefault="00E332D5" w:rsidP="00E332D5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:rsidR="00E332D5" w:rsidRPr="00E332D5" w:rsidRDefault="00E332D5" w:rsidP="00E332D5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332D5">
        <w:rPr>
          <w:rFonts w:ascii="Times New Roman" w:eastAsia="Times New Roman" w:hAnsi="Times New Roman" w:cs="Times New Roman"/>
          <w:sz w:val="24"/>
          <w:szCs w:val="24"/>
          <w:lang w:eastAsia="sk-SK"/>
        </w:rPr>
        <w:t>Činnosť podnikateľských, organizačných a ekonomických poradcov</w:t>
      </w:r>
    </w:p>
    <w:p w:rsidR="00E332D5" w:rsidRPr="00E332D5" w:rsidRDefault="00E332D5" w:rsidP="00E332D5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E332D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3. Právny dôvod zostavenia účtovnej závierky</w:t>
      </w:r>
    </w:p>
    <w:p w:rsidR="00E332D5" w:rsidRPr="00E332D5" w:rsidRDefault="00E332D5" w:rsidP="00E332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332D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závierka spoločnosti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Arreat</w:t>
      </w:r>
      <w:proofErr w:type="spellEnd"/>
      <w:r w:rsidRPr="00E332D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s. r. o. k 31. decembru 2025 je zostavená ako riadna účtovná závierka podľa </w:t>
      </w:r>
      <w:hyperlink r:id="rId8" w:history="1">
        <w:r w:rsidRPr="00E332D5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sk-SK"/>
          </w:rPr>
          <w:t>§ 17 ods. 6 zákona č. 431/2002 Z. z.</w:t>
        </w:r>
      </w:hyperlink>
      <w:r w:rsidRPr="00E332D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 účtovníctve v znení neskorších predpisov (ďalej len „</w:t>
      </w:r>
      <w:hyperlink r:id="rId9" w:history="1">
        <w:r w:rsidRPr="00E332D5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sk-SK"/>
          </w:rPr>
          <w:t>zákon o účtovníctve</w:t>
        </w:r>
      </w:hyperlink>
      <w:r w:rsidRPr="00E332D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“), a to za účtovné obdobie od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  <w:r w:rsidRPr="00E332D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októbra</w:t>
      </w:r>
      <w:r w:rsidRPr="00E332D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2025 do 31. decembra 2025.</w:t>
      </w:r>
    </w:p>
    <w:p w:rsidR="00E332D5" w:rsidRPr="00E332D5" w:rsidRDefault="00E332D5" w:rsidP="00E332D5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E332D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4. Účtovné jednotky, v ktorých je spoločnosť neobmedzene ručiacim spoločníkom</w:t>
      </w:r>
    </w:p>
    <w:p w:rsidR="00E332D5" w:rsidRPr="00E332D5" w:rsidRDefault="00E332D5" w:rsidP="00E332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332D5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jednotka nie je neobmedzene ručiacim spoločníkom v inej účtovnej jednotke.</w:t>
      </w:r>
    </w:p>
    <w:p w:rsidR="00E332D5" w:rsidRPr="00E332D5" w:rsidRDefault="00E332D5" w:rsidP="00E332D5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E332D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5. Priemerný počet zamestnancov počas účtovného obdobia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550"/>
        <w:gridCol w:w="2276"/>
        <w:gridCol w:w="2276"/>
      </w:tblGrid>
      <w:tr w:rsidR="00E332D5" w:rsidRPr="00E332D5" w:rsidTr="00E332D5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Bežné </w:t>
            </w:r>
            <w:r w:rsidRPr="00E332D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br/>
              <w:t xml:space="preserve">účtovné </w:t>
            </w:r>
            <w:r w:rsidRPr="00E332D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br/>
              <w:t>obdobie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Bezprostredne </w:t>
            </w:r>
            <w:r w:rsidRPr="00E332D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br/>
              <w:t xml:space="preserve">predchádzajúce </w:t>
            </w:r>
            <w:r w:rsidRPr="00E332D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br/>
              <w:t>účtovné obdobie</w:t>
            </w:r>
          </w:p>
        </w:tc>
      </w:tr>
      <w:tr w:rsidR="00E332D5" w:rsidRPr="00E332D5" w:rsidTr="00E332D5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Priemerný prepočítaný počet zamestnancov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</w:tr>
      <w:tr w:rsidR="00E332D5" w:rsidRPr="00E332D5" w:rsidTr="00E332D5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Stav zamestnancov ku dňu, ku ktorému sa zostavuje účtovná </w:t>
            </w:r>
            <w:proofErr w:type="spellStart"/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záverka</w:t>
            </w:r>
            <w:proofErr w:type="spellEnd"/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 z toho: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</w:tr>
      <w:tr w:rsidR="00E332D5" w:rsidRPr="00E332D5" w:rsidTr="00E332D5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počet vedúcich zamestnancov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</w:tbl>
    <w:p w:rsidR="008C350A" w:rsidRDefault="008C350A" w:rsidP="00E332D5">
      <w:pPr>
        <w:spacing w:before="100" w:beforeAutospacing="1" w:after="100" w:afterAutospacing="1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</w:p>
    <w:p w:rsidR="00E332D5" w:rsidRPr="00E332D5" w:rsidRDefault="00E332D5" w:rsidP="00E332D5">
      <w:pPr>
        <w:spacing w:before="100" w:beforeAutospacing="1" w:after="100" w:afterAutospacing="1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  <w:r w:rsidRPr="00E332D5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lastRenderedPageBreak/>
        <w:t xml:space="preserve">Čl. II </w:t>
      </w:r>
      <w:r w:rsidRPr="00E332D5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br/>
        <w:t>INFORMÁCIE O ORGÁNOCH ÚČTOVNEJ JEDNOTKY</w:t>
      </w:r>
    </w:p>
    <w:p w:rsidR="00E332D5" w:rsidRPr="00E332D5" w:rsidRDefault="00E332D5" w:rsidP="00E332D5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E332D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Zoznam členov štatutárnych, dozorných a iných orgánov spoločnosti v účtovnom období</w:t>
      </w:r>
    </w:p>
    <w:p w:rsidR="00E332D5" w:rsidRPr="00E332D5" w:rsidRDefault="00E332D5" w:rsidP="00E332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332D5">
        <w:rPr>
          <w:rFonts w:ascii="Times New Roman" w:eastAsia="Times New Roman" w:hAnsi="Times New Roman" w:cs="Times New Roman"/>
          <w:sz w:val="24"/>
          <w:szCs w:val="24"/>
          <w:lang w:eastAsia="sk-SK"/>
        </w:rPr>
        <w:t>Štatutárny orgán spoločnosti:</w:t>
      </w:r>
      <w:r w:rsidRPr="00E332D5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 xml:space="preserve">Konatelia: Ing.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Daniel Švec</w:t>
      </w:r>
    </w:p>
    <w:p w:rsidR="00E332D5" w:rsidRPr="00E332D5" w:rsidRDefault="00E332D5" w:rsidP="00E332D5">
      <w:pPr>
        <w:spacing w:before="100" w:beforeAutospacing="1" w:after="100" w:afterAutospacing="1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  <w:r w:rsidRPr="00E332D5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 xml:space="preserve">Čl. III </w:t>
      </w:r>
      <w:r w:rsidRPr="00E332D5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br/>
        <w:t>INFORMÁCIE O PRIJATÝCH POSTUPOCH</w:t>
      </w:r>
    </w:p>
    <w:p w:rsidR="00E332D5" w:rsidRPr="00E332D5" w:rsidRDefault="00E332D5" w:rsidP="00E332D5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E332D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1. Východiská pre zostavenie účtovnej závierky</w:t>
      </w:r>
    </w:p>
    <w:p w:rsidR="00E332D5" w:rsidRPr="00E332D5" w:rsidRDefault="00E332D5" w:rsidP="00E332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332D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závierka bola vypracovaná v súlade so </w:t>
      </w:r>
      <w:hyperlink r:id="rId10" w:history="1">
        <w:r w:rsidRPr="00E332D5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sk-SK"/>
          </w:rPr>
          <w:t>zákonom o účtovníctve</w:t>
        </w:r>
      </w:hyperlink>
      <w:r w:rsidRPr="00E332D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Opatrením MF SR č. </w:t>
      </w:r>
      <w:hyperlink r:id="rId11" w:history="1">
        <w:r w:rsidRPr="00E332D5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sk-SK"/>
          </w:rPr>
          <w:t>23054/2002-92</w:t>
        </w:r>
      </w:hyperlink>
      <w:r w:rsidRPr="00E332D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ktorým sa ustanovujú podrobnosti o </w:t>
      </w:r>
      <w:hyperlink r:id="rId12" w:history="1">
        <w:r w:rsidRPr="00E332D5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sk-SK"/>
          </w:rPr>
          <w:t>postupoch účtovania</w:t>
        </w:r>
      </w:hyperlink>
      <w:r w:rsidRPr="00E332D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 rámcovej účtovej osnove pre podnikateľov účtujúcich v sústave podvojného účtovníctva v znení neskorších predpisov a Opatrením MF SR č. </w:t>
      </w:r>
      <w:hyperlink r:id="rId13" w:history="1">
        <w:r w:rsidRPr="00E332D5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sk-SK"/>
          </w:rPr>
          <w:t>MF/23378/2014-74,</w:t>
        </w:r>
      </w:hyperlink>
      <w:r w:rsidRPr="00E332D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ktorým sa ustanovujú podrobnosti o individuálnej účtovnej závierke a rozsahu údajov určených z individuálnej účtovnej závierky na zverejnenie pre malé účtovné jednotky v znení neskorších predpisov.</w:t>
      </w:r>
    </w:p>
    <w:p w:rsidR="00E332D5" w:rsidRPr="00E332D5" w:rsidRDefault="00E332D5" w:rsidP="00E332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332D5">
        <w:rPr>
          <w:rFonts w:ascii="Times New Roman" w:eastAsia="Times New Roman" w:hAnsi="Times New Roman" w:cs="Times New Roman"/>
          <w:sz w:val="24"/>
          <w:szCs w:val="24"/>
          <w:lang w:eastAsia="sk-SK"/>
        </w:rPr>
        <w:t>Menou pre vykazovanie je mena euro.</w:t>
      </w:r>
    </w:p>
    <w:p w:rsidR="00E332D5" w:rsidRPr="00E332D5" w:rsidRDefault="00E332D5" w:rsidP="00E332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332D5">
        <w:rPr>
          <w:rFonts w:ascii="Times New Roman" w:eastAsia="Times New Roman" w:hAnsi="Times New Roman" w:cs="Times New Roman"/>
          <w:sz w:val="24"/>
          <w:szCs w:val="24"/>
          <w:lang w:eastAsia="sk-SK"/>
        </w:rPr>
        <w:t>Táto účtovná závierka bola vypracovaná za predpokladu nepretržitého trvania účtovnej jednotky, t. j. vychádza z predpokladu, že spoločnosť bude realizovať svoje aktíva, záväzky a dohody v rámci riadneho chodu svojej činnosti.</w:t>
      </w:r>
    </w:p>
    <w:p w:rsidR="00E332D5" w:rsidRPr="00E332D5" w:rsidRDefault="00E332D5" w:rsidP="00E332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332D5">
        <w:rPr>
          <w:rFonts w:ascii="Times New Roman" w:eastAsia="Times New Roman" w:hAnsi="Times New Roman" w:cs="Times New Roman"/>
          <w:sz w:val="24"/>
          <w:szCs w:val="24"/>
          <w:lang w:eastAsia="sk-SK"/>
        </w:rPr>
        <w:t>Zostavenie tejto účtovnej závierky si vyžaduje, aby vedenie spoločnosti robilo určité odhady, ktoré majú vplyv na vykazované hodnoty aktív a pasív spoločnosti a vykazované náklady a výnosy za vykazované obdobie. Budúce udalosti a ich vplyvy sa nedajú predvídať s určitosťou, preto pri výskyte nových udalostí sa skutočné výsledky môžu líšiť od účtovných odhadov. V účtovnej závierke sa použili tieto kľúčové odhady a predpoklady:</w:t>
      </w:r>
    </w:p>
    <w:p w:rsidR="00E332D5" w:rsidRPr="00E332D5" w:rsidRDefault="00E332D5" w:rsidP="00E332D5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332D5">
        <w:rPr>
          <w:rFonts w:ascii="Times New Roman" w:eastAsia="Times New Roman" w:hAnsi="Times New Roman" w:cs="Times New Roman"/>
          <w:sz w:val="24"/>
          <w:szCs w:val="24"/>
          <w:lang w:eastAsia="sk-SK"/>
        </w:rPr>
        <w:t>určenie doby použitia pri dlhodobom majetku,</w:t>
      </w:r>
    </w:p>
    <w:p w:rsidR="00E332D5" w:rsidRPr="00E332D5" w:rsidRDefault="00E332D5" w:rsidP="00E332D5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332D5">
        <w:rPr>
          <w:rFonts w:ascii="Times New Roman" w:eastAsia="Times New Roman" w:hAnsi="Times New Roman" w:cs="Times New Roman"/>
          <w:sz w:val="24"/>
          <w:szCs w:val="24"/>
          <w:lang w:eastAsia="sk-SK"/>
        </w:rPr>
        <w:t>hodnotenie majetku, či nedošlo k zníženiu jeho hodnoty (tvorba opravných položiek),</w:t>
      </w:r>
    </w:p>
    <w:p w:rsidR="00E332D5" w:rsidRPr="00E332D5" w:rsidRDefault="00E332D5" w:rsidP="00E332D5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332D5">
        <w:rPr>
          <w:rFonts w:ascii="Times New Roman" w:eastAsia="Times New Roman" w:hAnsi="Times New Roman" w:cs="Times New Roman"/>
          <w:sz w:val="24"/>
          <w:szCs w:val="24"/>
          <w:lang w:eastAsia="sk-SK"/>
        </w:rPr>
        <w:t>hodnotenie, či sú zásoby vykázané v čistej realizačnej hodnote (tvorba opravných položiek),</w:t>
      </w:r>
    </w:p>
    <w:p w:rsidR="00E332D5" w:rsidRPr="00E332D5" w:rsidRDefault="00E332D5" w:rsidP="00E332D5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332D5">
        <w:rPr>
          <w:rFonts w:ascii="Times New Roman" w:eastAsia="Times New Roman" w:hAnsi="Times New Roman" w:cs="Times New Roman"/>
          <w:sz w:val="24"/>
          <w:szCs w:val="24"/>
          <w:lang w:eastAsia="sk-SK"/>
        </w:rPr>
        <w:t>hodnotenie, či inkaso pohľadávok nie je spochybnené (tvorba opravných položiek),</w:t>
      </w:r>
    </w:p>
    <w:p w:rsidR="00E332D5" w:rsidRPr="00E332D5" w:rsidRDefault="00E332D5" w:rsidP="00E332D5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332D5">
        <w:rPr>
          <w:rFonts w:ascii="Times New Roman" w:eastAsia="Times New Roman" w:hAnsi="Times New Roman" w:cs="Times New Roman"/>
          <w:sz w:val="24"/>
          <w:szCs w:val="24"/>
          <w:lang w:eastAsia="sk-SK"/>
        </w:rPr>
        <w:t>odhad rezerv,</w:t>
      </w:r>
    </w:p>
    <w:p w:rsidR="00E332D5" w:rsidRPr="00E332D5" w:rsidRDefault="00E332D5" w:rsidP="00E332D5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332D5">
        <w:rPr>
          <w:rFonts w:ascii="Times New Roman" w:eastAsia="Times New Roman" w:hAnsi="Times New Roman" w:cs="Times New Roman"/>
          <w:sz w:val="24"/>
          <w:szCs w:val="24"/>
          <w:lang w:eastAsia="sk-SK"/>
        </w:rPr>
        <w:t>zistenie a vykázanie podmienených záväzkov a majetku.</w:t>
      </w:r>
    </w:p>
    <w:p w:rsidR="00E332D5" w:rsidRPr="00E332D5" w:rsidRDefault="00E332D5" w:rsidP="00E332D5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E332D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2. Zmeny účtovných metód a účtovných zásad</w:t>
      </w:r>
    </w:p>
    <w:p w:rsidR="00E332D5" w:rsidRPr="00E332D5" w:rsidRDefault="00E332D5" w:rsidP="00E332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332D5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Účtovníctvo je vedené na akruálnom princípe, t. j. o nákladoch a výnosoch sa účtuje v momente, keď sú plnené bez ohľadu na dátum ich úhrady, inkasa alebo deň vyrovnania iným spôsobom. Dodržuje sa pritom zásada časovej a vecnej súvislosti nákladov a výnosov.</w:t>
      </w:r>
    </w:p>
    <w:p w:rsidR="00E332D5" w:rsidRPr="00E332D5" w:rsidRDefault="00E332D5" w:rsidP="00E332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332D5">
        <w:rPr>
          <w:rFonts w:ascii="Times New Roman" w:eastAsia="Times New Roman" w:hAnsi="Times New Roman" w:cs="Times New Roman"/>
          <w:sz w:val="24"/>
          <w:szCs w:val="24"/>
          <w:lang w:eastAsia="sk-SK"/>
        </w:rPr>
        <w:t>Pri oceňovaní sa uplatňuje princíp historických cien. Položky, ktoré sa oceňujú v reálnej hodnote (realizovateľné cenné papiere a deriváty držané na obchodovanie), účtovná jednotka nevlastní.</w:t>
      </w:r>
    </w:p>
    <w:p w:rsidR="00E332D5" w:rsidRPr="00E332D5" w:rsidRDefault="00E332D5" w:rsidP="00E332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332D5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Hlavné účtovné zásady a metódy použité pri zostavení tejto účtovnej závierky sú uvedené ďalej. Tieto zásady boli konzistentne uplatnené vo všetkých vykázaných obdobiach a vychádzajú z platnej legislatívy.</w:t>
      </w:r>
    </w:p>
    <w:p w:rsidR="00E332D5" w:rsidRPr="00E332D5" w:rsidRDefault="00E332D5" w:rsidP="00E332D5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E332D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3. Spôsob ocenenia jednotlivých zložiek majetku a záväzkov</w:t>
      </w:r>
    </w:p>
    <w:p w:rsidR="00E332D5" w:rsidRPr="00E332D5" w:rsidRDefault="00E332D5" w:rsidP="00E332D5">
      <w:pPr>
        <w:spacing w:before="100" w:beforeAutospacing="1" w:after="100" w:afterAutospacing="1" w:line="240" w:lineRule="auto"/>
        <w:outlineLvl w:val="4"/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</w:pPr>
      <w:r w:rsidRPr="00E332D5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a) Dlhodobý nehmotný a dlhodobý hmotný majetok</w:t>
      </w:r>
    </w:p>
    <w:p w:rsidR="00E332D5" w:rsidRPr="00E332D5" w:rsidRDefault="00E332D5" w:rsidP="00E332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332D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Ocenenie pri obstaraní</w:t>
      </w:r>
    </w:p>
    <w:p w:rsidR="00E332D5" w:rsidRPr="00E332D5" w:rsidRDefault="00E332D5" w:rsidP="00E332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332D5">
        <w:rPr>
          <w:rFonts w:ascii="Times New Roman" w:eastAsia="Times New Roman" w:hAnsi="Times New Roman" w:cs="Times New Roman"/>
          <w:sz w:val="24"/>
          <w:szCs w:val="24"/>
          <w:lang w:eastAsia="sk-SK"/>
        </w:rPr>
        <w:t>Dlhodobý nehmotný a dlhodobý hmotný majetok sa vykazuje v obstarávacích cenách, pričom jeho hodnotu znižujú oprávky a opravné položky (účtovná jednotka za rok 2025 nevytvorila opravné položky k dlhodobému majetku). Obstarávacia cena zahrnuje cenu obstarania a náklady súvisiace s obstaraním (registračný poplatok pri vozidlách, clo, dovoznú prirážku, prepravu, montáž a pod.). Súčasťou obstarávacej ceny nie sú úroky z úverov.</w:t>
      </w:r>
    </w:p>
    <w:p w:rsidR="00E332D5" w:rsidRPr="00E332D5" w:rsidRDefault="008C350A" w:rsidP="00E332D5">
      <w:pPr>
        <w:spacing w:before="100" w:beforeAutospacing="1" w:after="100" w:afterAutospacing="1" w:line="240" w:lineRule="auto"/>
        <w:outlineLvl w:val="4"/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b</w:t>
      </w:r>
      <w:r w:rsidR="00E332D5" w:rsidRPr="00E332D5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) Pohľadávky</w:t>
      </w:r>
    </w:p>
    <w:p w:rsidR="00E332D5" w:rsidRPr="00E332D5" w:rsidRDefault="00E332D5" w:rsidP="00E332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332D5">
        <w:rPr>
          <w:rFonts w:ascii="Times New Roman" w:eastAsia="Times New Roman" w:hAnsi="Times New Roman" w:cs="Times New Roman"/>
          <w:sz w:val="24"/>
          <w:szCs w:val="24"/>
          <w:lang w:eastAsia="sk-SK"/>
        </w:rPr>
        <w:t>Pohľadávky sa pri ich vzniku oceňujú ich menovitou hodnotou; postúpené pohľadávky a pohľadávky nadobudnuté vkladom do základného imania sa oceňujú obstarávacou cenou, v ktorej sú zahrnuté aj nákladov súvisiace s obstaraním. Toto ocenenie jednotlivých pohľadávok sa znižuje o pochybné a nevymožiteľné pohľadávky (tvorbou opravnej položky).</w:t>
      </w:r>
    </w:p>
    <w:p w:rsidR="00E332D5" w:rsidRPr="00E332D5" w:rsidRDefault="008C350A" w:rsidP="00E332D5">
      <w:pPr>
        <w:spacing w:before="100" w:beforeAutospacing="1" w:after="100" w:afterAutospacing="1" w:line="240" w:lineRule="auto"/>
        <w:outlineLvl w:val="4"/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c</w:t>
      </w:r>
      <w:r w:rsidR="00E332D5" w:rsidRPr="00E332D5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) Peňažné prostriedky a ceniny</w:t>
      </w:r>
    </w:p>
    <w:p w:rsidR="00E332D5" w:rsidRPr="00E332D5" w:rsidRDefault="00E332D5" w:rsidP="00E332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332D5">
        <w:rPr>
          <w:rFonts w:ascii="Times New Roman" w:eastAsia="Times New Roman" w:hAnsi="Times New Roman" w:cs="Times New Roman"/>
          <w:sz w:val="24"/>
          <w:szCs w:val="24"/>
          <w:lang w:eastAsia="sk-SK"/>
        </w:rPr>
        <w:t>Peňažné prostriedky a ceniny sa oceňujú ich menovitou hodnotou. Zníženie ich hodnoty sa vyjadruje opravnou položkou.</w:t>
      </w:r>
    </w:p>
    <w:p w:rsidR="00E332D5" w:rsidRPr="00E332D5" w:rsidRDefault="008C350A" w:rsidP="00E332D5">
      <w:pPr>
        <w:spacing w:before="100" w:beforeAutospacing="1" w:after="100" w:afterAutospacing="1" w:line="240" w:lineRule="auto"/>
        <w:outlineLvl w:val="4"/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d</w:t>
      </w:r>
      <w:r w:rsidR="00E332D5" w:rsidRPr="00E332D5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) Náklady budúcich období a príjmy budúcich období</w:t>
      </w:r>
    </w:p>
    <w:p w:rsidR="00E332D5" w:rsidRPr="00E332D5" w:rsidRDefault="00E332D5" w:rsidP="00E332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332D5">
        <w:rPr>
          <w:rFonts w:ascii="Times New Roman" w:eastAsia="Times New Roman" w:hAnsi="Times New Roman" w:cs="Times New Roman"/>
          <w:sz w:val="24"/>
          <w:szCs w:val="24"/>
          <w:lang w:eastAsia="sk-SK"/>
        </w:rPr>
        <w:t>Náklady budúcich období a príjmy budúcich období sa vykazujú vo výške, ktorá je potrebná na dodržanie zásady vecnej a časovej súvislosti s účtovným obdobím.</w:t>
      </w:r>
    </w:p>
    <w:p w:rsidR="00E332D5" w:rsidRPr="00E332D5" w:rsidRDefault="008C350A" w:rsidP="00E332D5">
      <w:pPr>
        <w:spacing w:before="100" w:beforeAutospacing="1" w:after="100" w:afterAutospacing="1" w:line="240" w:lineRule="auto"/>
        <w:outlineLvl w:val="4"/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e</w:t>
      </w:r>
      <w:r w:rsidR="00E332D5" w:rsidRPr="00E332D5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) Rezervy</w:t>
      </w:r>
    </w:p>
    <w:p w:rsidR="00E332D5" w:rsidRPr="00E332D5" w:rsidRDefault="00E332D5" w:rsidP="00E332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332D5">
        <w:rPr>
          <w:rFonts w:ascii="Times New Roman" w:eastAsia="Times New Roman" w:hAnsi="Times New Roman" w:cs="Times New Roman"/>
          <w:sz w:val="24"/>
          <w:szCs w:val="24"/>
          <w:lang w:eastAsia="sk-SK"/>
        </w:rPr>
        <w:t>Rezervy účtovná jednotka netvorila.</w:t>
      </w:r>
    </w:p>
    <w:p w:rsidR="00E332D5" w:rsidRPr="00E332D5" w:rsidRDefault="008C350A" w:rsidP="00E332D5">
      <w:pPr>
        <w:spacing w:before="100" w:beforeAutospacing="1" w:after="100" w:afterAutospacing="1" w:line="240" w:lineRule="auto"/>
        <w:outlineLvl w:val="4"/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f</w:t>
      </w:r>
      <w:r w:rsidR="00E332D5" w:rsidRPr="00E332D5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) Záväzky</w:t>
      </w:r>
    </w:p>
    <w:p w:rsidR="00E332D5" w:rsidRPr="00E332D5" w:rsidRDefault="00E332D5" w:rsidP="00E332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332D5">
        <w:rPr>
          <w:rFonts w:ascii="Times New Roman" w:eastAsia="Times New Roman" w:hAnsi="Times New Roman" w:cs="Times New Roman"/>
          <w:sz w:val="24"/>
          <w:szCs w:val="24"/>
          <w:lang w:eastAsia="sk-SK"/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:rsidR="00E332D5" w:rsidRPr="00E332D5" w:rsidRDefault="008C350A" w:rsidP="00E332D5">
      <w:pPr>
        <w:spacing w:before="100" w:beforeAutospacing="1" w:after="100" w:afterAutospacing="1" w:line="240" w:lineRule="auto"/>
        <w:outlineLvl w:val="4"/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g</w:t>
      </w:r>
      <w:r w:rsidR="00E332D5" w:rsidRPr="00E332D5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) Výdavky budúcich období a výnosy budúcich období</w:t>
      </w:r>
    </w:p>
    <w:p w:rsidR="00E332D5" w:rsidRDefault="00E332D5" w:rsidP="00E332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332D5">
        <w:rPr>
          <w:rFonts w:ascii="Times New Roman" w:eastAsia="Times New Roman" w:hAnsi="Times New Roman" w:cs="Times New Roman"/>
          <w:sz w:val="24"/>
          <w:szCs w:val="24"/>
          <w:lang w:eastAsia="sk-SK"/>
        </w:rPr>
        <w:t>Výdavky budúcich období a výnosy budúcich období sa vykazujú vo výške, ktorá je potrebná na dodržanie zásady vecnej a časovej súvislosti s účtovným obdobím.</w:t>
      </w:r>
    </w:p>
    <w:p w:rsidR="008C350A" w:rsidRDefault="008C350A" w:rsidP="00E332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C350A" w:rsidRPr="00E332D5" w:rsidRDefault="008C350A" w:rsidP="00E332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332D5" w:rsidRPr="00E332D5" w:rsidRDefault="008C350A" w:rsidP="00E332D5">
      <w:pPr>
        <w:spacing w:before="100" w:beforeAutospacing="1" w:after="100" w:afterAutospacing="1" w:line="240" w:lineRule="auto"/>
        <w:outlineLvl w:val="4"/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lastRenderedPageBreak/>
        <w:t>h</w:t>
      </w:r>
      <w:r w:rsidR="00E332D5" w:rsidRPr="00E332D5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) Daň z príjmov</w:t>
      </w:r>
    </w:p>
    <w:p w:rsidR="00E332D5" w:rsidRPr="00E332D5" w:rsidRDefault="00E332D5" w:rsidP="00E332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332D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Daň z príjmov sa skladá zo splatnej dane, o odloženej dani účtovná jednotka neúčtuje. Splatná daň z príjmov sa počíta vo výške podľa </w:t>
      </w:r>
      <w:hyperlink r:id="rId14" w:history="1">
        <w:r w:rsidRPr="00E332D5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sk-SK"/>
          </w:rPr>
          <w:t>§ 15 zákona č. 595/2003 Z. z.</w:t>
        </w:r>
      </w:hyperlink>
      <w:r w:rsidRPr="00E332D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 dani z príjmov v znení neskorších predpisov, ktorá sa vypočítala úpravou účtovného výsledku hospodárenia pred zdanením o pripočítateľné a odpočítateľné položky.</w:t>
      </w:r>
    </w:p>
    <w:p w:rsidR="00E332D5" w:rsidRPr="00E332D5" w:rsidRDefault="008C350A" w:rsidP="00E332D5">
      <w:pPr>
        <w:spacing w:before="100" w:beforeAutospacing="1" w:after="100" w:afterAutospacing="1" w:line="240" w:lineRule="auto"/>
        <w:outlineLvl w:val="4"/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i</w:t>
      </w:r>
      <w:r w:rsidR="00E332D5" w:rsidRPr="00E332D5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) Výnosy</w:t>
      </w:r>
    </w:p>
    <w:p w:rsidR="00E332D5" w:rsidRPr="00E332D5" w:rsidRDefault="00E332D5" w:rsidP="00E332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332D5">
        <w:rPr>
          <w:rFonts w:ascii="Times New Roman" w:eastAsia="Times New Roman" w:hAnsi="Times New Roman" w:cs="Times New Roman"/>
          <w:sz w:val="24"/>
          <w:szCs w:val="24"/>
          <w:lang w:eastAsia="sk-SK"/>
        </w:rPr>
        <w:t>Tržby za vlastné výkony a tovar neobsahujú daň z pridanej hodnoty. Spoločnosť v roku 2025 neposkytovala zľavy z ceny.</w:t>
      </w:r>
    </w:p>
    <w:p w:rsidR="00E332D5" w:rsidRPr="00E332D5" w:rsidRDefault="00E332D5" w:rsidP="00E332D5">
      <w:pPr>
        <w:spacing w:before="100" w:beforeAutospacing="1" w:after="100" w:afterAutospacing="1" w:line="240" w:lineRule="auto"/>
        <w:outlineLvl w:val="5"/>
        <w:rPr>
          <w:rFonts w:ascii="Times New Roman" w:eastAsia="Times New Roman" w:hAnsi="Times New Roman" w:cs="Times New Roman"/>
          <w:b/>
          <w:bCs/>
          <w:sz w:val="15"/>
          <w:szCs w:val="15"/>
          <w:lang w:eastAsia="sk-SK"/>
        </w:rPr>
      </w:pPr>
      <w:r w:rsidRPr="00E332D5">
        <w:rPr>
          <w:rFonts w:ascii="Times New Roman" w:eastAsia="Times New Roman" w:hAnsi="Times New Roman" w:cs="Times New Roman"/>
          <w:b/>
          <w:bCs/>
          <w:sz w:val="15"/>
          <w:szCs w:val="15"/>
          <w:lang w:eastAsia="sk-SK"/>
        </w:rPr>
        <w:t>Spôsob zostavenia odpisového plánu pre dlhodobý majetok</w:t>
      </w:r>
    </w:p>
    <w:p w:rsidR="00E332D5" w:rsidRPr="00E332D5" w:rsidRDefault="00E332D5" w:rsidP="00E332D5">
      <w:pPr>
        <w:spacing w:before="100" w:beforeAutospacing="1" w:after="100" w:afterAutospacing="1" w:line="240" w:lineRule="auto"/>
        <w:outlineLvl w:val="5"/>
        <w:rPr>
          <w:rFonts w:ascii="Times New Roman" w:eastAsia="Times New Roman" w:hAnsi="Times New Roman" w:cs="Times New Roman"/>
          <w:b/>
          <w:bCs/>
          <w:sz w:val="15"/>
          <w:szCs w:val="15"/>
          <w:lang w:eastAsia="sk-SK"/>
        </w:rPr>
      </w:pPr>
      <w:r w:rsidRPr="00E332D5">
        <w:rPr>
          <w:rFonts w:ascii="Times New Roman" w:eastAsia="Times New Roman" w:hAnsi="Times New Roman" w:cs="Times New Roman"/>
          <w:b/>
          <w:bCs/>
          <w:sz w:val="15"/>
          <w:szCs w:val="15"/>
          <w:lang w:eastAsia="sk-SK"/>
        </w:rPr>
        <w:t>Dlhodobý nehmotný majetok (DNM)</w:t>
      </w:r>
    </w:p>
    <w:p w:rsidR="00E332D5" w:rsidRPr="00E332D5" w:rsidRDefault="00E332D5" w:rsidP="00E332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332D5">
        <w:rPr>
          <w:rFonts w:ascii="Times New Roman" w:eastAsia="Times New Roman" w:hAnsi="Times New Roman" w:cs="Times New Roman"/>
          <w:sz w:val="24"/>
          <w:szCs w:val="24"/>
          <w:lang w:eastAsia="sk-SK"/>
        </w:rPr>
        <w:t>Odpisy dlhodobého nehmotného majetku sú stanovené vychádzajúc z predpokladanej doby jeho používania. Odpisovať sa začína počnúc mesiacom zaradenia dlhodobého majetku do používania.</w:t>
      </w:r>
    </w:p>
    <w:p w:rsidR="00E332D5" w:rsidRPr="00E332D5" w:rsidRDefault="00E332D5" w:rsidP="00E332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332D5">
        <w:rPr>
          <w:rFonts w:ascii="Times New Roman" w:eastAsia="Times New Roman" w:hAnsi="Times New Roman" w:cs="Times New Roman"/>
          <w:sz w:val="24"/>
          <w:szCs w:val="24"/>
          <w:lang w:eastAsia="sk-SK"/>
        </w:rPr>
        <w:t>Predpokladaná doba používania a metóda odpisovania sú uvedené v nasledujúcej tabuľke:</w:t>
      </w:r>
    </w:p>
    <w:p w:rsidR="00E332D5" w:rsidRPr="00E332D5" w:rsidRDefault="00E332D5" w:rsidP="00933A0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332D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Spoločnosť </w:t>
      </w:r>
      <w:r w:rsidR="00933A02">
        <w:rPr>
          <w:rFonts w:ascii="Times New Roman" w:eastAsia="Times New Roman" w:hAnsi="Times New Roman" w:cs="Times New Roman"/>
          <w:sz w:val="24"/>
          <w:szCs w:val="24"/>
          <w:lang w:eastAsia="sk-SK"/>
        </w:rPr>
        <w:t>v roku 2025 neobstarala žiaden dlhodobý nehmotný majetok.</w:t>
      </w:r>
    </w:p>
    <w:p w:rsidR="00E332D5" w:rsidRPr="00E332D5" w:rsidRDefault="00E332D5" w:rsidP="00E332D5">
      <w:pPr>
        <w:spacing w:before="100" w:beforeAutospacing="1" w:after="100" w:afterAutospacing="1" w:line="240" w:lineRule="auto"/>
        <w:outlineLvl w:val="5"/>
        <w:rPr>
          <w:rFonts w:ascii="Times New Roman" w:eastAsia="Times New Roman" w:hAnsi="Times New Roman" w:cs="Times New Roman"/>
          <w:b/>
          <w:bCs/>
          <w:sz w:val="15"/>
          <w:szCs w:val="15"/>
          <w:lang w:eastAsia="sk-SK"/>
        </w:rPr>
      </w:pPr>
      <w:r w:rsidRPr="00E332D5">
        <w:rPr>
          <w:rFonts w:ascii="Times New Roman" w:eastAsia="Times New Roman" w:hAnsi="Times New Roman" w:cs="Times New Roman"/>
          <w:b/>
          <w:bCs/>
          <w:sz w:val="15"/>
          <w:szCs w:val="15"/>
          <w:lang w:eastAsia="sk-SK"/>
        </w:rPr>
        <w:t>Dlhodobý hmotný majetok (DHM)</w:t>
      </w:r>
    </w:p>
    <w:p w:rsidR="00E332D5" w:rsidRPr="00E332D5" w:rsidRDefault="00E332D5" w:rsidP="00E332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332D5">
        <w:rPr>
          <w:rFonts w:ascii="Times New Roman" w:eastAsia="Times New Roman" w:hAnsi="Times New Roman" w:cs="Times New Roman"/>
          <w:sz w:val="24"/>
          <w:szCs w:val="24"/>
          <w:lang w:eastAsia="sk-SK"/>
        </w:rPr>
        <w:t>Odpisy dlhodobého hmotného majetku sú stanovené vychádzajúc z predpokladanej doby jeho používania a predpokladaného priebehu jeho opotrebovania. Odpisovať sa začína počnúc mesiacom zaradenia dlhodobého majetku do používania. Pozemky sa neodpisujú.</w:t>
      </w:r>
    </w:p>
    <w:p w:rsidR="00E332D5" w:rsidRPr="00E332D5" w:rsidRDefault="00E332D5" w:rsidP="00E332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332D5">
        <w:rPr>
          <w:rFonts w:ascii="Times New Roman" w:eastAsia="Times New Roman" w:hAnsi="Times New Roman" w:cs="Times New Roman"/>
          <w:sz w:val="24"/>
          <w:szCs w:val="24"/>
          <w:lang w:eastAsia="sk-SK"/>
        </w:rPr>
        <w:t>Ročná výška odpisov dlhodobého majetku predstavuje 12-násobok mesačného odpisu vypočítaného rovnomerným spôsobom zo vstupnej ceny majetku, ktorá pripadá na zostatok doby odpisovania. Pri nových položkách ročný odpis predstavuje 12-násobok mesačného odpisu pripadajúceho na jeden mesiac stanovenej doby odpisovania. Spoločnosť zatiaľ nevedie kategóriu drobného dlhodobého hmotného majetku. Prípadný hmotný majetok, ktorého obstarávacia cena bude 1700 EUR a nižšia, sa pri obstaraní bude účtovať do dlhodobého majetku na základe individuálneho posúdenia.</w:t>
      </w:r>
    </w:p>
    <w:p w:rsidR="00933A02" w:rsidRPr="00E332D5" w:rsidRDefault="00933A02" w:rsidP="00933A0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332D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Spoločnosť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 roku 2025 neobstarala žiaden dlhodobý hmotný majetok.</w:t>
      </w:r>
    </w:p>
    <w:p w:rsidR="00E332D5" w:rsidRPr="00E332D5" w:rsidRDefault="00E332D5" w:rsidP="00E332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332D5" w:rsidRPr="00E332D5" w:rsidRDefault="00E332D5" w:rsidP="00E332D5">
      <w:pPr>
        <w:spacing w:before="100" w:beforeAutospacing="1" w:after="100" w:afterAutospacing="1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  <w:r w:rsidRPr="00E332D5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 xml:space="preserve">Čl. IV </w:t>
      </w:r>
      <w:r w:rsidRPr="00E332D5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br/>
        <w:t>INFORMÁCIE, KTORÉ VYSVETĽUJÚ A DOPĹŇAJÚ SÚVAHU A VÝKAZ ZISKOV A STRÁT</w:t>
      </w:r>
    </w:p>
    <w:p w:rsidR="00E332D5" w:rsidRPr="00E332D5" w:rsidRDefault="00E332D5" w:rsidP="00E332D5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E332D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Strana Aktív</w:t>
      </w:r>
    </w:p>
    <w:p w:rsidR="00E332D5" w:rsidRPr="00E332D5" w:rsidRDefault="00E332D5" w:rsidP="00E332D5">
      <w:pPr>
        <w:spacing w:before="100" w:beforeAutospacing="1" w:after="100" w:afterAutospacing="1" w:line="240" w:lineRule="auto"/>
        <w:outlineLvl w:val="4"/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</w:pPr>
      <w:r w:rsidRPr="00E332D5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Dlhodobý nehmotný majetok, dlhodobý hmotný majetok</w:t>
      </w:r>
    </w:p>
    <w:p w:rsidR="00E332D5" w:rsidRPr="00E332D5" w:rsidRDefault="00E332D5" w:rsidP="00E332D5">
      <w:pPr>
        <w:spacing w:before="100" w:beforeAutospacing="1" w:after="100" w:afterAutospacing="1" w:line="240" w:lineRule="auto"/>
        <w:outlineLvl w:val="5"/>
        <w:rPr>
          <w:rFonts w:ascii="Times New Roman" w:eastAsia="Times New Roman" w:hAnsi="Times New Roman" w:cs="Times New Roman"/>
          <w:b/>
          <w:bCs/>
          <w:sz w:val="15"/>
          <w:szCs w:val="15"/>
          <w:lang w:eastAsia="sk-SK"/>
        </w:rPr>
      </w:pPr>
      <w:r w:rsidRPr="00E332D5">
        <w:rPr>
          <w:rFonts w:ascii="Times New Roman" w:eastAsia="Times New Roman" w:hAnsi="Times New Roman" w:cs="Times New Roman"/>
          <w:b/>
          <w:bCs/>
          <w:sz w:val="15"/>
          <w:szCs w:val="15"/>
          <w:lang w:eastAsia="sk-SK"/>
        </w:rPr>
        <w:t>a) Prehľad o pohybe dlhodobého nehmotného a dlhodobého hmotného majetku</w:t>
      </w:r>
    </w:p>
    <w:p w:rsidR="00E332D5" w:rsidRPr="00E332D5" w:rsidRDefault="00E332D5" w:rsidP="00E332D5">
      <w:pPr>
        <w:spacing w:before="100" w:beforeAutospacing="1" w:after="100" w:afterAutospacing="1" w:line="240" w:lineRule="auto"/>
        <w:outlineLvl w:val="5"/>
        <w:rPr>
          <w:rFonts w:ascii="Times New Roman" w:eastAsia="Times New Roman" w:hAnsi="Times New Roman" w:cs="Times New Roman"/>
          <w:b/>
          <w:bCs/>
          <w:sz w:val="15"/>
          <w:szCs w:val="15"/>
          <w:lang w:eastAsia="sk-SK"/>
        </w:rPr>
      </w:pPr>
      <w:r w:rsidRPr="00E332D5">
        <w:rPr>
          <w:rFonts w:ascii="Times New Roman" w:eastAsia="Times New Roman" w:hAnsi="Times New Roman" w:cs="Times New Roman"/>
          <w:b/>
          <w:bCs/>
          <w:sz w:val="15"/>
          <w:szCs w:val="15"/>
          <w:lang w:eastAsia="sk-SK"/>
        </w:rPr>
        <w:lastRenderedPageBreak/>
        <w:t>Dlhodobý nehmotný majetok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78"/>
        <w:gridCol w:w="1204"/>
        <w:gridCol w:w="777"/>
        <w:gridCol w:w="1169"/>
        <w:gridCol w:w="964"/>
        <w:gridCol w:w="844"/>
        <w:gridCol w:w="1271"/>
        <w:gridCol w:w="1177"/>
        <w:gridCol w:w="618"/>
      </w:tblGrid>
      <w:tr w:rsidR="00E332D5" w:rsidRPr="00E332D5" w:rsidTr="00E332D5">
        <w:trPr>
          <w:tblHeader/>
          <w:tblCellSpacing w:w="0" w:type="dxa"/>
        </w:trPr>
        <w:tc>
          <w:tcPr>
            <w:tcW w:w="10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Dlhodobý nehmotný majetok</w:t>
            </w:r>
          </w:p>
        </w:tc>
        <w:tc>
          <w:tcPr>
            <w:tcW w:w="4000" w:type="pct"/>
            <w:gridSpan w:val="8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Bežné účtovné obdobie</w:t>
            </w:r>
          </w:p>
        </w:tc>
      </w:tr>
      <w:tr w:rsidR="00E332D5" w:rsidRPr="00E332D5" w:rsidTr="00E332D5">
        <w:trPr>
          <w:tblHeader/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Aktivované náklady na vývoj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Softvér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Oceniteľné práva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E332D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Goodwill</w:t>
            </w:r>
            <w:proofErr w:type="spellEnd"/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Ostatný DNM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E332D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Obtarávaný</w:t>
            </w:r>
            <w:proofErr w:type="spellEnd"/>
            <w:r w:rsidRPr="00E332D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DNM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Poskytnuté preddavky na DNM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</w:tr>
      <w:tr w:rsidR="00E332D5" w:rsidRPr="00E332D5" w:rsidTr="00E332D5">
        <w:trPr>
          <w:tblCellSpacing w:w="0" w:type="dxa"/>
        </w:trPr>
        <w:tc>
          <w:tcPr>
            <w:tcW w:w="0" w:type="auto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Prvotné ocenenie</w:t>
            </w:r>
          </w:p>
        </w:tc>
      </w:tr>
      <w:tr w:rsidR="00E332D5" w:rsidRPr="00E332D5" w:rsidTr="00933A02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Stav na začiatku účtovného </w:t>
            </w:r>
            <w:proofErr w:type="spellStart"/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odbobia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E332D5" w:rsidRPr="00E332D5" w:rsidTr="00933A02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Prírastky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E332D5" w:rsidRPr="00E332D5" w:rsidTr="00933A02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Úbytky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E332D5" w:rsidRPr="00E332D5" w:rsidTr="00933A02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Presuny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E332D5" w:rsidRPr="00E332D5" w:rsidTr="00933A02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Stav na konci účtovného obdobia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E332D5" w:rsidRPr="00E332D5" w:rsidTr="00933A02">
        <w:trPr>
          <w:tblCellSpacing w:w="0" w:type="dxa"/>
        </w:trPr>
        <w:tc>
          <w:tcPr>
            <w:tcW w:w="0" w:type="auto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E332D5" w:rsidRPr="00E332D5" w:rsidTr="00933A02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Stav na začiatku účtovného </w:t>
            </w:r>
            <w:proofErr w:type="spellStart"/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odbobia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E332D5" w:rsidRPr="00E332D5" w:rsidTr="00933A02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Prírastky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E332D5" w:rsidRPr="00E332D5" w:rsidTr="00933A02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Úbytky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E332D5" w:rsidRPr="00E332D5" w:rsidTr="00933A02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Stav na konci účtovného obdobia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E332D5" w:rsidRPr="00E332D5" w:rsidTr="00E332D5">
        <w:trPr>
          <w:tblCellSpacing w:w="0" w:type="dxa"/>
        </w:trPr>
        <w:tc>
          <w:tcPr>
            <w:tcW w:w="0" w:type="auto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Opravné položky</w:t>
            </w:r>
          </w:p>
        </w:tc>
      </w:tr>
      <w:tr w:rsidR="00E332D5" w:rsidRPr="00E332D5" w:rsidTr="00933A02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Stav na začiatku účtovného </w:t>
            </w:r>
            <w:proofErr w:type="spellStart"/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odbobia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E332D5" w:rsidRPr="00E332D5" w:rsidTr="00933A02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Prírastky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E332D5" w:rsidRPr="00E332D5" w:rsidTr="00933A02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Úbytky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E332D5" w:rsidRPr="00E332D5" w:rsidTr="00933A02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Stav na konci účtovného obdobia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E332D5" w:rsidRPr="00E332D5" w:rsidTr="00933A02">
        <w:trPr>
          <w:tblCellSpacing w:w="0" w:type="dxa"/>
        </w:trPr>
        <w:tc>
          <w:tcPr>
            <w:tcW w:w="0" w:type="auto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E332D5" w:rsidRPr="00E332D5" w:rsidTr="00933A02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Stav na začiatku účtovného </w:t>
            </w:r>
            <w:proofErr w:type="spellStart"/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odbobia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E332D5" w:rsidRPr="00E332D5" w:rsidTr="00933A02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Stav na konci účtovného </w:t>
            </w: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lastRenderedPageBreak/>
              <w:t>obdobia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E332D5" w:rsidRPr="00E332D5" w:rsidRDefault="00E332D5" w:rsidP="00E332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332D5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Dlhodobý nehmotný majetok za</w:t>
      </w:r>
      <w:r w:rsidR="00933A0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bežné </w:t>
      </w:r>
      <w:r w:rsidRPr="00E332D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účtovné obdobie účtovná jednotka nevykazovala. </w:t>
      </w:r>
    </w:p>
    <w:p w:rsidR="00E332D5" w:rsidRPr="00E332D5" w:rsidRDefault="00E332D5" w:rsidP="00E332D5">
      <w:pPr>
        <w:spacing w:before="100" w:beforeAutospacing="1" w:after="100" w:afterAutospacing="1" w:line="240" w:lineRule="auto"/>
        <w:outlineLvl w:val="4"/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</w:pPr>
      <w:r w:rsidRPr="00E332D5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Dlhodobý hmotný majetok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24"/>
        <w:gridCol w:w="864"/>
        <w:gridCol w:w="661"/>
        <w:gridCol w:w="869"/>
        <w:gridCol w:w="1297"/>
        <w:gridCol w:w="900"/>
        <w:gridCol w:w="757"/>
        <w:gridCol w:w="1221"/>
        <w:gridCol w:w="1054"/>
        <w:gridCol w:w="555"/>
      </w:tblGrid>
      <w:tr w:rsidR="00E332D5" w:rsidRPr="00E332D5" w:rsidTr="00E332D5">
        <w:trPr>
          <w:tblHeader/>
          <w:tblCellSpacing w:w="0" w:type="dxa"/>
        </w:trPr>
        <w:tc>
          <w:tcPr>
            <w:tcW w:w="10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Dlhodobý hmotný majetok</w:t>
            </w:r>
          </w:p>
        </w:tc>
        <w:tc>
          <w:tcPr>
            <w:tcW w:w="4000" w:type="pct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Bežné účtovné obdobie</w:t>
            </w:r>
          </w:p>
        </w:tc>
      </w:tr>
      <w:tr w:rsidR="00E332D5" w:rsidRPr="00E332D5" w:rsidTr="00E332D5">
        <w:trPr>
          <w:tblHeader/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Pozemky</w:t>
            </w:r>
          </w:p>
        </w:tc>
        <w:tc>
          <w:tcPr>
            <w:tcW w:w="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Stavby</w:t>
            </w:r>
          </w:p>
        </w:tc>
        <w:tc>
          <w:tcPr>
            <w:tcW w:w="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E332D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Sam</w:t>
            </w:r>
            <w:proofErr w:type="spellEnd"/>
            <w:r w:rsidRPr="00E332D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. hnuteľné veci a súbory </w:t>
            </w:r>
            <w:proofErr w:type="spellStart"/>
            <w:r w:rsidRPr="00E332D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hnut</w:t>
            </w:r>
            <w:proofErr w:type="spellEnd"/>
            <w:r w:rsidRPr="00E332D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. vecí</w:t>
            </w:r>
          </w:p>
        </w:tc>
        <w:tc>
          <w:tcPr>
            <w:tcW w:w="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Pestovateľské celky trvalých porastov</w:t>
            </w:r>
          </w:p>
        </w:tc>
        <w:tc>
          <w:tcPr>
            <w:tcW w:w="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Základné stádo a ťažné zvieratá</w:t>
            </w:r>
          </w:p>
        </w:tc>
        <w:tc>
          <w:tcPr>
            <w:tcW w:w="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Ostatný DHM</w:t>
            </w:r>
          </w:p>
        </w:tc>
        <w:tc>
          <w:tcPr>
            <w:tcW w:w="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Obstarávaný DHM</w:t>
            </w:r>
          </w:p>
        </w:tc>
        <w:tc>
          <w:tcPr>
            <w:tcW w:w="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Poskytnuté preddavky na DHM</w:t>
            </w:r>
          </w:p>
        </w:tc>
        <w:tc>
          <w:tcPr>
            <w:tcW w:w="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</w:tr>
      <w:tr w:rsidR="00E332D5" w:rsidRPr="00E332D5" w:rsidTr="00E332D5">
        <w:trPr>
          <w:tblCellSpacing w:w="0" w:type="dxa"/>
        </w:trPr>
        <w:tc>
          <w:tcPr>
            <w:tcW w:w="0" w:type="auto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Prvotné ocenenie</w:t>
            </w:r>
          </w:p>
        </w:tc>
      </w:tr>
      <w:tr w:rsidR="00E332D5" w:rsidRPr="00E332D5" w:rsidTr="00933A02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Stav na začiatku účtovného </w:t>
            </w:r>
            <w:proofErr w:type="spellStart"/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odbobia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E332D5" w:rsidRPr="00E332D5" w:rsidTr="00933A02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Prírastky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E332D5" w:rsidRPr="00E332D5" w:rsidTr="00933A02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Úbytky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E332D5" w:rsidRPr="00E332D5" w:rsidTr="00933A02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Presuny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E332D5" w:rsidRPr="00E332D5" w:rsidTr="00933A02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Stav na konci účtovného obdobia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E332D5" w:rsidRPr="00E332D5" w:rsidTr="00E332D5">
        <w:trPr>
          <w:tblCellSpacing w:w="0" w:type="dxa"/>
        </w:trPr>
        <w:tc>
          <w:tcPr>
            <w:tcW w:w="0" w:type="auto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Oprávky</w:t>
            </w:r>
          </w:p>
        </w:tc>
      </w:tr>
      <w:tr w:rsidR="00E332D5" w:rsidRPr="00E332D5" w:rsidTr="00933A02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Stav na začiatku účtovného </w:t>
            </w:r>
            <w:proofErr w:type="spellStart"/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odbobia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E332D5" w:rsidRPr="00E332D5" w:rsidTr="00933A02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Prírastky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E332D5" w:rsidRPr="00E332D5" w:rsidTr="00933A02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Úbytky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E332D5" w:rsidRPr="00E332D5" w:rsidTr="00933A02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Stav na konci účtovného obdobia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E332D5" w:rsidRPr="00E332D5" w:rsidTr="00E332D5">
        <w:trPr>
          <w:tblCellSpacing w:w="0" w:type="dxa"/>
        </w:trPr>
        <w:tc>
          <w:tcPr>
            <w:tcW w:w="0" w:type="auto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Opravné položky</w:t>
            </w:r>
          </w:p>
        </w:tc>
      </w:tr>
      <w:tr w:rsidR="00E332D5" w:rsidRPr="00E332D5" w:rsidTr="00933A02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Stav na začiatku účtovnéh</w:t>
            </w: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lastRenderedPageBreak/>
              <w:t xml:space="preserve">o </w:t>
            </w:r>
            <w:proofErr w:type="spellStart"/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odbobia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E332D5" w:rsidRPr="00E332D5" w:rsidTr="00933A02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lastRenderedPageBreak/>
              <w:t>Prírastky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E332D5" w:rsidRPr="00E332D5" w:rsidTr="00933A02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Úbytky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E332D5" w:rsidRPr="00E332D5" w:rsidTr="00933A02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Stav na konci účtovného obdobia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E332D5" w:rsidRPr="00E332D5" w:rsidTr="00E332D5">
        <w:trPr>
          <w:tblCellSpacing w:w="0" w:type="dxa"/>
        </w:trPr>
        <w:tc>
          <w:tcPr>
            <w:tcW w:w="0" w:type="auto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Zostatková hodnota</w:t>
            </w:r>
          </w:p>
        </w:tc>
      </w:tr>
      <w:tr w:rsidR="00E332D5" w:rsidRPr="00E332D5" w:rsidTr="00933A02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Stav na začiatku účtovného </w:t>
            </w:r>
            <w:proofErr w:type="spellStart"/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odbobia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E332D5" w:rsidRPr="00E332D5" w:rsidTr="00933A02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Stav na konci účtovného obdobia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E332D5" w:rsidRPr="00E332D5" w:rsidRDefault="00E332D5" w:rsidP="00E332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332D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Dlhodobý hmotný majetok za </w:t>
      </w:r>
      <w:r w:rsidR="00933A0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bežné </w:t>
      </w:r>
      <w:r w:rsidRPr="00E332D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účtovné obdobie účtovná jednotka nevykazovala. </w:t>
      </w:r>
    </w:p>
    <w:p w:rsidR="00E332D5" w:rsidRPr="00E332D5" w:rsidRDefault="00E332D5" w:rsidP="00E332D5">
      <w:pPr>
        <w:spacing w:before="100" w:beforeAutospacing="1" w:after="100" w:afterAutospacing="1" w:line="240" w:lineRule="auto"/>
        <w:outlineLvl w:val="5"/>
        <w:rPr>
          <w:rFonts w:ascii="Times New Roman" w:eastAsia="Times New Roman" w:hAnsi="Times New Roman" w:cs="Times New Roman"/>
          <w:b/>
          <w:bCs/>
          <w:sz w:val="15"/>
          <w:szCs w:val="15"/>
          <w:lang w:eastAsia="sk-SK"/>
        </w:rPr>
      </w:pPr>
      <w:r w:rsidRPr="00E332D5">
        <w:rPr>
          <w:rFonts w:ascii="Times New Roman" w:eastAsia="Times New Roman" w:hAnsi="Times New Roman" w:cs="Times New Roman"/>
          <w:b/>
          <w:bCs/>
          <w:sz w:val="15"/>
          <w:szCs w:val="15"/>
          <w:lang w:eastAsia="sk-SK"/>
        </w:rPr>
        <w:t>a) Spôsob a výška poistenia dlhodobého majetku</w:t>
      </w:r>
    </w:p>
    <w:p w:rsidR="00E332D5" w:rsidRPr="00E332D5" w:rsidRDefault="00933A02" w:rsidP="00E332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n/a</w:t>
      </w:r>
    </w:p>
    <w:p w:rsidR="00E332D5" w:rsidRPr="00E332D5" w:rsidRDefault="00E332D5" w:rsidP="00E332D5">
      <w:pPr>
        <w:spacing w:before="100" w:beforeAutospacing="1" w:after="100" w:afterAutospacing="1" w:line="240" w:lineRule="auto"/>
        <w:outlineLvl w:val="5"/>
        <w:rPr>
          <w:rFonts w:ascii="Times New Roman" w:eastAsia="Times New Roman" w:hAnsi="Times New Roman" w:cs="Times New Roman"/>
          <w:b/>
          <w:bCs/>
          <w:sz w:val="15"/>
          <w:szCs w:val="15"/>
          <w:lang w:eastAsia="sk-SK"/>
        </w:rPr>
      </w:pPr>
      <w:r w:rsidRPr="00E332D5">
        <w:rPr>
          <w:rFonts w:ascii="Times New Roman" w:eastAsia="Times New Roman" w:hAnsi="Times New Roman" w:cs="Times New Roman"/>
          <w:b/>
          <w:bCs/>
          <w:sz w:val="15"/>
          <w:szCs w:val="15"/>
          <w:lang w:eastAsia="sk-SK"/>
        </w:rPr>
        <w:t>b) Obmedzené práva pri nakladaní s dlhodobým majetkom, zmluvy o zabezpečovacom prevode práva</w:t>
      </w:r>
    </w:p>
    <w:p w:rsidR="00E332D5" w:rsidRPr="00E332D5" w:rsidRDefault="00933A02" w:rsidP="00E332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n/a</w:t>
      </w:r>
    </w:p>
    <w:p w:rsidR="00E332D5" w:rsidRPr="00E332D5" w:rsidRDefault="00E332D5" w:rsidP="00E332D5">
      <w:pPr>
        <w:spacing w:before="100" w:beforeAutospacing="1" w:after="100" w:afterAutospacing="1" w:line="240" w:lineRule="auto"/>
        <w:outlineLvl w:val="4"/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</w:pPr>
      <w:r w:rsidRPr="00E332D5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Dlhodobý finančný majetok</w:t>
      </w:r>
    </w:p>
    <w:p w:rsidR="00E332D5" w:rsidRPr="00E332D5" w:rsidRDefault="00E332D5" w:rsidP="00E332D5">
      <w:pPr>
        <w:spacing w:before="100" w:beforeAutospacing="1" w:after="100" w:afterAutospacing="1" w:line="240" w:lineRule="auto"/>
        <w:outlineLvl w:val="5"/>
        <w:rPr>
          <w:rFonts w:ascii="Times New Roman" w:eastAsia="Times New Roman" w:hAnsi="Times New Roman" w:cs="Times New Roman"/>
          <w:b/>
          <w:bCs/>
          <w:sz w:val="15"/>
          <w:szCs w:val="15"/>
          <w:lang w:eastAsia="sk-SK"/>
        </w:rPr>
      </w:pPr>
      <w:r w:rsidRPr="00E332D5">
        <w:rPr>
          <w:rFonts w:ascii="Times New Roman" w:eastAsia="Times New Roman" w:hAnsi="Times New Roman" w:cs="Times New Roman"/>
          <w:b/>
          <w:bCs/>
          <w:sz w:val="15"/>
          <w:szCs w:val="15"/>
          <w:lang w:eastAsia="sk-SK"/>
        </w:rPr>
        <w:t>Prehľad o pohybe dlhodobého finančného majetku</w:t>
      </w:r>
    </w:p>
    <w:p w:rsidR="00E332D5" w:rsidRPr="00E332D5" w:rsidRDefault="00E332D5" w:rsidP="00E332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332D5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jednotka nevlastní dlhodobý finančný majetok.</w:t>
      </w:r>
    </w:p>
    <w:p w:rsidR="00E332D5" w:rsidRPr="00E332D5" w:rsidRDefault="00E332D5" w:rsidP="00E332D5">
      <w:pPr>
        <w:spacing w:before="100" w:beforeAutospacing="1" w:after="100" w:afterAutospacing="1" w:line="240" w:lineRule="auto"/>
        <w:outlineLvl w:val="4"/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</w:pPr>
      <w:r w:rsidRPr="00E332D5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Zásoby</w:t>
      </w:r>
    </w:p>
    <w:p w:rsidR="00E332D5" w:rsidRPr="00E332D5" w:rsidRDefault="00933A02" w:rsidP="00E332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Spoločnosť nemá zásoby</w:t>
      </w:r>
    </w:p>
    <w:p w:rsidR="00E332D5" w:rsidRPr="00E332D5" w:rsidRDefault="00E332D5" w:rsidP="00E332D5">
      <w:pPr>
        <w:spacing w:before="100" w:beforeAutospacing="1" w:after="100" w:afterAutospacing="1" w:line="240" w:lineRule="auto"/>
        <w:outlineLvl w:val="4"/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</w:pPr>
      <w:r w:rsidRPr="00E332D5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Pohľadávky</w:t>
      </w:r>
    </w:p>
    <w:p w:rsidR="00E332D5" w:rsidRPr="00E332D5" w:rsidRDefault="00E332D5" w:rsidP="00E332D5">
      <w:pPr>
        <w:spacing w:before="100" w:beforeAutospacing="1" w:after="100" w:afterAutospacing="1" w:line="240" w:lineRule="auto"/>
        <w:outlineLvl w:val="5"/>
        <w:rPr>
          <w:rFonts w:ascii="Times New Roman" w:eastAsia="Times New Roman" w:hAnsi="Times New Roman" w:cs="Times New Roman"/>
          <w:b/>
          <w:bCs/>
          <w:sz w:val="15"/>
          <w:szCs w:val="15"/>
          <w:lang w:eastAsia="sk-SK"/>
        </w:rPr>
      </w:pPr>
      <w:r w:rsidRPr="00E332D5">
        <w:rPr>
          <w:rFonts w:ascii="Times New Roman" w:eastAsia="Times New Roman" w:hAnsi="Times New Roman" w:cs="Times New Roman"/>
          <w:b/>
          <w:bCs/>
          <w:sz w:val="15"/>
          <w:szCs w:val="15"/>
          <w:lang w:eastAsia="sk-SK"/>
        </w:rPr>
        <w:t>a) Opravné položky k pohľadávkam</w:t>
      </w:r>
    </w:p>
    <w:p w:rsidR="00E332D5" w:rsidRPr="00E332D5" w:rsidRDefault="00E332D5" w:rsidP="00E332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332D5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Spoločnosť nevytvárala opravné položky k pohľadávkam voči dlžníkom, keďže v prvom roku podnikania nedošlo k vzniku predpokladu, že dlžník pohľadávku úplne alebo čiastočne nezaplatí.</w:t>
      </w:r>
    </w:p>
    <w:p w:rsidR="00E332D5" w:rsidRPr="00E332D5" w:rsidRDefault="00E332D5" w:rsidP="00E332D5">
      <w:pPr>
        <w:spacing w:before="100" w:beforeAutospacing="1" w:after="100" w:afterAutospacing="1" w:line="240" w:lineRule="auto"/>
        <w:outlineLvl w:val="5"/>
        <w:rPr>
          <w:rFonts w:ascii="Times New Roman" w:eastAsia="Times New Roman" w:hAnsi="Times New Roman" w:cs="Times New Roman"/>
          <w:b/>
          <w:bCs/>
          <w:sz w:val="15"/>
          <w:szCs w:val="15"/>
          <w:lang w:eastAsia="sk-SK"/>
        </w:rPr>
      </w:pPr>
      <w:r w:rsidRPr="00E332D5">
        <w:rPr>
          <w:rFonts w:ascii="Times New Roman" w:eastAsia="Times New Roman" w:hAnsi="Times New Roman" w:cs="Times New Roman"/>
          <w:b/>
          <w:bCs/>
          <w:sz w:val="15"/>
          <w:szCs w:val="15"/>
          <w:lang w:eastAsia="sk-SK"/>
        </w:rPr>
        <w:t>b) Veková štruktúra pohľadávok</w:t>
      </w:r>
    </w:p>
    <w:p w:rsidR="00E332D5" w:rsidRPr="00E332D5" w:rsidRDefault="00E332D5" w:rsidP="00E332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332D5">
        <w:rPr>
          <w:rFonts w:ascii="Times New Roman" w:eastAsia="Times New Roman" w:hAnsi="Times New Roman" w:cs="Times New Roman"/>
          <w:sz w:val="24"/>
          <w:szCs w:val="24"/>
          <w:lang w:eastAsia="sk-SK"/>
        </w:rPr>
        <w:t>Všetky pohľadávky boli zaplatené alebo sú v lehote splatnosti.</w:t>
      </w:r>
    </w:p>
    <w:p w:rsidR="00E332D5" w:rsidRPr="00E332D5" w:rsidRDefault="00E332D5" w:rsidP="00E332D5">
      <w:pPr>
        <w:spacing w:before="100" w:beforeAutospacing="1" w:after="100" w:afterAutospacing="1" w:line="240" w:lineRule="auto"/>
        <w:outlineLvl w:val="5"/>
        <w:rPr>
          <w:rFonts w:ascii="Times New Roman" w:eastAsia="Times New Roman" w:hAnsi="Times New Roman" w:cs="Times New Roman"/>
          <w:b/>
          <w:bCs/>
          <w:sz w:val="15"/>
          <w:szCs w:val="15"/>
          <w:lang w:eastAsia="sk-SK"/>
        </w:rPr>
      </w:pPr>
      <w:r w:rsidRPr="00E332D5">
        <w:rPr>
          <w:rFonts w:ascii="Times New Roman" w:eastAsia="Times New Roman" w:hAnsi="Times New Roman" w:cs="Times New Roman"/>
          <w:b/>
          <w:bCs/>
          <w:sz w:val="15"/>
          <w:szCs w:val="15"/>
          <w:lang w:eastAsia="sk-SK"/>
        </w:rPr>
        <w:t>Pohľadávky podľa zostatkovej doby splatnosti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462"/>
        <w:gridCol w:w="1820"/>
        <w:gridCol w:w="1820"/>
      </w:tblGrid>
      <w:tr w:rsidR="00E332D5" w:rsidRPr="00E332D5" w:rsidTr="00E332D5">
        <w:trPr>
          <w:tblHeader/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Pohľadávky podľa zostatkovej doby splatnosti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Bežné účtovné obdobie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Bezprostredne </w:t>
            </w:r>
            <w:r w:rsidRPr="00E332D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br/>
              <w:t>predchádzajúce účtovné obdobie</w:t>
            </w:r>
          </w:p>
        </w:tc>
      </w:tr>
      <w:tr w:rsidR="00E332D5" w:rsidRPr="00E332D5" w:rsidTr="00E332D5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Pohľadávky po lehote splatnosti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E332D5" w:rsidRPr="00E332D5" w:rsidTr="00E332D5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Pohľadávky so zostatkovou dobou splatnosti do jedného roka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  <w:hideMark/>
          </w:tcPr>
          <w:p w:rsidR="00E332D5" w:rsidRPr="00E332D5" w:rsidRDefault="00933A02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4 640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E332D5" w:rsidRPr="00E332D5" w:rsidTr="00E332D5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Krátkodobé pohľadávky spolu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933A02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4 640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</w:tr>
      <w:tr w:rsidR="00E332D5" w:rsidRPr="00E332D5" w:rsidTr="00E332D5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Pohľadávky so zostatkovou dobou splatnosti 1 rok až 5 rokov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E332D5" w:rsidRPr="00E332D5" w:rsidTr="00E332D5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Pohľadávky so zostatkovou dobou splatnosti dlhšou ako 5 rokov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E332D5" w:rsidRPr="00E332D5" w:rsidTr="00E332D5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Dlhodobé pohľadávky spolu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</w:tr>
    </w:tbl>
    <w:p w:rsidR="00E332D5" w:rsidRPr="00E332D5" w:rsidRDefault="00E332D5" w:rsidP="00E332D5">
      <w:pPr>
        <w:spacing w:before="100" w:beforeAutospacing="1" w:after="100" w:afterAutospacing="1" w:line="240" w:lineRule="auto"/>
        <w:outlineLvl w:val="5"/>
        <w:rPr>
          <w:rFonts w:ascii="Times New Roman" w:eastAsia="Times New Roman" w:hAnsi="Times New Roman" w:cs="Times New Roman"/>
          <w:b/>
          <w:bCs/>
          <w:sz w:val="15"/>
          <w:szCs w:val="15"/>
          <w:lang w:eastAsia="sk-SK"/>
        </w:rPr>
      </w:pPr>
      <w:r w:rsidRPr="00E332D5">
        <w:rPr>
          <w:rFonts w:ascii="Times New Roman" w:eastAsia="Times New Roman" w:hAnsi="Times New Roman" w:cs="Times New Roman"/>
          <w:b/>
          <w:bCs/>
          <w:sz w:val="15"/>
          <w:szCs w:val="15"/>
          <w:lang w:eastAsia="sk-SK"/>
        </w:rPr>
        <w:t>c) Pohľadávky zabezpečené záložným právom alebo inou formou zabezpečenia</w:t>
      </w:r>
    </w:p>
    <w:p w:rsidR="00E332D5" w:rsidRPr="00E332D5" w:rsidRDefault="00E332D5" w:rsidP="00E332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332D5">
        <w:rPr>
          <w:rFonts w:ascii="Times New Roman" w:eastAsia="Times New Roman" w:hAnsi="Times New Roman" w:cs="Times New Roman"/>
          <w:sz w:val="24"/>
          <w:szCs w:val="24"/>
          <w:lang w:eastAsia="sk-SK"/>
        </w:rPr>
        <w:t>Spoločnosť vo vykazovanom období neeviduje pohľadávky zabezpečené záložným právom alebo inou formou zabezpečenia.</w:t>
      </w:r>
    </w:p>
    <w:p w:rsidR="00E332D5" w:rsidRPr="00E332D5" w:rsidRDefault="00E332D5" w:rsidP="00E332D5">
      <w:pPr>
        <w:spacing w:before="100" w:beforeAutospacing="1" w:after="100" w:afterAutospacing="1" w:line="240" w:lineRule="auto"/>
        <w:outlineLvl w:val="5"/>
        <w:rPr>
          <w:rFonts w:ascii="Times New Roman" w:eastAsia="Times New Roman" w:hAnsi="Times New Roman" w:cs="Times New Roman"/>
          <w:b/>
          <w:bCs/>
          <w:sz w:val="15"/>
          <w:szCs w:val="15"/>
          <w:lang w:eastAsia="sk-SK"/>
        </w:rPr>
      </w:pPr>
      <w:r w:rsidRPr="00E332D5">
        <w:rPr>
          <w:rFonts w:ascii="Times New Roman" w:eastAsia="Times New Roman" w:hAnsi="Times New Roman" w:cs="Times New Roman"/>
          <w:b/>
          <w:bCs/>
          <w:sz w:val="15"/>
          <w:szCs w:val="15"/>
          <w:lang w:eastAsia="sk-SK"/>
        </w:rPr>
        <w:t>d) Odložená daňová pohľadávka</w:t>
      </w:r>
    </w:p>
    <w:p w:rsidR="00E332D5" w:rsidRPr="00E332D5" w:rsidRDefault="00E332D5" w:rsidP="00E332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332D5">
        <w:rPr>
          <w:rFonts w:ascii="Times New Roman" w:eastAsia="Times New Roman" w:hAnsi="Times New Roman" w:cs="Times New Roman"/>
          <w:sz w:val="24"/>
          <w:szCs w:val="24"/>
          <w:lang w:eastAsia="sk-SK"/>
        </w:rPr>
        <w:t>Spoločnosť vo vykazovanom období neeviduje odloženú daňovú pohľadávku; o odloženej dani neúčtuje.</w:t>
      </w:r>
    </w:p>
    <w:p w:rsidR="00E332D5" w:rsidRPr="00E332D5" w:rsidRDefault="00E332D5" w:rsidP="00E332D5">
      <w:pPr>
        <w:spacing w:before="100" w:beforeAutospacing="1" w:after="100" w:afterAutospacing="1" w:line="240" w:lineRule="auto"/>
        <w:outlineLvl w:val="4"/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</w:pPr>
      <w:r w:rsidRPr="00E332D5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Finančné účty</w:t>
      </w:r>
    </w:p>
    <w:p w:rsidR="00E332D5" w:rsidRPr="00E332D5" w:rsidRDefault="00E332D5" w:rsidP="00E332D5">
      <w:pPr>
        <w:spacing w:before="100" w:beforeAutospacing="1" w:after="100" w:afterAutospacing="1" w:line="240" w:lineRule="auto"/>
        <w:outlineLvl w:val="5"/>
        <w:rPr>
          <w:rFonts w:ascii="Times New Roman" w:eastAsia="Times New Roman" w:hAnsi="Times New Roman" w:cs="Times New Roman"/>
          <w:b/>
          <w:bCs/>
          <w:sz w:val="15"/>
          <w:szCs w:val="15"/>
          <w:lang w:eastAsia="sk-SK"/>
        </w:rPr>
      </w:pPr>
      <w:r w:rsidRPr="00E332D5">
        <w:rPr>
          <w:rFonts w:ascii="Times New Roman" w:eastAsia="Times New Roman" w:hAnsi="Times New Roman" w:cs="Times New Roman"/>
          <w:b/>
          <w:bCs/>
          <w:sz w:val="15"/>
          <w:szCs w:val="15"/>
          <w:lang w:eastAsia="sk-SK"/>
        </w:rPr>
        <w:t>a) Peniaze a bankové účty</w:t>
      </w:r>
    </w:p>
    <w:p w:rsidR="00E332D5" w:rsidRPr="00E332D5" w:rsidRDefault="00E332D5" w:rsidP="00E332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332D5">
        <w:rPr>
          <w:rFonts w:ascii="Times New Roman" w:eastAsia="Times New Roman" w:hAnsi="Times New Roman" w:cs="Times New Roman"/>
          <w:sz w:val="24"/>
          <w:szCs w:val="24"/>
          <w:lang w:eastAsia="sk-SK"/>
        </w:rPr>
        <w:t>Ako finančné účty sú vykázané peniaze v pokladnici, účty v bankách a cenné papiere. Účtami v bankách môže spoločnosť voľne disponovať.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462"/>
        <w:gridCol w:w="1820"/>
        <w:gridCol w:w="1820"/>
      </w:tblGrid>
      <w:tr w:rsidR="00E332D5" w:rsidRPr="00E332D5" w:rsidTr="00E332D5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Bežné účtovné obdobie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Bezprostredne </w:t>
            </w:r>
            <w:r w:rsidRPr="00E332D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br/>
              <w:t>predchádzajúce účtovné obdobie</w:t>
            </w:r>
          </w:p>
        </w:tc>
      </w:tr>
      <w:tr w:rsidR="00E332D5" w:rsidRPr="00E332D5" w:rsidTr="00E332D5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Pokladnica, ceniny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  <w:hideMark/>
          </w:tcPr>
          <w:p w:rsidR="00E332D5" w:rsidRPr="00E332D5" w:rsidRDefault="00933A02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5 000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E332D5" w:rsidRPr="00E332D5" w:rsidTr="00E332D5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bankové účty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  <w:hideMark/>
          </w:tcPr>
          <w:p w:rsidR="00E332D5" w:rsidRPr="00E332D5" w:rsidRDefault="00933A02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6 309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E332D5" w:rsidRPr="00E332D5" w:rsidTr="00933A02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Bankové účty - termínované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 </w:t>
            </w: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 </w:t>
            </w: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 </w:t>
            </w:r>
            <w:r w:rsidRPr="00E332D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E332D5" w:rsidRPr="00E332D5" w:rsidTr="00933A02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Peniaze na ceste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E332D5" w:rsidRPr="00E332D5" w:rsidTr="00933A02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933A02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11 309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E332D5" w:rsidRPr="00E332D5" w:rsidRDefault="00E332D5" w:rsidP="00E332D5">
      <w:pPr>
        <w:spacing w:before="100" w:beforeAutospacing="1" w:after="100" w:afterAutospacing="1" w:line="240" w:lineRule="auto"/>
        <w:outlineLvl w:val="5"/>
        <w:rPr>
          <w:rFonts w:ascii="Times New Roman" w:eastAsia="Times New Roman" w:hAnsi="Times New Roman" w:cs="Times New Roman"/>
          <w:b/>
          <w:bCs/>
          <w:sz w:val="15"/>
          <w:szCs w:val="15"/>
          <w:lang w:eastAsia="sk-SK"/>
        </w:rPr>
      </w:pPr>
      <w:r w:rsidRPr="00E332D5">
        <w:rPr>
          <w:rFonts w:ascii="Times New Roman" w:eastAsia="Times New Roman" w:hAnsi="Times New Roman" w:cs="Times New Roman"/>
          <w:b/>
          <w:bCs/>
          <w:sz w:val="15"/>
          <w:szCs w:val="15"/>
          <w:lang w:eastAsia="sk-SK"/>
        </w:rPr>
        <w:t>b) Krátkodobý finančný majetok</w:t>
      </w:r>
    </w:p>
    <w:p w:rsidR="00E332D5" w:rsidRPr="00E332D5" w:rsidRDefault="00E332D5" w:rsidP="00E332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332D5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Spoločnosť nevlastní iný krátkodobý finančný majetok okrem vykázaných peňažných prostriedkov v hotovosti a na účte v banke.</w:t>
      </w:r>
    </w:p>
    <w:p w:rsidR="00E332D5" w:rsidRPr="00E332D5" w:rsidRDefault="00E332D5" w:rsidP="00E332D5">
      <w:pPr>
        <w:spacing w:before="100" w:beforeAutospacing="1" w:after="100" w:afterAutospacing="1" w:line="240" w:lineRule="auto"/>
        <w:outlineLvl w:val="4"/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</w:pPr>
      <w:r w:rsidRPr="00E332D5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Časové rozlíšenie aktív</w:t>
      </w:r>
    </w:p>
    <w:p w:rsidR="00E332D5" w:rsidRPr="00E332D5" w:rsidRDefault="00E332D5" w:rsidP="00E332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332D5">
        <w:rPr>
          <w:rFonts w:ascii="Times New Roman" w:eastAsia="Times New Roman" w:hAnsi="Times New Roman" w:cs="Times New Roman"/>
          <w:sz w:val="24"/>
          <w:szCs w:val="24"/>
          <w:lang w:eastAsia="sk-SK"/>
        </w:rPr>
        <w:t>Ide o nasledujúce položky: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462"/>
        <w:gridCol w:w="1820"/>
        <w:gridCol w:w="1820"/>
      </w:tblGrid>
      <w:tr w:rsidR="00E332D5" w:rsidRPr="00E332D5" w:rsidTr="00E332D5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Opis položky časového rozlíšenia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Bežné účtovné obdobie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Bezprostredne </w:t>
            </w:r>
            <w:r w:rsidRPr="00E332D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br/>
              <w:t>predchádzajúce účtovné obdobie</w:t>
            </w:r>
          </w:p>
        </w:tc>
      </w:tr>
      <w:tr w:rsidR="00E332D5" w:rsidRPr="00E332D5" w:rsidTr="00E332D5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Náklady budúcich období dlhodobé, z toho: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E332D5" w:rsidRPr="00E332D5" w:rsidTr="00E332D5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E332D5" w:rsidRPr="00E332D5" w:rsidRDefault="00E332D5" w:rsidP="00E332D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E332D5" w:rsidRPr="00E332D5" w:rsidTr="00E332D5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E332D5" w:rsidRPr="00E332D5" w:rsidRDefault="00E332D5" w:rsidP="00E332D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E332D5" w:rsidRPr="00E332D5" w:rsidTr="00933A02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Náklady budúcich období krátkodobé, z toho: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E332D5" w:rsidRPr="00E332D5" w:rsidTr="00933A02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časové rozlíšenie platby za doménu a webhosting,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E332D5" w:rsidRPr="00E332D5" w:rsidTr="00933A02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prenájom kancelárskych priestorov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E332D5" w:rsidRPr="00E332D5" w:rsidTr="00933A02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E332D5" w:rsidRPr="00E332D5" w:rsidTr="00933A02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Príjmy budúcich období dlhodobé, z toho: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E332D5" w:rsidRPr="00E332D5" w:rsidTr="00E332D5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E332D5" w:rsidRPr="00E332D5" w:rsidTr="00E332D5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E332D5" w:rsidRPr="00E332D5" w:rsidTr="00E332D5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Príjmy budúcich období krátkodobé, z toho: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E332D5" w:rsidRPr="00E332D5" w:rsidTr="00E332D5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časové rozlíšenie úrokov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E332D5" w:rsidRPr="00E332D5" w:rsidTr="00E332D5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príjmy budúcich období - stavebná činnosť, úroky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</w:tbl>
    <w:p w:rsidR="00E332D5" w:rsidRPr="00E332D5" w:rsidRDefault="00E332D5" w:rsidP="00E332D5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E332D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Strana pasív</w:t>
      </w:r>
    </w:p>
    <w:p w:rsidR="00E332D5" w:rsidRPr="00E332D5" w:rsidRDefault="00E332D5" w:rsidP="00E332D5">
      <w:pPr>
        <w:spacing w:before="100" w:beforeAutospacing="1" w:after="100" w:afterAutospacing="1" w:line="240" w:lineRule="auto"/>
        <w:outlineLvl w:val="4"/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</w:pPr>
      <w:r w:rsidRPr="00E332D5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Vlastné imanie</w:t>
      </w:r>
    </w:p>
    <w:p w:rsidR="00E332D5" w:rsidRPr="00E332D5" w:rsidRDefault="00E332D5" w:rsidP="00E332D5">
      <w:pPr>
        <w:spacing w:before="100" w:beforeAutospacing="1" w:after="100" w:afterAutospacing="1" w:line="240" w:lineRule="auto"/>
        <w:outlineLvl w:val="5"/>
        <w:rPr>
          <w:rFonts w:ascii="Times New Roman" w:eastAsia="Times New Roman" w:hAnsi="Times New Roman" w:cs="Times New Roman"/>
          <w:b/>
          <w:bCs/>
          <w:sz w:val="15"/>
          <w:szCs w:val="15"/>
          <w:lang w:eastAsia="sk-SK"/>
        </w:rPr>
      </w:pPr>
      <w:r w:rsidRPr="00E332D5">
        <w:rPr>
          <w:rFonts w:ascii="Times New Roman" w:eastAsia="Times New Roman" w:hAnsi="Times New Roman" w:cs="Times New Roman"/>
          <w:b/>
          <w:bCs/>
          <w:sz w:val="15"/>
          <w:szCs w:val="15"/>
          <w:lang w:eastAsia="sk-SK"/>
        </w:rPr>
        <w:t>a) Základné imanie</w:t>
      </w:r>
    </w:p>
    <w:p w:rsidR="00E332D5" w:rsidRPr="00E332D5" w:rsidRDefault="00E332D5" w:rsidP="00E332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332D5">
        <w:rPr>
          <w:rFonts w:ascii="Times New Roman" w:eastAsia="Times New Roman" w:hAnsi="Times New Roman" w:cs="Times New Roman"/>
          <w:sz w:val="24"/>
          <w:szCs w:val="24"/>
          <w:lang w:eastAsia="sk-SK"/>
        </w:rPr>
        <w:t>Ku dňu 31. 12. 2025 účtovnej závierky je základné imanie splatené v celom rozsahu a v tejto hodnote je zapísané v obchodnom registri príslušného registrového súdu.</w:t>
      </w:r>
    </w:p>
    <w:p w:rsidR="00E332D5" w:rsidRPr="00E332D5" w:rsidRDefault="00E332D5" w:rsidP="00E332D5">
      <w:pPr>
        <w:spacing w:before="100" w:beforeAutospacing="1" w:after="100" w:afterAutospacing="1" w:line="240" w:lineRule="auto"/>
        <w:outlineLvl w:val="4"/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</w:pPr>
      <w:r w:rsidRPr="00E332D5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Rezervy</w:t>
      </w:r>
    </w:p>
    <w:p w:rsidR="00E332D5" w:rsidRPr="00E332D5" w:rsidRDefault="00E332D5" w:rsidP="00E332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332D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rezervy netvorila, pretože nevznikol zákonný dôvod. </w:t>
      </w:r>
    </w:p>
    <w:p w:rsidR="00E332D5" w:rsidRPr="00E332D5" w:rsidRDefault="00E332D5" w:rsidP="00E332D5">
      <w:pPr>
        <w:spacing w:before="100" w:beforeAutospacing="1" w:after="100" w:afterAutospacing="1" w:line="240" w:lineRule="auto"/>
        <w:outlineLvl w:val="4"/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</w:pPr>
      <w:r w:rsidRPr="00E332D5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Záväzky</w:t>
      </w:r>
    </w:p>
    <w:p w:rsidR="00E332D5" w:rsidRPr="00E332D5" w:rsidRDefault="00E332D5" w:rsidP="00E332D5">
      <w:pPr>
        <w:spacing w:before="100" w:beforeAutospacing="1" w:after="100" w:afterAutospacing="1" w:line="240" w:lineRule="auto"/>
        <w:outlineLvl w:val="5"/>
        <w:rPr>
          <w:rFonts w:ascii="Times New Roman" w:eastAsia="Times New Roman" w:hAnsi="Times New Roman" w:cs="Times New Roman"/>
          <w:b/>
          <w:bCs/>
          <w:sz w:val="15"/>
          <w:szCs w:val="15"/>
          <w:lang w:eastAsia="sk-SK"/>
        </w:rPr>
      </w:pPr>
      <w:r w:rsidRPr="00E332D5">
        <w:rPr>
          <w:rFonts w:ascii="Times New Roman" w:eastAsia="Times New Roman" w:hAnsi="Times New Roman" w:cs="Times New Roman"/>
          <w:b/>
          <w:bCs/>
          <w:sz w:val="15"/>
          <w:szCs w:val="15"/>
          <w:lang w:eastAsia="sk-SK"/>
        </w:rPr>
        <w:t>Veková štruktúra záväzkov</w:t>
      </w:r>
    </w:p>
    <w:p w:rsidR="00E332D5" w:rsidRPr="00E332D5" w:rsidRDefault="00E332D5" w:rsidP="00E332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332D5">
        <w:rPr>
          <w:rFonts w:ascii="Times New Roman" w:eastAsia="Times New Roman" w:hAnsi="Times New Roman" w:cs="Times New Roman"/>
          <w:sz w:val="24"/>
          <w:szCs w:val="24"/>
          <w:lang w:eastAsia="sk-SK"/>
        </w:rPr>
        <w:t>Hodnota záväzkov do lehoty splatnosti a po lehote splatnosti je uvedená v nasledujúcej tabuľke: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462"/>
        <w:gridCol w:w="1365"/>
        <w:gridCol w:w="910"/>
        <w:gridCol w:w="1365"/>
      </w:tblGrid>
      <w:tr w:rsidR="00E332D5" w:rsidRPr="00E332D5" w:rsidTr="00E332D5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Odložený daňový záväzok</w:t>
            </w:r>
          </w:p>
        </w:tc>
        <w:tc>
          <w:tcPr>
            <w:tcW w:w="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 </w:t>
            </w: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 </w:t>
            </w: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 </w:t>
            </w: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 </w:t>
            </w: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E332D5" w:rsidRPr="00E332D5" w:rsidTr="00E332D5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Dlhodobé prijaté preddavky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 </w:t>
            </w: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 </w:t>
            </w: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 </w:t>
            </w: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 </w:t>
            </w: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E332D5" w:rsidRPr="00E332D5" w:rsidTr="00E332D5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Dlhodobé </w:t>
            </w:r>
            <w:proofErr w:type="spellStart"/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zmenyk</w:t>
            </w:r>
            <w:proofErr w:type="spellEnd"/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na úhradu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 </w:t>
            </w: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 </w:t>
            </w: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 </w:t>
            </w: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 </w:t>
            </w: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E332D5" w:rsidRPr="00E332D5" w:rsidTr="00E332D5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Ostatné dlhodobé záväzky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 </w:t>
            </w: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 </w:t>
            </w: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 </w:t>
            </w: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 </w:t>
            </w: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E332D5" w:rsidRPr="00E332D5" w:rsidTr="00E332D5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Dlhodobé záväzky spolu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 </w:t>
            </w: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 </w:t>
            </w: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 </w:t>
            </w: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 </w:t>
            </w:r>
            <w:r w:rsidRPr="00E332D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 </w:t>
            </w: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 </w:t>
            </w: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 </w:t>
            </w: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 </w:t>
            </w:r>
            <w:r w:rsidRPr="00E332D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</w:tr>
      <w:tr w:rsidR="00E332D5" w:rsidRPr="00E332D5" w:rsidTr="00E332D5">
        <w:trPr>
          <w:tblCellSpacing w:w="0" w:type="dxa"/>
        </w:trPr>
        <w:tc>
          <w:tcPr>
            <w:tcW w:w="0" w:type="auto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lastRenderedPageBreak/>
              <w:t>Krátkodobé záväzky</w:t>
            </w:r>
          </w:p>
        </w:tc>
      </w:tr>
      <w:tr w:rsidR="00E332D5" w:rsidRPr="00E332D5" w:rsidTr="00933A02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Záväzky z obchodného styku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E332D5" w:rsidRPr="00E332D5" w:rsidTr="00933A02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Nevyfakturované dodávky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E332D5" w:rsidRPr="00E332D5" w:rsidTr="00933A02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Záväzky voči dcérskej účtovnej jednotke a materskej účtovnej jednotke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E332D5" w:rsidRPr="00E332D5" w:rsidTr="00933A02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Ostatné záväzky v rámci </w:t>
            </w:r>
            <w:proofErr w:type="spellStart"/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kons</w:t>
            </w:r>
            <w:proofErr w:type="spellEnd"/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. Celku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E332D5" w:rsidRPr="00E332D5" w:rsidTr="00933A02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Záväzky voči spoločníkom, členom a združeniu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E332D5" w:rsidRPr="00E332D5" w:rsidTr="00933A02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Záväzky voči zamestnancom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E332D5" w:rsidRPr="00E332D5" w:rsidTr="00933A02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Sociálne poistenie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E332D5" w:rsidRPr="00E332D5" w:rsidTr="00933A02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Daňové záväzky a dotácie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8C350A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1 029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E332D5" w:rsidRPr="00E332D5" w:rsidTr="00933A02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Iné záväzky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8C350A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647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E332D5" w:rsidRPr="00E332D5" w:rsidTr="00933A02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Krátkodobé záväzky spolu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332D5" w:rsidRPr="00E332D5" w:rsidRDefault="008C350A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1 676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E332D5" w:rsidRPr="00E332D5" w:rsidRDefault="00E332D5" w:rsidP="00E332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332D5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Daňové záväzky a dotácie, účty: 342 + 345 + 341.</w:t>
      </w:r>
    </w:p>
    <w:p w:rsidR="00E332D5" w:rsidRPr="00E332D5" w:rsidRDefault="00E332D5" w:rsidP="00E332D5">
      <w:pPr>
        <w:spacing w:before="100" w:beforeAutospacing="1" w:after="100" w:afterAutospacing="1" w:line="240" w:lineRule="auto"/>
        <w:outlineLvl w:val="5"/>
        <w:rPr>
          <w:rFonts w:ascii="Times New Roman" w:eastAsia="Times New Roman" w:hAnsi="Times New Roman" w:cs="Times New Roman"/>
          <w:b/>
          <w:bCs/>
          <w:sz w:val="15"/>
          <w:szCs w:val="15"/>
          <w:lang w:eastAsia="sk-SK"/>
        </w:rPr>
      </w:pPr>
      <w:r w:rsidRPr="00E332D5">
        <w:rPr>
          <w:rFonts w:ascii="Times New Roman" w:eastAsia="Times New Roman" w:hAnsi="Times New Roman" w:cs="Times New Roman"/>
          <w:b/>
          <w:bCs/>
          <w:sz w:val="15"/>
          <w:szCs w:val="15"/>
          <w:lang w:eastAsia="sk-SK"/>
        </w:rPr>
        <w:t>Záväzky podľa zostatkovej doby splatnosti</w:t>
      </w:r>
    </w:p>
    <w:p w:rsidR="00E332D5" w:rsidRPr="00E332D5" w:rsidRDefault="00E332D5" w:rsidP="00E332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332D5">
        <w:rPr>
          <w:rFonts w:ascii="Times New Roman" w:eastAsia="Times New Roman" w:hAnsi="Times New Roman" w:cs="Times New Roman"/>
          <w:sz w:val="24"/>
          <w:szCs w:val="24"/>
          <w:lang w:eastAsia="sk-SK"/>
        </w:rPr>
        <w:t>Štruktúra záväzkov (okrem bankových úverov) podľa zostatkovej doby splatnosti je uvedená v nasledujúcej tabuľke: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462"/>
        <w:gridCol w:w="1820"/>
        <w:gridCol w:w="1820"/>
      </w:tblGrid>
      <w:tr w:rsidR="00E332D5" w:rsidRPr="00E332D5" w:rsidTr="00E332D5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Bežné účtovné obdobie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Bezprostredne </w:t>
            </w:r>
            <w:r w:rsidRPr="00E332D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br/>
              <w:t>predchádzajúce účtovné obdobie</w:t>
            </w:r>
          </w:p>
        </w:tc>
      </w:tr>
      <w:tr w:rsidR="00E332D5" w:rsidRPr="00E332D5" w:rsidTr="00E332D5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Záväzky po lehote splatnosti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E332D5" w:rsidRPr="00E332D5" w:rsidTr="00933A02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Záväzky so zostatkovou dobou splatnosti do jedného roka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8C350A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1 676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E332D5" w:rsidRPr="00E332D5" w:rsidTr="00933A02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Krátkodobé záväzky spolu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332D5" w:rsidRPr="00E332D5" w:rsidRDefault="008C350A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1 676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E332D5" w:rsidRPr="00E332D5" w:rsidTr="00933A02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Záväzky so zostatkovou dobou splatnosti 1 rok až 5 rokov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E332D5" w:rsidRPr="00E332D5" w:rsidTr="00933A02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Záväzky so zostatkovou dobou splatnosti nad 5 rokov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E332D5" w:rsidRPr="00E332D5" w:rsidTr="00933A02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Dlhodobé záväzky spolu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E332D5" w:rsidRPr="00E332D5" w:rsidRDefault="00E332D5" w:rsidP="00E332D5">
      <w:pPr>
        <w:spacing w:before="100" w:beforeAutospacing="1" w:after="100" w:afterAutospacing="1" w:line="240" w:lineRule="auto"/>
        <w:outlineLvl w:val="5"/>
        <w:rPr>
          <w:rFonts w:ascii="Times New Roman" w:eastAsia="Times New Roman" w:hAnsi="Times New Roman" w:cs="Times New Roman"/>
          <w:b/>
          <w:bCs/>
          <w:sz w:val="15"/>
          <w:szCs w:val="15"/>
          <w:lang w:eastAsia="sk-SK"/>
        </w:rPr>
      </w:pPr>
      <w:r w:rsidRPr="00E332D5">
        <w:rPr>
          <w:rFonts w:ascii="Times New Roman" w:eastAsia="Times New Roman" w:hAnsi="Times New Roman" w:cs="Times New Roman"/>
          <w:b/>
          <w:bCs/>
          <w:sz w:val="15"/>
          <w:szCs w:val="15"/>
          <w:lang w:eastAsia="sk-SK"/>
        </w:rPr>
        <w:t>Záväzky zabezpečené záložným právom alebo zabezpečené inou formou zabezpečenia</w:t>
      </w:r>
    </w:p>
    <w:p w:rsidR="00E332D5" w:rsidRPr="00E332D5" w:rsidRDefault="00E332D5" w:rsidP="00E332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332D5">
        <w:rPr>
          <w:rFonts w:ascii="Times New Roman" w:eastAsia="Times New Roman" w:hAnsi="Times New Roman" w:cs="Times New Roman"/>
          <w:sz w:val="24"/>
          <w:szCs w:val="24"/>
          <w:lang w:eastAsia="sk-SK"/>
        </w:rPr>
        <w:t>Spoločnosť vo vykazovanom období neevidovala záväzky kryté záložným právom.</w:t>
      </w:r>
    </w:p>
    <w:p w:rsidR="00E332D5" w:rsidRPr="00E332D5" w:rsidRDefault="00E332D5" w:rsidP="00E332D5">
      <w:pPr>
        <w:spacing w:before="100" w:beforeAutospacing="1" w:after="100" w:afterAutospacing="1" w:line="240" w:lineRule="auto"/>
        <w:outlineLvl w:val="4"/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</w:pPr>
      <w:r w:rsidRPr="00E332D5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Sociálny fond</w:t>
      </w:r>
    </w:p>
    <w:p w:rsidR="00E332D5" w:rsidRPr="00E332D5" w:rsidRDefault="00E332D5" w:rsidP="00E332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332D5">
        <w:rPr>
          <w:rFonts w:ascii="Times New Roman" w:eastAsia="Times New Roman" w:hAnsi="Times New Roman" w:cs="Times New Roman"/>
          <w:sz w:val="24"/>
          <w:szCs w:val="24"/>
          <w:lang w:eastAsia="sk-SK"/>
        </w:rPr>
        <w:t>Tvorba a čerpanie sociálneho fondu v príklade nie sú z dôvodu zjednodušenia v príklade riešené.</w:t>
      </w:r>
    </w:p>
    <w:p w:rsidR="00E332D5" w:rsidRPr="00E332D5" w:rsidRDefault="00E332D5" w:rsidP="00E332D5">
      <w:pPr>
        <w:spacing w:before="100" w:beforeAutospacing="1" w:after="100" w:afterAutospacing="1" w:line="240" w:lineRule="auto"/>
        <w:outlineLvl w:val="4"/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</w:pPr>
      <w:r w:rsidRPr="00E332D5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Bankové úvery</w:t>
      </w:r>
    </w:p>
    <w:p w:rsidR="00E332D5" w:rsidRPr="00E332D5" w:rsidRDefault="00E332D5" w:rsidP="00E332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332D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Spoločnosť vo vykazovanom období </w:t>
      </w:r>
      <w:r w:rsidR="00933A02">
        <w:rPr>
          <w:rFonts w:ascii="Times New Roman" w:eastAsia="Times New Roman" w:hAnsi="Times New Roman" w:cs="Times New Roman"/>
          <w:sz w:val="24"/>
          <w:szCs w:val="24"/>
          <w:lang w:eastAsia="sk-SK"/>
        </w:rPr>
        <w:t>ne</w:t>
      </w:r>
      <w:r w:rsidRPr="00E332D5">
        <w:rPr>
          <w:rFonts w:ascii="Times New Roman" w:eastAsia="Times New Roman" w:hAnsi="Times New Roman" w:cs="Times New Roman"/>
          <w:sz w:val="24"/>
          <w:szCs w:val="24"/>
          <w:lang w:eastAsia="sk-SK"/>
        </w:rPr>
        <w:t>evidovala bankové úvery.</w:t>
      </w:r>
    </w:p>
    <w:p w:rsidR="008C350A" w:rsidRDefault="008C350A" w:rsidP="00E332D5">
      <w:pPr>
        <w:spacing w:before="100" w:beforeAutospacing="1" w:after="100" w:afterAutospacing="1" w:line="240" w:lineRule="auto"/>
        <w:outlineLvl w:val="4"/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</w:pPr>
    </w:p>
    <w:p w:rsidR="008C350A" w:rsidRDefault="008C350A" w:rsidP="00E332D5">
      <w:pPr>
        <w:spacing w:before="100" w:beforeAutospacing="1" w:after="100" w:afterAutospacing="1" w:line="240" w:lineRule="auto"/>
        <w:outlineLvl w:val="4"/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</w:pPr>
    </w:p>
    <w:p w:rsidR="00E332D5" w:rsidRPr="00E332D5" w:rsidRDefault="00E332D5" w:rsidP="00E332D5">
      <w:pPr>
        <w:spacing w:before="100" w:beforeAutospacing="1" w:after="100" w:afterAutospacing="1" w:line="240" w:lineRule="auto"/>
        <w:outlineLvl w:val="4"/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</w:pPr>
      <w:r w:rsidRPr="00E332D5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lastRenderedPageBreak/>
        <w:t>Výnosy</w:t>
      </w:r>
    </w:p>
    <w:p w:rsidR="00E332D5" w:rsidRPr="00E332D5" w:rsidRDefault="00E332D5" w:rsidP="00E332D5">
      <w:pPr>
        <w:spacing w:before="100" w:beforeAutospacing="1" w:after="100" w:afterAutospacing="1" w:line="240" w:lineRule="auto"/>
        <w:outlineLvl w:val="5"/>
        <w:rPr>
          <w:rFonts w:ascii="Times New Roman" w:eastAsia="Times New Roman" w:hAnsi="Times New Roman" w:cs="Times New Roman"/>
          <w:b/>
          <w:bCs/>
          <w:sz w:val="15"/>
          <w:szCs w:val="15"/>
          <w:lang w:eastAsia="sk-SK"/>
        </w:rPr>
      </w:pPr>
      <w:r w:rsidRPr="00E332D5">
        <w:rPr>
          <w:rFonts w:ascii="Times New Roman" w:eastAsia="Times New Roman" w:hAnsi="Times New Roman" w:cs="Times New Roman"/>
          <w:b/>
          <w:bCs/>
          <w:sz w:val="15"/>
          <w:szCs w:val="15"/>
          <w:lang w:eastAsia="sk-SK"/>
        </w:rPr>
        <w:t>Tržby za vlastné výkony a tovar</w:t>
      </w:r>
    </w:p>
    <w:p w:rsidR="00E332D5" w:rsidRPr="00E332D5" w:rsidRDefault="00E332D5" w:rsidP="00E332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332D5">
        <w:rPr>
          <w:rFonts w:ascii="Times New Roman" w:eastAsia="Times New Roman" w:hAnsi="Times New Roman" w:cs="Times New Roman"/>
          <w:sz w:val="24"/>
          <w:szCs w:val="24"/>
          <w:lang w:eastAsia="sk-SK"/>
        </w:rPr>
        <w:t>Tržby za vlastné výkony a tovar podľa jednotlivých segmentov, t. j. podľa typov výrobkov a služieb a podľa hlavných teritórií, sú uvedené v nasledujúcej tabuľke: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599"/>
        <w:gridCol w:w="844"/>
        <w:gridCol w:w="1657"/>
        <w:gridCol w:w="844"/>
        <w:gridCol w:w="1657"/>
        <w:gridCol w:w="844"/>
        <w:gridCol w:w="1657"/>
      </w:tblGrid>
      <w:tr w:rsidR="00E332D5" w:rsidRPr="00E332D5" w:rsidTr="00E332D5">
        <w:trPr>
          <w:tblHeader/>
          <w:tblCellSpacing w:w="0" w:type="dxa"/>
        </w:trPr>
        <w:tc>
          <w:tcPr>
            <w:tcW w:w="20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Oblasť odbytu</w:t>
            </w:r>
          </w:p>
        </w:tc>
        <w:tc>
          <w:tcPr>
            <w:tcW w:w="100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Tovar a výrobky</w:t>
            </w:r>
          </w:p>
        </w:tc>
        <w:tc>
          <w:tcPr>
            <w:tcW w:w="100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Služby</w:t>
            </w:r>
          </w:p>
        </w:tc>
        <w:tc>
          <w:tcPr>
            <w:tcW w:w="100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</w:tr>
      <w:tr w:rsidR="00E332D5" w:rsidRPr="00E332D5" w:rsidTr="00E332D5">
        <w:trPr>
          <w:tblHeader/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Bežné účtovné obdobie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Bezprostredne predchádzajúce účtovné obdobie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Bežné účtovné obdobie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Bezprostredne predchádzajúce účtovné obdobie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Bežné účtovné obdobie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Bezprostredne predchádzajúce účtovné obdobie</w:t>
            </w:r>
          </w:p>
        </w:tc>
      </w:tr>
      <w:tr w:rsidR="00E332D5" w:rsidRPr="00E332D5" w:rsidTr="00E332D5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Tuzemsko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  <w:hideMark/>
          </w:tcPr>
          <w:p w:rsidR="00E332D5" w:rsidRPr="00E332D5" w:rsidRDefault="00933A02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  <w:hideMark/>
          </w:tcPr>
          <w:p w:rsidR="00E332D5" w:rsidRPr="00E332D5" w:rsidRDefault="006C39C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11 600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6C39C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11 600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E332D5" w:rsidRPr="00E332D5" w:rsidTr="00E332D5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Zahraničie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 </w:t>
            </w: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 </w:t>
            </w: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 </w:t>
            </w: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 </w:t>
            </w: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E332D5" w:rsidRPr="00E332D5" w:rsidTr="00E332D5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933A02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6C39C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11 600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6C39C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11 600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</w:tr>
    </w:tbl>
    <w:p w:rsidR="00E332D5" w:rsidRPr="00E332D5" w:rsidRDefault="00E332D5" w:rsidP="00E332D5">
      <w:pPr>
        <w:spacing w:before="100" w:beforeAutospacing="1" w:after="100" w:afterAutospacing="1" w:line="240" w:lineRule="auto"/>
        <w:outlineLvl w:val="4"/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</w:pPr>
      <w:r w:rsidRPr="00E332D5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Zmena stavu zásob vlastnej výroby</w:t>
      </w:r>
    </w:p>
    <w:p w:rsidR="00E332D5" w:rsidRPr="00E332D5" w:rsidRDefault="00E332D5" w:rsidP="00E332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332D5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jednotka nevykonávala výrobnú činnosť.</w:t>
      </w:r>
    </w:p>
    <w:p w:rsidR="00E332D5" w:rsidRPr="00E332D5" w:rsidRDefault="00E332D5" w:rsidP="00E332D5">
      <w:pPr>
        <w:spacing w:before="100" w:beforeAutospacing="1" w:after="100" w:afterAutospacing="1" w:line="240" w:lineRule="auto"/>
        <w:outlineLvl w:val="4"/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</w:pPr>
      <w:r w:rsidRPr="00E332D5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Aktivácia, ostatné výnosy z hospodárskej činnosti, finančné výnosy</w:t>
      </w:r>
    </w:p>
    <w:p w:rsidR="00E332D5" w:rsidRPr="00E332D5" w:rsidRDefault="00E332D5" w:rsidP="00E332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332D5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jednotka daný typ výnosov nevykazuje.</w:t>
      </w:r>
    </w:p>
    <w:p w:rsidR="00E332D5" w:rsidRPr="00E332D5" w:rsidRDefault="00E332D5" w:rsidP="00E332D5">
      <w:pPr>
        <w:spacing w:before="100" w:beforeAutospacing="1" w:after="100" w:afterAutospacing="1" w:line="240" w:lineRule="auto"/>
        <w:outlineLvl w:val="4"/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</w:pPr>
      <w:r w:rsidRPr="00E332D5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Čistý obrat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462"/>
        <w:gridCol w:w="1820"/>
        <w:gridCol w:w="1820"/>
      </w:tblGrid>
      <w:tr w:rsidR="00E332D5" w:rsidRPr="00E332D5" w:rsidTr="00E332D5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Bežné účtovné obdobie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Bezprostredne</w:t>
            </w:r>
            <w:r w:rsidRPr="00E332D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br/>
              <w:t>predchádzajúce účtovné obdobie</w:t>
            </w:r>
          </w:p>
        </w:tc>
      </w:tr>
      <w:tr w:rsidR="00E332D5" w:rsidRPr="00E332D5" w:rsidTr="00E332D5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Tržba za vlastné výrobky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E332D5" w:rsidRPr="00E332D5" w:rsidTr="00E332D5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Tržba z predaj služieb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  <w:hideMark/>
          </w:tcPr>
          <w:p w:rsidR="00E332D5" w:rsidRPr="00E332D5" w:rsidRDefault="006C39C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11 600</w:t>
            </w:r>
            <w:r w:rsidR="00E332D5"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E332D5" w:rsidRPr="00E332D5" w:rsidTr="00E332D5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Tržba za tovar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E332D5" w:rsidRPr="00E332D5" w:rsidTr="00E332D5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Výnosy zo zákazky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E332D5" w:rsidRPr="00E332D5" w:rsidTr="00E332D5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Výnosy z nehnuteľnosti na predaj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E332D5" w:rsidRPr="00E332D5" w:rsidTr="00E332D5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Iné výnosy súvisiace s bežnou činnosťou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E332D5" w:rsidRPr="00E332D5" w:rsidTr="00E332D5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Čistý obrat celkom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6C39C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11 600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</w:tr>
    </w:tbl>
    <w:p w:rsidR="00E332D5" w:rsidRPr="00E332D5" w:rsidRDefault="00E332D5" w:rsidP="00E332D5">
      <w:pPr>
        <w:spacing w:before="100" w:beforeAutospacing="1" w:after="100" w:afterAutospacing="1" w:line="240" w:lineRule="auto"/>
        <w:outlineLvl w:val="4"/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</w:pPr>
      <w:r w:rsidRPr="00E332D5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Náklady</w:t>
      </w:r>
    </w:p>
    <w:p w:rsidR="00E332D5" w:rsidRPr="00E332D5" w:rsidRDefault="00E332D5" w:rsidP="00E332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332D5">
        <w:rPr>
          <w:rFonts w:ascii="Times New Roman" w:eastAsia="Times New Roman" w:hAnsi="Times New Roman" w:cs="Times New Roman"/>
          <w:sz w:val="24"/>
          <w:szCs w:val="24"/>
          <w:lang w:eastAsia="sk-SK"/>
        </w:rPr>
        <w:t>Prehľad o štruktúre vykázaných nákladov je znázornený v nasledujúcej tabuľke: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462"/>
        <w:gridCol w:w="1820"/>
        <w:gridCol w:w="1820"/>
      </w:tblGrid>
      <w:tr w:rsidR="00E332D5" w:rsidRPr="00E332D5" w:rsidTr="00E332D5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Bežné účtovné obdobie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Bezprostredne </w:t>
            </w:r>
            <w:r w:rsidRPr="00E332D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br/>
              <w:t>predchádzajúce účtovné obdobie</w:t>
            </w:r>
          </w:p>
        </w:tc>
      </w:tr>
      <w:tr w:rsidR="00E332D5" w:rsidRPr="00E332D5" w:rsidTr="00E332D5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Náklady za poskytnuté služby, z toho: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E332D5" w:rsidRPr="00E332D5" w:rsidTr="00E332D5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Náklady voči audítorovi, audítorskej spoločnosti, z toho: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E332D5" w:rsidRPr="00E332D5" w:rsidTr="00E332D5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náklady na overenie individuálnej účtovnej závierky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E332D5" w:rsidRPr="00E332D5" w:rsidTr="00E332D5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iné </w:t>
            </w:r>
            <w:proofErr w:type="spellStart"/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uisťovacie</w:t>
            </w:r>
            <w:proofErr w:type="spellEnd"/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audítorské služby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E332D5" w:rsidRPr="00E332D5" w:rsidTr="00E332D5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lastRenderedPageBreak/>
              <w:t>súvisiace audítorské služby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E332D5" w:rsidRPr="00E332D5" w:rsidTr="00E332D5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daňové poradenstvo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E332D5" w:rsidRPr="00E332D5" w:rsidTr="00E332D5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ostatné neaudítorské služby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E332D5" w:rsidRPr="00E332D5" w:rsidTr="00E332D5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Ostatné významné položky nákladov za poskytnuté služby, z toho: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E332D5" w:rsidRPr="00E332D5" w:rsidTr="006C39C5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Poplatok za uzavretie úveru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E332D5" w:rsidRPr="00E332D5" w:rsidTr="006C39C5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Doména, webhosting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E332D5" w:rsidRPr="00E332D5" w:rsidTr="006C39C5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Reprezentačné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E332D5" w:rsidRPr="00E332D5" w:rsidTr="006C39C5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Služby spojov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E332D5" w:rsidRPr="00E332D5" w:rsidTr="006C39C5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Práce v kooperácii - stavebné poddodávky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E332D5" w:rsidRPr="00E332D5" w:rsidTr="006C39C5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Stočné, likvidácia odpadov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E332D5" w:rsidRPr="00E332D5" w:rsidTr="006C39C5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Nájomné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E332D5" w:rsidRPr="00E332D5" w:rsidTr="006C39C5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Právne služby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E332D5" w:rsidRPr="00E332D5" w:rsidTr="00E332D5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Náklady na inzerciu, propagáciu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bookmarkStart w:id="0" w:name="_GoBack"/>
        <w:bookmarkEnd w:id="0"/>
      </w:tr>
      <w:tr w:rsidR="00E332D5" w:rsidRPr="00E332D5" w:rsidTr="00E332D5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ostatné - náklady na založenie spoločnosti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  <w:hideMark/>
          </w:tcPr>
          <w:p w:rsidR="00E332D5" w:rsidRPr="00E332D5" w:rsidRDefault="008C350A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216</w:t>
            </w:r>
            <w:r w:rsidR="00E332D5"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E332D5" w:rsidRPr="00E332D5" w:rsidTr="006C39C5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Ostatné významné položky nákladov z hospodárskej činnosti, z toho: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E332D5" w:rsidRPr="00E332D5" w:rsidTr="006C39C5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pokuty a penále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E332D5" w:rsidRPr="00E332D5" w:rsidTr="006C39C5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odpis pohľadávok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E332D5" w:rsidRPr="00E332D5" w:rsidTr="006C39C5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poistenie majetku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E332D5" w:rsidRPr="00E332D5" w:rsidTr="006C39C5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tvorba rezervy na </w:t>
            </w:r>
            <w:proofErr w:type="spellStart"/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zár</w:t>
            </w:r>
            <w:proofErr w:type="spellEnd"/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. opravu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E332D5" w:rsidRPr="00E332D5" w:rsidTr="006C39C5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náhrady za spôsobené škody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E332D5" w:rsidRPr="00E332D5" w:rsidTr="006C39C5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iné - krádež šperkov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E332D5" w:rsidRPr="00E332D5" w:rsidTr="00E332D5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Finančné náklady, z toho: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E332D5" w:rsidRPr="00E332D5" w:rsidTr="00E332D5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Kurzové straty, z toho: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E332D5" w:rsidRPr="00E332D5" w:rsidTr="00E332D5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kurzové straty ku dňu, ku </w:t>
            </w:r>
            <w:proofErr w:type="spellStart"/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ktroému</w:t>
            </w:r>
            <w:proofErr w:type="spellEnd"/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sa zostavuje účtovná závierka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E332D5" w:rsidRPr="00E332D5" w:rsidTr="00E332D5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Ostatné významné položky finančných nákladov, z toho: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E332D5" w:rsidRPr="00E332D5" w:rsidTr="00E332D5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predané cenné papiere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E332D5" w:rsidRPr="00E332D5" w:rsidTr="00E332D5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bankové poplatky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E332D5" w:rsidRPr="00E332D5" w:rsidTr="00E332D5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Mimoriadne náklady, z toho: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32D5" w:rsidRPr="00E332D5" w:rsidRDefault="00E332D5" w:rsidP="00E332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2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</w:tbl>
    <w:p w:rsidR="00E332D5" w:rsidRPr="00E332D5" w:rsidRDefault="00E332D5" w:rsidP="00E332D5">
      <w:pPr>
        <w:spacing w:before="100" w:beforeAutospacing="1" w:after="100" w:afterAutospacing="1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  <w:r w:rsidRPr="00E332D5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 xml:space="preserve">Čl. V </w:t>
      </w:r>
      <w:r w:rsidRPr="00E332D5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br/>
        <w:t>INFORMÁCIE O INÝCH AKTÍVACH A INÝCH PASÍVACH</w:t>
      </w:r>
    </w:p>
    <w:p w:rsidR="00E332D5" w:rsidRPr="00E332D5" w:rsidRDefault="00E332D5" w:rsidP="00E332D5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E332D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Informácie o podmienených záväzkoch</w:t>
      </w:r>
    </w:p>
    <w:p w:rsidR="00E332D5" w:rsidRPr="00E332D5" w:rsidRDefault="00E332D5" w:rsidP="00E332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332D5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jednotka neeviduje žiadne iné aktíva a záväzky okrem tých, ktoré sú uvedené v súvahe.</w:t>
      </w:r>
    </w:p>
    <w:p w:rsidR="00E332D5" w:rsidRPr="00E332D5" w:rsidRDefault="00E332D5" w:rsidP="00E332D5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E332D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Ostatné finančné povinnosti</w:t>
      </w:r>
    </w:p>
    <w:p w:rsidR="00E332D5" w:rsidRPr="00E332D5" w:rsidRDefault="00E332D5" w:rsidP="00E332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332D5">
        <w:rPr>
          <w:rFonts w:ascii="Times New Roman" w:eastAsia="Times New Roman" w:hAnsi="Times New Roman" w:cs="Times New Roman"/>
          <w:sz w:val="24"/>
          <w:szCs w:val="24"/>
          <w:lang w:eastAsia="sk-SK"/>
        </w:rPr>
        <w:t>Spoločnosť neeviduje a nevykazuje žiadne iné finančné povinnosti, okrem tých, ktoré sú vykázané v účtovníctve.</w:t>
      </w:r>
    </w:p>
    <w:p w:rsidR="00E332D5" w:rsidRPr="00E332D5" w:rsidRDefault="00E332D5" w:rsidP="00E332D5">
      <w:pPr>
        <w:spacing w:before="100" w:beforeAutospacing="1" w:after="100" w:afterAutospacing="1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  <w:r w:rsidRPr="00E332D5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lastRenderedPageBreak/>
        <w:t xml:space="preserve">Čl. VI </w:t>
      </w:r>
      <w:r w:rsidRPr="00E332D5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br/>
        <w:t>UDALOSTI, KTORÉ NASTALI PO DNI, KU KTORÉMU SA ZOSTAVUJE ÚČTOVNÁ ZÁVIERKA</w:t>
      </w:r>
    </w:p>
    <w:p w:rsidR="00E332D5" w:rsidRPr="00E332D5" w:rsidRDefault="00E332D5" w:rsidP="00E332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332D5">
        <w:rPr>
          <w:rFonts w:ascii="Times New Roman" w:eastAsia="Times New Roman" w:hAnsi="Times New Roman" w:cs="Times New Roman"/>
          <w:sz w:val="24"/>
          <w:szCs w:val="24"/>
          <w:lang w:eastAsia="sk-SK"/>
        </w:rPr>
        <w:t>Po 31. decembri 2025 do dňa zostavenia účtovnej závierky nenastali žiadne významné skutočnosti, ktoré by ovplyvnili výsledok hospodárenia za rok 2025.</w:t>
      </w:r>
    </w:p>
    <w:p w:rsidR="00E332D5" w:rsidRPr="00E332D5" w:rsidRDefault="00E332D5" w:rsidP="00E332D5">
      <w:pPr>
        <w:spacing w:before="100" w:beforeAutospacing="1" w:after="100" w:afterAutospacing="1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  <w:r w:rsidRPr="00E332D5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 xml:space="preserve">Čl. VII </w:t>
      </w:r>
      <w:r w:rsidRPr="00E332D5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br/>
        <w:t>OSTATNÉ INFORMÁCIE</w:t>
      </w:r>
    </w:p>
    <w:p w:rsidR="00E332D5" w:rsidRPr="00E332D5" w:rsidRDefault="00E332D5" w:rsidP="00E332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332D5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jednotka nemá obsahovú náplň pre ostatné informácie.</w:t>
      </w:r>
    </w:p>
    <w:p w:rsidR="00E332D5" w:rsidRPr="00E332D5" w:rsidRDefault="00E332D5" w:rsidP="00E332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332D5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</w:p>
    <w:p w:rsidR="00E332D5" w:rsidRPr="00E332D5" w:rsidRDefault="00E332D5" w:rsidP="006C39C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332D5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</w:p>
    <w:p w:rsidR="00E332D5" w:rsidRDefault="00E332D5"/>
    <w:sectPr w:rsidR="00E332D5">
      <w:headerReference w:type="defaul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81095" w:rsidRDefault="00781095" w:rsidP="00E332D5">
      <w:pPr>
        <w:spacing w:after="0" w:line="240" w:lineRule="auto"/>
      </w:pPr>
      <w:r>
        <w:separator/>
      </w:r>
    </w:p>
  </w:endnote>
  <w:endnote w:type="continuationSeparator" w:id="0">
    <w:p w:rsidR="00781095" w:rsidRDefault="00781095" w:rsidP="00E332D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81095" w:rsidRDefault="00781095" w:rsidP="00E332D5">
      <w:pPr>
        <w:spacing w:after="0" w:line="240" w:lineRule="auto"/>
      </w:pPr>
      <w:r>
        <w:separator/>
      </w:r>
    </w:p>
  </w:footnote>
  <w:footnote w:type="continuationSeparator" w:id="0">
    <w:p w:rsidR="00781095" w:rsidRDefault="00781095" w:rsidP="00E332D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332D5" w:rsidRDefault="00E332D5">
    <w:pPr>
      <w:pStyle w:val="Hlavika"/>
    </w:pPr>
    <w:r>
      <w:t>Poznámky k účtovnej závierke k 31.12.2025</w:t>
    </w:r>
    <w:r>
      <w:tab/>
    </w:r>
    <w:r>
      <w:tab/>
    </w:r>
    <w:proofErr w:type="spellStart"/>
    <w:r>
      <w:t>Arreat</w:t>
    </w:r>
    <w:proofErr w:type="spellEnd"/>
    <w:r>
      <w:t xml:space="preserve"> </w:t>
    </w:r>
    <w:proofErr w:type="spellStart"/>
    <w:r>
      <w:t>s.r.o</w:t>
    </w:r>
    <w:proofErr w:type="spellEnd"/>
  </w:p>
  <w:p w:rsidR="00E332D5" w:rsidRDefault="00E332D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896BA7"/>
    <w:multiLevelType w:val="multilevel"/>
    <w:tmpl w:val="6B46D5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7711FB8"/>
    <w:multiLevelType w:val="multilevel"/>
    <w:tmpl w:val="3416A0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82068B5"/>
    <w:multiLevelType w:val="multilevel"/>
    <w:tmpl w:val="5E88FD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4D14842"/>
    <w:multiLevelType w:val="multilevel"/>
    <w:tmpl w:val="96641E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20E478FB"/>
    <w:multiLevelType w:val="multilevel"/>
    <w:tmpl w:val="225A55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2B580136"/>
    <w:multiLevelType w:val="multilevel"/>
    <w:tmpl w:val="2898A5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573967EA"/>
    <w:multiLevelType w:val="multilevel"/>
    <w:tmpl w:val="A5E498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5"/>
  </w:num>
  <w:num w:numId="3">
    <w:abstractNumId w:val="6"/>
  </w:num>
  <w:num w:numId="4">
    <w:abstractNumId w:val="4"/>
  </w:num>
  <w:num w:numId="5">
    <w:abstractNumId w:val="1"/>
  </w:num>
  <w:num w:numId="6">
    <w:abstractNumId w:val="0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F4B47"/>
    <w:rsid w:val="00565F27"/>
    <w:rsid w:val="005F4B47"/>
    <w:rsid w:val="006C39C5"/>
    <w:rsid w:val="00781095"/>
    <w:rsid w:val="008C350A"/>
    <w:rsid w:val="00933A02"/>
    <w:rsid w:val="00E332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3">
    <w:name w:val="heading 3"/>
    <w:basedOn w:val="Normlny"/>
    <w:link w:val="Nadpis3Char"/>
    <w:uiPriority w:val="9"/>
    <w:qFormat/>
    <w:rsid w:val="00E332D5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paragraph" w:styleId="Nadpis4">
    <w:name w:val="heading 4"/>
    <w:basedOn w:val="Normlny"/>
    <w:link w:val="Nadpis4Char"/>
    <w:uiPriority w:val="9"/>
    <w:qFormat/>
    <w:rsid w:val="00E332D5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Nadpis5">
    <w:name w:val="heading 5"/>
    <w:basedOn w:val="Normlny"/>
    <w:link w:val="Nadpis5Char"/>
    <w:uiPriority w:val="9"/>
    <w:qFormat/>
    <w:rsid w:val="00E332D5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Nadpis6">
    <w:name w:val="heading 6"/>
    <w:basedOn w:val="Normlny"/>
    <w:link w:val="Nadpis6Char"/>
    <w:uiPriority w:val="9"/>
    <w:qFormat/>
    <w:rsid w:val="00E332D5"/>
    <w:pPr>
      <w:spacing w:before="100" w:beforeAutospacing="1" w:after="100" w:afterAutospacing="1" w:line="240" w:lineRule="auto"/>
      <w:outlineLvl w:val="5"/>
    </w:pPr>
    <w:rPr>
      <w:rFonts w:ascii="Times New Roman" w:eastAsia="Times New Roman" w:hAnsi="Times New Roman" w:cs="Times New Roman"/>
      <w:b/>
      <w:bCs/>
      <w:sz w:val="15"/>
      <w:szCs w:val="15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uiPriority w:val="9"/>
    <w:rsid w:val="00E332D5"/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character" w:customStyle="1" w:styleId="Nadpis4Char">
    <w:name w:val="Nadpis 4 Char"/>
    <w:basedOn w:val="Predvolenpsmoodseku"/>
    <w:link w:val="Nadpis4"/>
    <w:uiPriority w:val="9"/>
    <w:rsid w:val="00E332D5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customStyle="1" w:styleId="Nadpis5Char">
    <w:name w:val="Nadpis 5 Char"/>
    <w:basedOn w:val="Predvolenpsmoodseku"/>
    <w:link w:val="Nadpis5"/>
    <w:uiPriority w:val="9"/>
    <w:rsid w:val="00E332D5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character" w:customStyle="1" w:styleId="Nadpis6Char">
    <w:name w:val="Nadpis 6 Char"/>
    <w:basedOn w:val="Predvolenpsmoodseku"/>
    <w:link w:val="Nadpis6"/>
    <w:uiPriority w:val="9"/>
    <w:rsid w:val="00E332D5"/>
    <w:rPr>
      <w:rFonts w:ascii="Times New Roman" w:eastAsia="Times New Roman" w:hAnsi="Times New Roman" w:cs="Times New Roman"/>
      <w:b/>
      <w:bCs/>
      <w:sz w:val="15"/>
      <w:szCs w:val="15"/>
      <w:lang w:eastAsia="sk-SK"/>
    </w:rPr>
  </w:style>
  <w:style w:type="paragraph" w:styleId="Normlnywebov">
    <w:name w:val="Normal (Web)"/>
    <w:basedOn w:val="Normlny"/>
    <w:uiPriority w:val="99"/>
    <w:unhideWhenUsed/>
    <w:rsid w:val="00E332D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E332D5"/>
    <w:rPr>
      <w:b/>
      <w:bCs/>
    </w:rPr>
  </w:style>
  <w:style w:type="character" w:styleId="Hypertextovprepojenie">
    <w:name w:val="Hyperlink"/>
    <w:basedOn w:val="Predvolenpsmoodseku"/>
    <w:uiPriority w:val="99"/>
    <w:semiHidden/>
    <w:unhideWhenUsed/>
    <w:rsid w:val="00E332D5"/>
    <w:rPr>
      <w:color w:val="0000FF"/>
      <w:u w:val="single"/>
    </w:rPr>
  </w:style>
  <w:style w:type="character" w:styleId="Zvraznenie">
    <w:name w:val="Emphasis"/>
    <w:basedOn w:val="Predvolenpsmoodseku"/>
    <w:uiPriority w:val="20"/>
    <w:qFormat/>
    <w:rsid w:val="00E332D5"/>
    <w:rPr>
      <w:i/>
      <w:iCs/>
    </w:rPr>
  </w:style>
  <w:style w:type="paragraph" w:styleId="Hlavika">
    <w:name w:val="header"/>
    <w:basedOn w:val="Normlny"/>
    <w:link w:val="HlavikaChar"/>
    <w:uiPriority w:val="99"/>
    <w:unhideWhenUsed/>
    <w:rsid w:val="00E332D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332D5"/>
  </w:style>
  <w:style w:type="paragraph" w:styleId="Pta">
    <w:name w:val="footer"/>
    <w:basedOn w:val="Normlny"/>
    <w:link w:val="PtaChar"/>
    <w:uiPriority w:val="99"/>
    <w:unhideWhenUsed/>
    <w:rsid w:val="00E332D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332D5"/>
  </w:style>
  <w:style w:type="paragraph" w:styleId="Textbubliny">
    <w:name w:val="Balloon Text"/>
    <w:basedOn w:val="Normlny"/>
    <w:link w:val="TextbublinyChar"/>
    <w:uiPriority w:val="99"/>
    <w:semiHidden/>
    <w:unhideWhenUsed/>
    <w:rsid w:val="00E332D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332D5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E332D5"/>
  </w:style>
  <w:style w:type="paragraph" w:styleId="Odsekzoznamu">
    <w:name w:val="List Paragraph"/>
    <w:basedOn w:val="Normlny"/>
    <w:uiPriority w:val="34"/>
    <w:qFormat/>
    <w:rsid w:val="00E332D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3">
    <w:name w:val="heading 3"/>
    <w:basedOn w:val="Normlny"/>
    <w:link w:val="Nadpis3Char"/>
    <w:uiPriority w:val="9"/>
    <w:qFormat/>
    <w:rsid w:val="00E332D5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paragraph" w:styleId="Nadpis4">
    <w:name w:val="heading 4"/>
    <w:basedOn w:val="Normlny"/>
    <w:link w:val="Nadpis4Char"/>
    <w:uiPriority w:val="9"/>
    <w:qFormat/>
    <w:rsid w:val="00E332D5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Nadpis5">
    <w:name w:val="heading 5"/>
    <w:basedOn w:val="Normlny"/>
    <w:link w:val="Nadpis5Char"/>
    <w:uiPriority w:val="9"/>
    <w:qFormat/>
    <w:rsid w:val="00E332D5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Nadpis6">
    <w:name w:val="heading 6"/>
    <w:basedOn w:val="Normlny"/>
    <w:link w:val="Nadpis6Char"/>
    <w:uiPriority w:val="9"/>
    <w:qFormat/>
    <w:rsid w:val="00E332D5"/>
    <w:pPr>
      <w:spacing w:before="100" w:beforeAutospacing="1" w:after="100" w:afterAutospacing="1" w:line="240" w:lineRule="auto"/>
      <w:outlineLvl w:val="5"/>
    </w:pPr>
    <w:rPr>
      <w:rFonts w:ascii="Times New Roman" w:eastAsia="Times New Roman" w:hAnsi="Times New Roman" w:cs="Times New Roman"/>
      <w:b/>
      <w:bCs/>
      <w:sz w:val="15"/>
      <w:szCs w:val="15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uiPriority w:val="9"/>
    <w:rsid w:val="00E332D5"/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character" w:customStyle="1" w:styleId="Nadpis4Char">
    <w:name w:val="Nadpis 4 Char"/>
    <w:basedOn w:val="Predvolenpsmoodseku"/>
    <w:link w:val="Nadpis4"/>
    <w:uiPriority w:val="9"/>
    <w:rsid w:val="00E332D5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customStyle="1" w:styleId="Nadpis5Char">
    <w:name w:val="Nadpis 5 Char"/>
    <w:basedOn w:val="Predvolenpsmoodseku"/>
    <w:link w:val="Nadpis5"/>
    <w:uiPriority w:val="9"/>
    <w:rsid w:val="00E332D5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character" w:customStyle="1" w:styleId="Nadpis6Char">
    <w:name w:val="Nadpis 6 Char"/>
    <w:basedOn w:val="Predvolenpsmoodseku"/>
    <w:link w:val="Nadpis6"/>
    <w:uiPriority w:val="9"/>
    <w:rsid w:val="00E332D5"/>
    <w:rPr>
      <w:rFonts w:ascii="Times New Roman" w:eastAsia="Times New Roman" w:hAnsi="Times New Roman" w:cs="Times New Roman"/>
      <w:b/>
      <w:bCs/>
      <w:sz w:val="15"/>
      <w:szCs w:val="15"/>
      <w:lang w:eastAsia="sk-SK"/>
    </w:rPr>
  </w:style>
  <w:style w:type="paragraph" w:styleId="Normlnywebov">
    <w:name w:val="Normal (Web)"/>
    <w:basedOn w:val="Normlny"/>
    <w:uiPriority w:val="99"/>
    <w:unhideWhenUsed/>
    <w:rsid w:val="00E332D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E332D5"/>
    <w:rPr>
      <w:b/>
      <w:bCs/>
    </w:rPr>
  </w:style>
  <w:style w:type="character" w:styleId="Hypertextovprepojenie">
    <w:name w:val="Hyperlink"/>
    <w:basedOn w:val="Predvolenpsmoodseku"/>
    <w:uiPriority w:val="99"/>
    <w:semiHidden/>
    <w:unhideWhenUsed/>
    <w:rsid w:val="00E332D5"/>
    <w:rPr>
      <w:color w:val="0000FF"/>
      <w:u w:val="single"/>
    </w:rPr>
  </w:style>
  <w:style w:type="character" w:styleId="Zvraznenie">
    <w:name w:val="Emphasis"/>
    <w:basedOn w:val="Predvolenpsmoodseku"/>
    <w:uiPriority w:val="20"/>
    <w:qFormat/>
    <w:rsid w:val="00E332D5"/>
    <w:rPr>
      <w:i/>
      <w:iCs/>
    </w:rPr>
  </w:style>
  <w:style w:type="paragraph" w:styleId="Hlavika">
    <w:name w:val="header"/>
    <w:basedOn w:val="Normlny"/>
    <w:link w:val="HlavikaChar"/>
    <w:uiPriority w:val="99"/>
    <w:unhideWhenUsed/>
    <w:rsid w:val="00E332D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332D5"/>
  </w:style>
  <w:style w:type="paragraph" w:styleId="Pta">
    <w:name w:val="footer"/>
    <w:basedOn w:val="Normlny"/>
    <w:link w:val="PtaChar"/>
    <w:uiPriority w:val="99"/>
    <w:unhideWhenUsed/>
    <w:rsid w:val="00E332D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332D5"/>
  </w:style>
  <w:style w:type="paragraph" w:styleId="Textbubliny">
    <w:name w:val="Balloon Text"/>
    <w:basedOn w:val="Normlny"/>
    <w:link w:val="TextbublinyChar"/>
    <w:uiPriority w:val="99"/>
    <w:semiHidden/>
    <w:unhideWhenUsed/>
    <w:rsid w:val="00E332D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332D5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E332D5"/>
  </w:style>
  <w:style w:type="paragraph" w:styleId="Odsekzoznamu">
    <w:name w:val="List Paragraph"/>
    <w:basedOn w:val="Normlny"/>
    <w:uiPriority w:val="34"/>
    <w:qFormat/>
    <w:rsid w:val="00E332D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549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0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6268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6289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27909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34510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85082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95803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01905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42124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90001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457643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23046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danovecentrum.sk/form/goto.ashx?t=27&amp;p=2802187&amp;f=3" TargetMode="External"/><Relationship Id="rId13" Type="http://schemas.openxmlformats.org/officeDocument/2006/relationships/hyperlink" Target="https://www.danovecentrum.sk/form/goto.ashx?t=26&amp;p=4273900&amp;f=2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yperlink" Target="https://www.danovecentrum.sk/form/goto.ashx?t=26&amp;p=1024091&amp;f=3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s://www.danovecentrum.sk/form/goto.ashx?t=26&amp;p=1020591&amp;f=2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hyperlink" Target="https://www.danovecentrum.sk/form/goto.ashx?t=26&amp;p=1020274&amp;f=3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danovecentrum.sk/form/goto.ashx?t=26&amp;p=1020274&amp;f=3" TargetMode="External"/><Relationship Id="rId14" Type="http://schemas.openxmlformats.org/officeDocument/2006/relationships/hyperlink" Target="https://www.danovecentrum.sk/form/goto.ashx?t=27&amp;p=2970100&amp;f=3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</TotalTime>
  <Pages>13</Pages>
  <Words>2609</Words>
  <Characters>14872</Characters>
  <Application>Microsoft Office Word</Application>
  <DocSecurity>0</DocSecurity>
  <Lines>123</Lines>
  <Paragraphs>34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17447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2026-03-29T09:29:00Z</dcterms:created>
  <dcterms:modified xsi:type="dcterms:W3CDTF">2026-03-29T11:28:00Z</dcterms:modified>
</cp:coreProperties>
</file>