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140CB5" w:rsidRDefault="00140CB5">
      <w:pPr>
        <w:pStyle w:val="Zkladntext"/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k </w:t>
      </w:r>
      <w:r w:rsidR="00015737">
        <w:rPr>
          <w:b/>
          <w:sz w:val="32"/>
          <w:szCs w:val="32"/>
        </w:rPr>
        <w:t>účtovnej závierke k 31. 12. 2025</w:t>
      </w:r>
    </w:p>
    <w:p w:rsidR="00140CB5" w:rsidRDefault="00140CB5">
      <w:pPr>
        <w:pStyle w:val="Zkladntext"/>
        <w:ind w:left="0"/>
        <w:rPr>
          <w:b/>
          <w:sz w:val="32"/>
          <w:szCs w:val="32"/>
        </w:rPr>
      </w:pPr>
    </w:p>
    <w:p w:rsidR="00140CB5" w:rsidRDefault="00140CB5">
      <w:pPr>
        <w:pStyle w:val="Nadpis1"/>
        <w:rPr>
          <w:szCs w:val="18"/>
        </w:rPr>
      </w:pPr>
      <w:r>
        <w:rPr>
          <w:szCs w:val="18"/>
        </w:rPr>
        <w:t>Informácie o účtovnej jednotke</w:t>
      </w:r>
    </w:p>
    <w:p w:rsidR="00140CB5" w:rsidRDefault="00140CB5">
      <w:pPr>
        <w:pStyle w:val="Zkladntext"/>
        <w:rPr>
          <w:szCs w:val="18"/>
        </w:rPr>
      </w:pPr>
    </w:p>
    <w:p w:rsidR="00140CB5" w:rsidRDefault="00140CB5">
      <w:pPr>
        <w:pStyle w:val="Nadpis2"/>
        <w:numPr>
          <w:ilvl w:val="1"/>
          <w:numId w:val="4"/>
        </w:numPr>
        <w:rPr>
          <w:szCs w:val="18"/>
          <w:lang w:val="en-US"/>
        </w:rPr>
      </w:pPr>
      <w:r>
        <w:t>Názov a sídlo združenia:</w:t>
      </w:r>
    </w:p>
    <w:p w:rsidR="00140CB5" w:rsidRDefault="00140CB5">
      <w:pPr>
        <w:rPr>
          <w:sz w:val="18"/>
          <w:szCs w:val="18"/>
          <w:lang w:val="en-US"/>
        </w:rPr>
      </w:pPr>
    </w:p>
    <w:p w:rsidR="00140CB5" w:rsidRDefault="00140CB5">
      <w:pPr>
        <w:pStyle w:val="Zkladntext"/>
        <w:rPr>
          <w:b/>
          <w:i/>
          <w:szCs w:val="18"/>
        </w:rPr>
      </w:pPr>
      <w:r>
        <w:rPr>
          <w:b/>
          <w:i/>
          <w:szCs w:val="18"/>
          <w:lang w:val="cs-CZ"/>
        </w:rPr>
        <w:t>IQ Nitra</w:t>
      </w:r>
    </w:p>
    <w:p w:rsidR="00140CB5" w:rsidRDefault="00140CB5">
      <w:pPr>
        <w:pStyle w:val="Zkladntext"/>
        <w:rPr>
          <w:b/>
          <w:i/>
          <w:szCs w:val="18"/>
          <w:lang w:val="cs-CZ"/>
        </w:rPr>
      </w:pPr>
      <w:r>
        <w:rPr>
          <w:b/>
          <w:i/>
          <w:szCs w:val="18"/>
        </w:rPr>
        <w:t>Vodná 4</w:t>
      </w:r>
    </w:p>
    <w:p w:rsidR="00140CB5" w:rsidRDefault="00140CB5">
      <w:pPr>
        <w:pStyle w:val="Zkladntext"/>
        <w:rPr>
          <w:szCs w:val="18"/>
        </w:rPr>
      </w:pPr>
      <w:r>
        <w:rPr>
          <w:b/>
          <w:i/>
          <w:szCs w:val="18"/>
          <w:lang w:val="cs-CZ"/>
        </w:rPr>
        <w:t>94901 Nitra</w:t>
      </w:r>
    </w:p>
    <w:p w:rsidR="00140CB5" w:rsidRDefault="00140CB5">
      <w:pPr>
        <w:pStyle w:val="Zkladntext"/>
        <w:rPr>
          <w:szCs w:val="18"/>
        </w:rPr>
      </w:pPr>
    </w:p>
    <w:p w:rsidR="00140CB5" w:rsidRDefault="00140CB5">
      <w:pPr>
        <w:pStyle w:val="Zkladntext"/>
        <w:rPr>
          <w:szCs w:val="18"/>
        </w:rPr>
      </w:pPr>
      <w:r>
        <w:rPr>
          <w:szCs w:val="18"/>
          <w:lang w:val="cs-CZ"/>
        </w:rPr>
        <w:t>IQ Nitra</w:t>
      </w:r>
      <w:r>
        <w:rPr>
          <w:szCs w:val="18"/>
        </w:rPr>
        <w:t xml:space="preserve"> </w:t>
      </w:r>
      <w:proofErr w:type="spellStart"/>
      <w:proofErr w:type="gramStart"/>
      <w:r>
        <w:rPr>
          <w:szCs w:val="18"/>
        </w:rPr>
        <w:t>o.z</w:t>
      </w:r>
      <w:proofErr w:type="spellEnd"/>
      <w:r>
        <w:rPr>
          <w:szCs w:val="18"/>
        </w:rPr>
        <w:t>. (ďalej</w:t>
      </w:r>
      <w:proofErr w:type="gramEnd"/>
      <w:r>
        <w:rPr>
          <w:szCs w:val="18"/>
        </w:rPr>
        <w:t xml:space="preserve"> len združenie) vzniklo v roku 20</w:t>
      </w:r>
      <w:r>
        <w:rPr>
          <w:szCs w:val="18"/>
          <w:lang w:val="cs-CZ"/>
        </w:rPr>
        <w:t>15</w:t>
      </w:r>
      <w:r>
        <w:rPr>
          <w:szCs w:val="18"/>
        </w:rPr>
        <w:t xml:space="preserve">  a do registra občianskych združení  bolo zapísané 18.06.2015 (Register združení Ministerstva vnútra Slovenskej republiky)</w:t>
      </w:r>
    </w:p>
    <w:p w:rsidR="00140CB5" w:rsidRDefault="00140CB5">
      <w:pPr>
        <w:pStyle w:val="Zkladntext"/>
        <w:rPr>
          <w:szCs w:val="18"/>
        </w:rPr>
      </w:pPr>
    </w:p>
    <w:p w:rsidR="00140CB5" w:rsidRDefault="00140CB5">
      <w:pPr>
        <w:numPr>
          <w:ilvl w:val="0"/>
          <w:numId w:val="2"/>
        </w:numPr>
        <w:tabs>
          <w:tab w:val="left" w:pos="720"/>
          <w:tab w:val="left" w:pos="4680"/>
        </w:tabs>
        <w:spacing w:before="120"/>
        <w:ind w:left="714" w:hanging="357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Hlavnými činnosťami združenia je </w:t>
      </w:r>
      <w:proofErr w:type="spellStart"/>
      <w:r>
        <w:rPr>
          <w:color w:val="000000"/>
          <w:shd w:val="clear" w:color="auto" w:fill="FFFFFF"/>
        </w:rPr>
        <w:t>Činnos</w:t>
      </w:r>
      <w:proofErr w:type="spellEnd"/>
      <w:r>
        <w:rPr>
          <w:color w:val="000000"/>
          <w:shd w:val="clear" w:color="auto" w:fill="FFFFFF"/>
          <w:lang w:val="cs-CZ"/>
        </w:rPr>
        <w:t>ť</w:t>
      </w:r>
      <w:r>
        <w:rPr>
          <w:color w:val="000000"/>
          <w:shd w:val="clear" w:color="auto" w:fill="FFFFFF"/>
        </w:rPr>
        <w:t xml:space="preserve"> ostatných členských organizácií</w:t>
      </w:r>
    </w:p>
    <w:p w:rsidR="00140CB5" w:rsidRDefault="00140CB5">
      <w:pPr>
        <w:tabs>
          <w:tab w:val="left" w:pos="3282"/>
        </w:tabs>
        <w:spacing w:before="120"/>
        <w:ind w:left="360"/>
        <w:rPr>
          <w:color w:val="FF0000"/>
        </w:rPr>
      </w:pPr>
      <w:r>
        <w:rPr>
          <w:sz w:val="18"/>
          <w:szCs w:val="18"/>
        </w:rPr>
        <w:tab/>
      </w:r>
    </w:p>
    <w:p w:rsidR="00140CB5" w:rsidRDefault="00140CB5">
      <w:pPr>
        <w:tabs>
          <w:tab w:val="left" w:pos="4680"/>
        </w:tabs>
        <w:rPr>
          <w:color w:val="FF0000"/>
        </w:rPr>
      </w:pPr>
    </w:p>
    <w:p w:rsidR="00140CB5" w:rsidRDefault="00140CB5">
      <w:pPr>
        <w:pStyle w:val="Nadpis2"/>
        <w:numPr>
          <w:ilvl w:val="1"/>
          <w:numId w:val="4"/>
        </w:numPr>
        <w:rPr>
          <w:szCs w:val="18"/>
        </w:rPr>
      </w:pPr>
      <w:r>
        <w:rPr>
          <w:szCs w:val="18"/>
        </w:rPr>
        <w:t>Právny dôvod na zostavenie účtovnej závierky</w:t>
      </w:r>
    </w:p>
    <w:p w:rsidR="00140CB5" w:rsidRDefault="00140CB5">
      <w:pPr>
        <w:rPr>
          <w:sz w:val="18"/>
          <w:szCs w:val="18"/>
        </w:rPr>
      </w:pPr>
    </w:p>
    <w:p w:rsidR="00140CB5" w:rsidRDefault="00140CB5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združenia k 31. decembru 202</w:t>
      </w:r>
      <w:r w:rsidR="00015737">
        <w:rPr>
          <w:szCs w:val="18"/>
        </w:rPr>
        <w:t>5</w:t>
      </w:r>
      <w:r>
        <w:rPr>
          <w:szCs w:val="18"/>
        </w:rPr>
        <w:t xml:space="preserve"> zostavená ako riadna účtovná závierka podľa § 17 ods. 6 zákona NR SR č. 431/2002 Z. z. o účtovníctve, za účtovné obdobie od 01. januára 20</w:t>
      </w:r>
      <w:r w:rsidR="00015737">
        <w:rPr>
          <w:szCs w:val="18"/>
        </w:rPr>
        <w:t>25</w:t>
      </w:r>
      <w:r>
        <w:rPr>
          <w:szCs w:val="18"/>
        </w:rPr>
        <w:t xml:space="preserve"> do 31. decembra 202</w:t>
      </w:r>
      <w:r w:rsidR="00015737">
        <w:rPr>
          <w:szCs w:val="18"/>
        </w:rPr>
        <w:t>5</w:t>
      </w:r>
      <w:bookmarkStart w:id="0" w:name="_GoBack"/>
      <w:bookmarkEnd w:id="0"/>
    </w:p>
    <w:p w:rsidR="00140CB5" w:rsidRDefault="00140CB5">
      <w:pPr>
        <w:jc w:val="both"/>
        <w:rPr>
          <w:sz w:val="18"/>
          <w:szCs w:val="18"/>
        </w:rPr>
      </w:pPr>
    </w:p>
    <w:p w:rsidR="00140CB5" w:rsidRDefault="00140CB5">
      <w:pPr>
        <w:pStyle w:val="Nadpis1"/>
        <w:rPr>
          <w:szCs w:val="18"/>
        </w:rPr>
      </w:pPr>
      <w:r>
        <w:rPr>
          <w:szCs w:val="18"/>
        </w:rPr>
        <w:t>Informácie o orgánoch účtovnej jednotky</w:t>
      </w:r>
    </w:p>
    <w:p w:rsidR="00140CB5" w:rsidRDefault="00140CB5">
      <w:pPr>
        <w:rPr>
          <w:sz w:val="18"/>
          <w:szCs w:val="18"/>
        </w:rPr>
      </w:pPr>
    </w:p>
    <w:p w:rsidR="00140CB5" w:rsidRDefault="00140CB5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Štatutár: Ing. Zuzana </w:t>
      </w:r>
      <w:proofErr w:type="spellStart"/>
      <w:r>
        <w:rPr>
          <w:sz w:val="18"/>
          <w:szCs w:val="18"/>
        </w:rPr>
        <w:t>Zvalová</w:t>
      </w:r>
      <w:proofErr w:type="spellEnd"/>
      <w:r>
        <w:rPr>
          <w:sz w:val="18"/>
          <w:szCs w:val="18"/>
        </w:rPr>
        <w:t>, Lúčna 2, 94901 Nitra</w:t>
      </w:r>
    </w:p>
    <w:p w:rsidR="00140CB5" w:rsidRDefault="00140CB5">
      <w:pPr>
        <w:rPr>
          <w:sz w:val="18"/>
          <w:szCs w:val="18"/>
        </w:rPr>
      </w:pPr>
    </w:p>
    <w:p w:rsidR="00140CB5" w:rsidRDefault="00140CB5">
      <w:pPr>
        <w:pStyle w:val="Nadpis1"/>
        <w:rPr>
          <w:szCs w:val="18"/>
        </w:rPr>
      </w:pPr>
      <w:r>
        <w:rPr>
          <w:szCs w:val="18"/>
        </w:rPr>
        <w:t xml:space="preserve">Informácie o účtovných zásadách a účtovných metódach  </w:t>
      </w:r>
    </w:p>
    <w:p w:rsidR="00140CB5" w:rsidRDefault="00140CB5">
      <w:pPr>
        <w:ind w:left="360"/>
        <w:rPr>
          <w:sz w:val="18"/>
          <w:szCs w:val="18"/>
        </w:rPr>
      </w:pPr>
      <w:r>
        <w:rPr>
          <w:sz w:val="18"/>
          <w:szCs w:val="18"/>
        </w:rPr>
        <w:t>Združenie  v bežnom roku postupovalo podľa týchto zásad:</w:t>
      </w:r>
    </w:p>
    <w:p w:rsidR="00140CB5" w:rsidRDefault="00140CB5">
      <w:pPr>
        <w:rPr>
          <w:sz w:val="18"/>
          <w:szCs w:val="18"/>
        </w:rPr>
      </w:pPr>
    </w:p>
    <w:p w:rsidR="00140CB5" w:rsidRDefault="00140CB5">
      <w:pPr>
        <w:pStyle w:val="Pismenka"/>
        <w:numPr>
          <w:ilvl w:val="0"/>
          <w:numId w:val="3"/>
        </w:numPr>
        <w:rPr>
          <w:szCs w:val="18"/>
        </w:rPr>
      </w:pPr>
      <w:r>
        <w:rPr>
          <w:szCs w:val="18"/>
        </w:rPr>
        <w:t>Východiská pre zostavenie účtovnej závierky</w:t>
      </w:r>
    </w:p>
    <w:p w:rsidR="00140CB5" w:rsidRDefault="00140CB5">
      <w:pPr>
        <w:pStyle w:val="Zkladntext"/>
        <w:ind w:left="450"/>
        <w:rPr>
          <w:szCs w:val="18"/>
        </w:rPr>
      </w:pPr>
      <w:r>
        <w:rPr>
          <w:szCs w:val="18"/>
        </w:rPr>
        <w:t>Účtovná závierka bola zostavená za predpokladu nepretržitého trvania združenia (</w:t>
      </w:r>
      <w:proofErr w:type="spellStart"/>
      <w:r>
        <w:rPr>
          <w:szCs w:val="18"/>
        </w:rPr>
        <w:t>going</w:t>
      </w:r>
      <w:proofErr w:type="spellEnd"/>
      <w:r>
        <w:rPr>
          <w:szCs w:val="18"/>
        </w:rPr>
        <w:t xml:space="preserve"> </w:t>
      </w:r>
      <w:proofErr w:type="spellStart"/>
      <w:r>
        <w:rPr>
          <w:szCs w:val="18"/>
        </w:rPr>
        <w:t>concern</w:t>
      </w:r>
      <w:proofErr w:type="spellEnd"/>
      <w:r>
        <w:rPr>
          <w:szCs w:val="18"/>
        </w:rPr>
        <w:t xml:space="preserve">). </w:t>
      </w:r>
    </w:p>
    <w:p w:rsidR="00140CB5" w:rsidRDefault="00140CB5">
      <w:pPr>
        <w:pStyle w:val="Zkladntext"/>
        <w:ind w:left="450"/>
        <w:rPr>
          <w:szCs w:val="18"/>
        </w:rPr>
      </w:pPr>
    </w:p>
    <w:p w:rsidR="00140CB5" w:rsidRDefault="00140CB5">
      <w:pPr>
        <w:pStyle w:val="Zkladntext"/>
        <w:ind w:left="450"/>
        <w:rPr>
          <w:szCs w:val="18"/>
        </w:rPr>
      </w:pPr>
      <w:r>
        <w:rPr>
          <w:szCs w:val="18"/>
        </w:rPr>
        <w:t>Účtovné metódy a všeobecné účtovné zásady boli účtovnou jednotkou konzistentne aplikované od jej vzniku v súlade s Opatrením č. 20 896/2003-92 a Opatrenia č. MF/10648/2004-74 Ministerstva financií Slovenskej republiky, ktorým sa ustanovili nové podrobnosti o postupoch účtovania a účtovnej osnovy pre účtovné jednotky, ktoré nie sú založené alebo zriadené na podnikanie.</w:t>
      </w:r>
    </w:p>
    <w:p w:rsidR="00140CB5" w:rsidRDefault="00140CB5">
      <w:pPr>
        <w:pStyle w:val="Zkladntext"/>
        <w:ind w:left="450"/>
        <w:rPr>
          <w:szCs w:val="18"/>
        </w:rPr>
      </w:pPr>
    </w:p>
    <w:p w:rsidR="00140CB5" w:rsidRDefault="00140CB5">
      <w:pPr>
        <w:pStyle w:val="Pismenka"/>
        <w:numPr>
          <w:ilvl w:val="0"/>
          <w:numId w:val="3"/>
        </w:numPr>
        <w:rPr>
          <w:szCs w:val="18"/>
        </w:rPr>
      </w:pPr>
      <w:r>
        <w:rPr>
          <w:szCs w:val="18"/>
        </w:rPr>
        <w:t>Dlhodobý nehmotný a dlhodobý hmotný majetok</w:t>
      </w:r>
    </w:p>
    <w:p w:rsidR="00140CB5" w:rsidRDefault="00140CB5">
      <w:pPr>
        <w:pStyle w:val="Zkladntext"/>
        <w:rPr>
          <w:szCs w:val="18"/>
        </w:rPr>
      </w:pPr>
      <w:r>
        <w:rPr>
          <w:szCs w:val="18"/>
        </w:rPr>
        <w:t>Dlhodobý majetok  nakupovaný sa oceňuje obstarávacou cenou, ktorá zahrnuje cenu obstarania a náklady súvisiace s obstaraním (clo, prepravu, montáž, poistné a pod.). Súčasťou obstarávacej ceny nie sú úroky z cudzích zdrojov ani realizované kurzové rozdiely, ktoré vznikli do momentu uvedenia dlhodobého majetku do používania.</w:t>
      </w:r>
    </w:p>
    <w:p w:rsidR="00140CB5" w:rsidRDefault="00140CB5">
      <w:pPr>
        <w:pStyle w:val="Zkladntext"/>
        <w:rPr>
          <w:szCs w:val="18"/>
        </w:rPr>
      </w:pPr>
    </w:p>
    <w:p w:rsidR="00140CB5" w:rsidRDefault="00140CB5">
      <w:pPr>
        <w:ind w:left="426"/>
        <w:jc w:val="both"/>
        <w:rPr>
          <w:sz w:val="18"/>
          <w:szCs w:val="18"/>
        </w:rPr>
      </w:pPr>
      <w:r>
        <w:rPr>
          <w:i/>
          <w:iCs/>
          <w:sz w:val="18"/>
          <w:szCs w:val="18"/>
        </w:rPr>
        <w:t>D</w:t>
      </w:r>
      <w:r>
        <w:rPr>
          <w:i/>
          <w:sz w:val="18"/>
          <w:szCs w:val="18"/>
        </w:rPr>
        <w:t>lhodobý nehmotný majetok</w:t>
      </w:r>
      <w:r>
        <w:rPr>
          <w:sz w:val="18"/>
          <w:szCs w:val="18"/>
        </w:rPr>
        <w:t xml:space="preserve"> je majetok, ktorého vstupná cena je vyššia ako 2400 eur a použiteľnosť dlhšia ako jeden rok.</w:t>
      </w:r>
    </w:p>
    <w:p w:rsidR="00140CB5" w:rsidRDefault="00140CB5">
      <w:pPr>
        <w:ind w:left="426"/>
        <w:jc w:val="both"/>
        <w:rPr>
          <w:sz w:val="18"/>
          <w:szCs w:val="18"/>
        </w:rPr>
      </w:pPr>
    </w:p>
    <w:p w:rsidR="00140CB5" w:rsidRDefault="00140CB5">
      <w:pPr>
        <w:ind w:left="426"/>
        <w:jc w:val="both"/>
        <w:rPr>
          <w:sz w:val="18"/>
          <w:szCs w:val="18"/>
        </w:rPr>
      </w:pPr>
      <w:r>
        <w:rPr>
          <w:i/>
          <w:sz w:val="18"/>
          <w:szCs w:val="18"/>
        </w:rPr>
        <w:t>Ostatný dlhodobý nehmotný majetok</w:t>
      </w:r>
      <w:r>
        <w:rPr>
          <w:sz w:val="18"/>
          <w:szCs w:val="18"/>
        </w:rPr>
        <w:t xml:space="preserve"> je majetok, ktorého vstupná cena je 2400 eur a menej. Tento majetok je považovaný za služby a je účtovaný na ťarchu nákladov Spoločnosti (na ťarchu účtu 518).</w:t>
      </w:r>
    </w:p>
    <w:p w:rsidR="00140CB5" w:rsidRDefault="00140CB5">
      <w:pPr>
        <w:ind w:left="426"/>
        <w:jc w:val="both"/>
        <w:rPr>
          <w:sz w:val="18"/>
          <w:szCs w:val="18"/>
        </w:rPr>
      </w:pPr>
    </w:p>
    <w:p w:rsidR="00140CB5" w:rsidRDefault="00140CB5">
      <w:pPr>
        <w:ind w:left="426"/>
        <w:jc w:val="both"/>
        <w:rPr>
          <w:sz w:val="18"/>
          <w:szCs w:val="18"/>
        </w:rPr>
      </w:pPr>
      <w:r>
        <w:rPr>
          <w:i/>
          <w:sz w:val="18"/>
          <w:szCs w:val="18"/>
        </w:rPr>
        <w:t>Dlhodobý hmotný majetok</w:t>
      </w:r>
      <w:r>
        <w:rPr>
          <w:sz w:val="18"/>
          <w:szCs w:val="18"/>
        </w:rPr>
        <w:t xml:space="preserve"> je majetok, ktorého vstupná cena je vyššia ako 1700 eur a prevádzkovo-technická funkcia dlhšia ako jeden rok.</w:t>
      </w:r>
    </w:p>
    <w:p w:rsidR="00140CB5" w:rsidRDefault="00140CB5">
      <w:pPr>
        <w:ind w:left="426"/>
        <w:jc w:val="both"/>
        <w:rPr>
          <w:sz w:val="18"/>
          <w:szCs w:val="18"/>
        </w:rPr>
      </w:pPr>
    </w:p>
    <w:p w:rsidR="00140CB5" w:rsidRDefault="00140CB5">
      <w:pPr>
        <w:ind w:left="426"/>
        <w:jc w:val="both"/>
        <w:rPr>
          <w:iCs/>
          <w:sz w:val="18"/>
          <w:szCs w:val="18"/>
        </w:rPr>
      </w:pPr>
      <w:r>
        <w:rPr>
          <w:i/>
          <w:sz w:val="18"/>
          <w:szCs w:val="18"/>
        </w:rPr>
        <w:t>Ostatný dlhodobý hmotný majetok</w:t>
      </w:r>
      <w:r>
        <w:rPr>
          <w:sz w:val="18"/>
          <w:szCs w:val="18"/>
        </w:rPr>
        <w:t xml:space="preserve"> je majetok, ktorého cena je 1700 eur a menej, prevádzkovo-technická funkcia dlhšia ako jeden rok. Účtuje sa na ťarchu nákladov ako spotreba materiálu. Tento majetok sa eviduje v operatívnej evidencii až do jeho vyradenia.</w:t>
      </w:r>
    </w:p>
    <w:p w:rsidR="00140CB5" w:rsidRDefault="00140CB5">
      <w:pPr>
        <w:ind w:left="426"/>
        <w:jc w:val="both"/>
        <w:rPr>
          <w:iCs/>
          <w:sz w:val="18"/>
          <w:szCs w:val="18"/>
        </w:rPr>
      </w:pPr>
    </w:p>
    <w:p w:rsidR="00140CB5" w:rsidRDefault="00140CB5">
      <w:pPr>
        <w:pStyle w:val="Zkladntext"/>
        <w:rPr>
          <w:szCs w:val="18"/>
        </w:rPr>
      </w:pPr>
      <w:r>
        <w:rPr>
          <w:szCs w:val="18"/>
        </w:rPr>
        <w:t>Odpisy dlhodobého hmotného majetku sú stanovené vychádzajúc z predpokladanej doby jeho používania a predpokladaného priebehu jeho opotrebovania. Odpisovať sa začína prvým dňom mesiaca uvedenia dlhodobého majetku do používania. Umelecké diela sa neodpisujú. Predpokladaná doba používania, metóda odpisovania a odpisová sadzba sú uvedené v nasledujúcej tabuľke:</w:t>
      </w:r>
    </w:p>
    <w:p w:rsidR="00140CB5" w:rsidRDefault="00140CB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98"/>
        <w:gridCol w:w="1620"/>
        <w:gridCol w:w="141"/>
        <w:gridCol w:w="1479"/>
        <w:gridCol w:w="142"/>
        <w:gridCol w:w="1701"/>
      </w:tblGrid>
      <w:tr w:rsidR="00140CB5">
        <w:trPr>
          <w:trHeight w:val="250"/>
        </w:trPr>
        <w:tc>
          <w:tcPr>
            <w:tcW w:w="3174" w:type="dxa"/>
            <w:gridSpan w:val="2"/>
            <w:shd w:val="clear" w:color="auto" w:fill="auto"/>
          </w:tcPr>
          <w:p w:rsidR="00140CB5" w:rsidRDefault="00140CB5">
            <w:pPr>
              <w:pStyle w:val="Tabulka"/>
              <w:snapToGrid w:val="0"/>
              <w:rPr>
                <w:szCs w:val="18"/>
              </w:rPr>
            </w:pPr>
          </w:p>
        </w:tc>
        <w:tc>
          <w:tcPr>
            <w:tcW w:w="1620" w:type="dxa"/>
            <w:shd w:val="clear" w:color="auto" w:fill="auto"/>
          </w:tcPr>
          <w:p w:rsidR="00140CB5" w:rsidRDefault="00140CB5">
            <w:pPr>
              <w:pStyle w:val="Tabulka"/>
              <w:snapToGrid w:val="0"/>
              <w:jc w:val="center"/>
              <w:rPr>
                <w:szCs w:val="18"/>
              </w:rPr>
            </w:pPr>
            <w:r>
              <w:rPr>
                <w:szCs w:val="18"/>
              </w:rPr>
              <w:t>predpokladaná</w:t>
            </w:r>
          </w:p>
        </w:tc>
        <w:tc>
          <w:tcPr>
            <w:tcW w:w="141" w:type="dxa"/>
            <w:shd w:val="clear" w:color="auto" w:fill="auto"/>
          </w:tcPr>
          <w:p w:rsidR="00140CB5" w:rsidRDefault="00140CB5">
            <w:pPr>
              <w:pStyle w:val="Tabulka"/>
              <w:snapToGrid w:val="0"/>
              <w:jc w:val="center"/>
              <w:rPr>
                <w:szCs w:val="18"/>
              </w:rPr>
            </w:pPr>
          </w:p>
        </w:tc>
        <w:tc>
          <w:tcPr>
            <w:tcW w:w="1479" w:type="dxa"/>
            <w:shd w:val="clear" w:color="auto" w:fill="auto"/>
          </w:tcPr>
          <w:p w:rsidR="00140CB5" w:rsidRDefault="00140CB5">
            <w:pPr>
              <w:pStyle w:val="Tabulka"/>
              <w:snapToGrid w:val="0"/>
              <w:jc w:val="center"/>
              <w:rPr>
                <w:szCs w:val="18"/>
              </w:rPr>
            </w:pPr>
            <w:r>
              <w:rPr>
                <w:szCs w:val="18"/>
              </w:rPr>
              <w:t>metóda</w:t>
            </w:r>
          </w:p>
        </w:tc>
        <w:tc>
          <w:tcPr>
            <w:tcW w:w="142" w:type="dxa"/>
            <w:shd w:val="clear" w:color="auto" w:fill="auto"/>
          </w:tcPr>
          <w:p w:rsidR="00140CB5" w:rsidRDefault="00140CB5">
            <w:pPr>
              <w:pStyle w:val="Tabulka"/>
              <w:snapToGrid w:val="0"/>
              <w:jc w:val="center"/>
              <w:rPr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140CB5" w:rsidRDefault="00140CB5">
            <w:pPr>
              <w:pStyle w:val="Tabulka"/>
              <w:snapToGrid w:val="0"/>
              <w:jc w:val="center"/>
            </w:pPr>
            <w:r>
              <w:rPr>
                <w:szCs w:val="18"/>
              </w:rPr>
              <w:t>ročná odpisová</w:t>
            </w:r>
          </w:p>
        </w:tc>
      </w:tr>
      <w:tr w:rsidR="00140CB5">
        <w:trPr>
          <w:trHeight w:val="250"/>
        </w:trPr>
        <w:tc>
          <w:tcPr>
            <w:tcW w:w="2976" w:type="dxa"/>
            <w:tcBorders>
              <w:bottom w:val="single" w:sz="4" w:space="0" w:color="000000"/>
            </w:tcBorders>
            <w:shd w:val="clear" w:color="auto" w:fill="auto"/>
          </w:tcPr>
          <w:p w:rsidR="00140CB5" w:rsidRDefault="00140CB5">
            <w:pPr>
              <w:pStyle w:val="Tabulka"/>
              <w:snapToGrid w:val="0"/>
              <w:rPr>
                <w:szCs w:val="18"/>
              </w:rPr>
            </w:pPr>
          </w:p>
        </w:tc>
        <w:tc>
          <w:tcPr>
            <w:tcW w:w="198" w:type="dxa"/>
            <w:shd w:val="clear" w:color="auto" w:fill="auto"/>
          </w:tcPr>
          <w:p w:rsidR="00140CB5" w:rsidRDefault="00140CB5">
            <w:pPr>
              <w:pStyle w:val="Tabulka"/>
              <w:snapToGrid w:val="0"/>
              <w:rPr>
                <w:szCs w:val="18"/>
              </w:rPr>
            </w:pPr>
          </w:p>
        </w:tc>
        <w:tc>
          <w:tcPr>
            <w:tcW w:w="1620" w:type="dxa"/>
            <w:tcBorders>
              <w:bottom w:val="single" w:sz="4" w:space="0" w:color="000000"/>
            </w:tcBorders>
            <w:shd w:val="clear" w:color="auto" w:fill="auto"/>
          </w:tcPr>
          <w:p w:rsidR="00140CB5" w:rsidRDefault="00140CB5">
            <w:pPr>
              <w:pStyle w:val="Tabulka"/>
              <w:snapToGrid w:val="0"/>
              <w:jc w:val="center"/>
              <w:rPr>
                <w:szCs w:val="18"/>
              </w:rPr>
            </w:pPr>
            <w:r>
              <w:rPr>
                <w:szCs w:val="18"/>
              </w:rPr>
              <w:t>doba používania</w:t>
            </w:r>
          </w:p>
        </w:tc>
        <w:tc>
          <w:tcPr>
            <w:tcW w:w="141" w:type="dxa"/>
            <w:shd w:val="clear" w:color="auto" w:fill="auto"/>
          </w:tcPr>
          <w:p w:rsidR="00140CB5" w:rsidRDefault="00140CB5">
            <w:pPr>
              <w:pStyle w:val="Tabulka"/>
              <w:snapToGrid w:val="0"/>
              <w:jc w:val="center"/>
              <w:rPr>
                <w:szCs w:val="18"/>
              </w:rPr>
            </w:pPr>
          </w:p>
        </w:tc>
        <w:tc>
          <w:tcPr>
            <w:tcW w:w="1479" w:type="dxa"/>
            <w:tcBorders>
              <w:bottom w:val="single" w:sz="4" w:space="0" w:color="000000"/>
            </w:tcBorders>
            <w:shd w:val="clear" w:color="auto" w:fill="auto"/>
          </w:tcPr>
          <w:p w:rsidR="00140CB5" w:rsidRDefault="00140CB5">
            <w:pPr>
              <w:pStyle w:val="Tabulka"/>
              <w:snapToGrid w:val="0"/>
              <w:jc w:val="center"/>
              <w:rPr>
                <w:szCs w:val="18"/>
              </w:rPr>
            </w:pPr>
            <w:r>
              <w:rPr>
                <w:szCs w:val="18"/>
              </w:rPr>
              <w:t>odpisovania</w:t>
            </w:r>
          </w:p>
        </w:tc>
        <w:tc>
          <w:tcPr>
            <w:tcW w:w="142" w:type="dxa"/>
            <w:shd w:val="clear" w:color="auto" w:fill="auto"/>
          </w:tcPr>
          <w:p w:rsidR="00140CB5" w:rsidRDefault="00140CB5">
            <w:pPr>
              <w:pStyle w:val="Tabulka"/>
              <w:snapToGrid w:val="0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auto"/>
          </w:tcPr>
          <w:p w:rsidR="00140CB5" w:rsidRDefault="00140CB5">
            <w:pPr>
              <w:pStyle w:val="Tabulka"/>
              <w:snapToGrid w:val="0"/>
              <w:jc w:val="center"/>
            </w:pPr>
            <w:r>
              <w:rPr>
                <w:szCs w:val="18"/>
              </w:rPr>
              <w:t>sadzba v %</w:t>
            </w:r>
          </w:p>
        </w:tc>
      </w:tr>
      <w:tr w:rsidR="00140CB5">
        <w:trPr>
          <w:trHeight w:val="250"/>
        </w:trPr>
        <w:tc>
          <w:tcPr>
            <w:tcW w:w="3174" w:type="dxa"/>
            <w:gridSpan w:val="2"/>
            <w:shd w:val="clear" w:color="auto" w:fill="auto"/>
          </w:tcPr>
          <w:p w:rsidR="00140CB5" w:rsidRDefault="00140CB5">
            <w:pPr>
              <w:pStyle w:val="Tabulka"/>
              <w:snapToGrid w:val="0"/>
              <w:rPr>
                <w:szCs w:val="18"/>
              </w:rPr>
            </w:pPr>
          </w:p>
        </w:tc>
        <w:tc>
          <w:tcPr>
            <w:tcW w:w="1620" w:type="dxa"/>
            <w:shd w:val="clear" w:color="auto" w:fill="auto"/>
          </w:tcPr>
          <w:p w:rsidR="00140CB5" w:rsidRDefault="00140CB5">
            <w:pPr>
              <w:pStyle w:val="Tabulka"/>
              <w:snapToGrid w:val="0"/>
              <w:jc w:val="center"/>
              <w:rPr>
                <w:szCs w:val="18"/>
              </w:rPr>
            </w:pPr>
          </w:p>
        </w:tc>
        <w:tc>
          <w:tcPr>
            <w:tcW w:w="141" w:type="dxa"/>
            <w:shd w:val="clear" w:color="auto" w:fill="auto"/>
          </w:tcPr>
          <w:p w:rsidR="00140CB5" w:rsidRDefault="00140CB5">
            <w:pPr>
              <w:pStyle w:val="Tabulka"/>
              <w:snapToGrid w:val="0"/>
              <w:jc w:val="center"/>
              <w:rPr>
                <w:szCs w:val="18"/>
              </w:rPr>
            </w:pPr>
          </w:p>
        </w:tc>
        <w:tc>
          <w:tcPr>
            <w:tcW w:w="1479" w:type="dxa"/>
            <w:shd w:val="clear" w:color="auto" w:fill="auto"/>
          </w:tcPr>
          <w:p w:rsidR="00140CB5" w:rsidRDefault="00140CB5">
            <w:pPr>
              <w:pStyle w:val="Tabulka"/>
              <w:snapToGrid w:val="0"/>
              <w:jc w:val="center"/>
              <w:rPr>
                <w:szCs w:val="18"/>
              </w:rPr>
            </w:pPr>
          </w:p>
        </w:tc>
        <w:tc>
          <w:tcPr>
            <w:tcW w:w="142" w:type="dxa"/>
            <w:shd w:val="clear" w:color="auto" w:fill="auto"/>
          </w:tcPr>
          <w:p w:rsidR="00140CB5" w:rsidRDefault="00140CB5">
            <w:pPr>
              <w:pStyle w:val="Tabulka"/>
              <w:snapToGrid w:val="0"/>
              <w:jc w:val="center"/>
              <w:rPr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140CB5" w:rsidRDefault="00140CB5">
            <w:pPr>
              <w:pStyle w:val="Tabulka"/>
              <w:snapToGrid w:val="0"/>
              <w:jc w:val="center"/>
              <w:rPr>
                <w:szCs w:val="18"/>
              </w:rPr>
            </w:pPr>
          </w:p>
        </w:tc>
      </w:tr>
    </w:tbl>
    <w:p w:rsidR="00140CB5" w:rsidRDefault="00140CB5">
      <w:pPr>
        <w:pStyle w:val="Pismenka"/>
        <w:tabs>
          <w:tab w:val="clear" w:pos="426"/>
        </w:tabs>
      </w:pPr>
    </w:p>
    <w:p w:rsidR="00140CB5" w:rsidRDefault="00140CB5">
      <w:pPr>
        <w:pStyle w:val="Pismenka"/>
        <w:tabs>
          <w:tab w:val="clear" w:pos="426"/>
        </w:tabs>
        <w:rPr>
          <w:szCs w:val="18"/>
        </w:rPr>
      </w:pPr>
    </w:p>
    <w:p w:rsidR="00140CB5" w:rsidRDefault="00140CB5">
      <w:pPr>
        <w:pStyle w:val="Pismenka"/>
        <w:numPr>
          <w:ilvl w:val="0"/>
          <w:numId w:val="3"/>
        </w:numPr>
      </w:pPr>
      <w:r>
        <w:rPr>
          <w:szCs w:val="18"/>
        </w:rPr>
        <w:t>Zásoby</w:t>
      </w:r>
    </w:p>
    <w:p w:rsidR="00140CB5" w:rsidRDefault="00140CB5">
      <w:pPr>
        <w:pStyle w:val="Zkladntext"/>
      </w:pPr>
      <w:r>
        <w:t>Nakupované zásoby sa oceňujú obstarávacou cenou, ktorá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140CB5" w:rsidRDefault="00140CB5">
      <w:pPr>
        <w:pStyle w:val="Zkladntext"/>
      </w:pPr>
    </w:p>
    <w:p w:rsidR="00140CB5" w:rsidRDefault="00140CB5">
      <w:pPr>
        <w:pStyle w:val="Zkladntext"/>
        <w:rPr>
          <w:szCs w:val="18"/>
        </w:rPr>
      </w:pPr>
      <w:r>
        <w:t>Toto ocenenie sa upravuje o zníženie hodnoty zásob.</w:t>
      </w:r>
    </w:p>
    <w:p w:rsidR="00140CB5" w:rsidRDefault="00140CB5">
      <w:pPr>
        <w:pStyle w:val="Zkladntext"/>
        <w:ind w:left="450"/>
        <w:rPr>
          <w:szCs w:val="18"/>
        </w:rPr>
      </w:pPr>
    </w:p>
    <w:p w:rsidR="00140CB5" w:rsidRDefault="00140CB5">
      <w:pPr>
        <w:pStyle w:val="Pismenka"/>
        <w:numPr>
          <w:ilvl w:val="0"/>
          <w:numId w:val="3"/>
        </w:numPr>
        <w:rPr>
          <w:szCs w:val="18"/>
        </w:rPr>
      </w:pPr>
      <w:r>
        <w:rPr>
          <w:szCs w:val="18"/>
        </w:rPr>
        <w:t>Pohľadávky</w:t>
      </w:r>
    </w:p>
    <w:p w:rsidR="00140CB5" w:rsidRDefault="00140CB5">
      <w:pPr>
        <w:pStyle w:val="Zkladntext"/>
        <w:rPr>
          <w:szCs w:val="18"/>
        </w:rPr>
      </w:pPr>
      <w:r>
        <w:rPr>
          <w:szCs w:val="18"/>
        </w:rPr>
        <w:t>Pohľadávky pri ich vzniku sa oceňujú ich menovitou hodnotou.</w:t>
      </w:r>
    </w:p>
    <w:p w:rsidR="00140CB5" w:rsidRDefault="00140CB5">
      <w:pPr>
        <w:pStyle w:val="Zkladntext"/>
        <w:rPr>
          <w:szCs w:val="18"/>
        </w:rPr>
      </w:pPr>
    </w:p>
    <w:p w:rsidR="00140CB5" w:rsidRDefault="00140CB5">
      <w:pPr>
        <w:pStyle w:val="Pismenka"/>
        <w:numPr>
          <w:ilvl w:val="0"/>
          <w:numId w:val="3"/>
        </w:numPr>
        <w:rPr>
          <w:szCs w:val="18"/>
        </w:rPr>
      </w:pPr>
      <w:r>
        <w:rPr>
          <w:szCs w:val="18"/>
        </w:rPr>
        <w:t>Peňažné prostriedky a ceniny</w:t>
      </w:r>
    </w:p>
    <w:p w:rsidR="00140CB5" w:rsidRDefault="00140CB5">
      <w:pPr>
        <w:pStyle w:val="Zkladntext"/>
        <w:rPr>
          <w:szCs w:val="18"/>
        </w:rPr>
      </w:pPr>
      <w:r>
        <w:rPr>
          <w:szCs w:val="18"/>
        </w:rPr>
        <w:t>Peňažné prostriedky a ceniny sa oceňujú ich menovitou hodnotou. Zníženie ich hodnoty sa vyjadruje opravnou položkou.</w:t>
      </w:r>
    </w:p>
    <w:p w:rsidR="00140CB5" w:rsidRDefault="00140CB5">
      <w:pPr>
        <w:pStyle w:val="Zkladntext"/>
        <w:rPr>
          <w:szCs w:val="18"/>
        </w:rPr>
      </w:pPr>
    </w:p>
    <w:p w:rsidR="00140CB5" w:rsidRDefault="00140CB5">
      <w:pPr>
        <w:pStyle w:val="Pismenka"/>
        <w:numPr>
          <w:ilvl w:val="0"/>
          <w:numId w:val="3"/>
        </w:numPr>
        <w:rPr>
          <w:szCs w:val="18"/>
        </w:rPr>
      </w:pPr>
      <w:r>
        <w:rPr>
          <w:szCs w:val="18"/>
        </w:rPr>
        <w:t>Náklady budúcich období a príjmy budúcich období</w:t>
      </w:r>
    </w:p>
    <w:p w:rsidR="00140CB5" w:rsidRDefault="00140CB5">
      <w:pPr>
        <w:pStyle w:val="Zkladntext"/>
        <w:rPr>
          <w:szCs w:val="18"/>
        </w:rPr>
      </w:pPr>
      <w:r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140CB5" w:rsidRDefault="00140CB5">
      <w:pPr>
        <w:pStyle w:val="Zkladntext"/>
        <w:rPr>
          <w:szCs w:val="18"/>
        </w:rPr>
      </w:pPr>
    </w:p>
    <w:p w:rsidR="00140CB5" w:rsidRDefault="00140CB5">
      <w:pPr>
        <w:pStyle w:val="Pismenka"/>
        <w:numPr>
          <w:ilvl w:val="0"/>
          <w:numId w:val="3"/>
        </w:numPr>
        <w:rPr>
          <w:szCs w:val="18"/>
        </w:rPr>
      </w:pPr>
      <w:r>
        <w:rPr>
          <w:szCs w:val="18"/>
        </w:rPr>
        <w:t>Rezervy</w:t>
      </w:r>
    </w:p>
    <w:p w:rsidR="00140CB5" w:rsidRDefault="00140CB5">
      <w:pPr>
        <w:pStyle w:val="Zkladntext"/>
        <w:rPr>
          <w:szCs w:val="18"/>
        </w:rPr>
      </w:pPr>
      <w:r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140CB5" w:rsidRDefault="00140CB5">
      <w:pPr>
        <w:pStyle w:val="Pismenka"/>
        <w:tabs>
          <w:tab w:val="clear" w:pos="426"/>
        </w:tabs>
        <w:rPr>
          <w:szCs w:val="18"/>
        </w:rPr>
      </w:pPr>
    </w:p>
    <w:p w:rsidR="00140CB5" w:rsidRDefault="00140CB5">
      <w:pPr>
        <w:pStyle w:val="Pismenka"/>
        <w:numPr>
          <w:ilvl w:val="0"/>
          <w:numId w:val="3"/>
        </w:numPr>
        <w:rPr>
          <w:szCs w:val="18"/>
        </w:rPr>
      </w:pPr>
      <w:r>
        <w:rPr>
          <w:szCs w:val="18"/>
        </w:rPr>
        <w:t>Záväzky</w:t>
      </w:r>
    </w:p>
    <w:p w:rsidR="00140CB5" w:rsidRDefault="00140CB5">
      <w:pPr>
        <w:pStyle w:val="Zkladntext"/>
        <w:rPr>
          <w:szCs w:val="18"/>
        </w:rPr>
      </w:pPr>
      <w:r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140CB5" w:rsidRDefault="00140CB5">
      <w:pPr>
        <w:pStyle w:val="Zkladntext"/>
        <w:rPr>
          <w:szCs w:val="18"/>
        </w:rPr>
      </w:pPr>
    </w:p>
    <w:p w:rsidR="00140CB5" w:rsidRDefault="00140CB5">
      <w:pPr>
        <w:pStyle w:val="Pismenka"/>
        <w:numPr>
          <w:ilvl w:val="0"/>
          <w:numId w:val="3"/>
        </w:numPr>
        <w:rPr>
          <w:szCs w:val="18"/>
        </w:rPr>
      </w:pPr>
      <w:r>
        <w:rPr>
          <w:szCs w:val="18"/>
        </w:rPr>
        <w:t>Výdavky budúcich období a výnosy budúcich období</w:t>
      </w:r>
    </w:p>
    <w:p w:rsidR="00140CB5" w:rsidRDefault="00140CB5">
      <w:pPr>
        <w:pStyle w:val="Zkladntext"/>
        <w:rPr>
          <w:szCs w:val="18"/>
        </w:rPr>
      </w:pPr>
      <w:r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140CB5" w:rsidRDefault="00140CB5">
      <w:pPr>
        <w:pStyle w:val="Zkladntext"/>
        <w:rPr>
          <w:szCs w:val="18"/>
        </w:rPr>
      </w:pPr>
    </w:p>
    <w:p w:rsidR="00140CB5" w:rsidRDefault="00140CB5">
      <w:pPr>
        <w:pStyle w:val="Pismenka"/>
        <w:numPr>
          <w:ilvl w:val="0"/>
          <w:numId w:val="3"/>
        </w:numPr>
        <w:rPr>
          <w:szCs w:val="18"/>
        </w:rPr>
      </w:pPr>
      <w:r>
        <w:rPr>
          <w:szCs w:val="18"/>
        </w:rPr>
        <w:t>Cudzia mena</w:t>
      </w:r>
    </w:p>
    <w:p w:rsidR="00140CB5" w:rsidRDefault="00140CB5">
      <w:pPr>
        <w:pStyle w:val="Zkladntext"/>
        <w:rPr>
          <w:sz w:val="20"/>
        </w:rPr>
      </w:pPr>
      <w:r>
        <w:rPr>
          <w:szCs w:val="18"/>
        </w:rPr>
        <w:t>Majetok a záväzky vyjadrené v cudzej mene sa prepočítavajú na slovenskú menu kurzom určeným v kurzovom lístku Národnej banky Slovenska platným ku dňu uskutočnenia účtovného prípadu a v účtovnej závierke kurzom platným ku dňu, ku ktorému sa zostavuje, a účtujú sa s vplyvom na výsledok hospodárenia.</w:t>
      </w:r>
    </w:p>
    <w:p w:rsidR="00140CB5" w:rsidRDefault="00140CB5">
      <w:pPr>
        <w:ind w:left="299" w:hanging="100"/>
        <w:jc w:val="both"/>
        <w:rPr>
          <w:sz w:val="20"/>
          <w:szCs w:val="20"/>
        </w:rPr>
      </w:pPr>
    </w:p>
    <w:p w:rsidR="00140CB5" w:rsidRDefault="00140CB5">
      <w:pPr>
        <w:ind w:left="299" w:hanging="100"/>
        <w:jc w:val="both"/>
        <w:rPr>
          <w:sz w:val="18"/>
          <w:szCs w:val="18"/>
        </w:rPr>
      </w:pPr>
      <w:r>
        <w:rPr>
          <w:sz w:val="20"/>
          <w:szCs w:val="20"/>
          <w:lang w:val="cs-CZ"/>
        </w:rPr>
        <w:t>(k</w:t>
      </w:r>
      <w:r>
        <w:rPr>
          <w:sz w:val="18"/>
          <w:szCs w:val="18"/>
        </w:rPr>
        <w:t xml:space="preserve">)     Účtovná jednotka nevytvorila kapitálový fond z príspevkov § 123 ods. 2 a 217a Obchodného zákonníka v znení  </w:t>
      </w:r>
    </w:p>
    <w:p w:rsidR="00140CB5" w:rsidRDefault="00140CB5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         neskorších predpisov.</w:t>
      </w:r>
    </w:p>
    <w:p w:rsidR="00140CB5" w:rsidRDefault="00140CB5">
      <w:pPr>
        <w:jc w:val="both"/>
        <w:rPr>
          <w:sz w:val="18"/>
          <w:szCs w:val="18"/>
        </w:rPr>
      </w:pPr>
    </w:p>
    <w:p w:rsidR="00140CB5" w:rsidRDefault="00140CB5">
      <w:pPr>
        <w:pStyle w:val="Zkladntext"/>
        <w:rPr>
          <w:szCs w:val="18"/>
        </w:rPr>
      </w:pPr>
    </w:p>
    <w:p w:rsidR="00140CB5" w:rsidRDefault="00140CB5">
      <w:pPr>
        <w:pStyle w:val="Zkladntext"/>
        <w:ind w:left="0"/>
        <w:rPr>
          <w:szCs w:val="18"/>
        </w:rPr>
      </w:pPr>
    </w:p>
    <w:p w:rsidR="00140CB5" w:rsidRDefault="00140CB5">
      <w:pPr>
        <w:ind w:left="360"/>
        <w:rPr>
          <w:sz w:val="18"/>
          <w:szCs w:val="18"/>
        </w:rPr>
      </w:pPr>
    </w:p>
    <w:p w:rsidR="00140CB5" w:rsidRDefault="00140CB5">
      <w:pPr>
        <w:ind w:left="360"/>
        <w:rPr>
          <w:sz w:val="18"/>
          <w:szCs w:val="18"/>
        </w:rPr>
      </w:pPr>
    </w:p>
    <w:p w:rsidR="00140CB5" w:rsidRDefault="00140CB5">
      <w:pPr>
        <w:ind w:left="360"/>
      </w:pPr>
    </w:p>
    <w:sectPr w:rsidR="00140CB5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701" w:right="1418" w:bottom="1701" w:left="1701" w:header="709" w:footer="709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E2A43" w:rsidRDefault="003E2A43">
      <w:r>
        <w:separator/>
      </w:r>
    </w:p>
  </w:endnote>
  <w:endnote w:type="continuationSeparator" w:id="0">
    <w:p w:rsidR="003E2A43" w:rsidRDefault="003E2A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Palatino">
    <w:altName w:val="Book Antiqua"/>
    <w:charset w:val="EE"/>
    <w:family w:val="roman"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0CB5" w:rsidRDefault="00140CB5"/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0CB5" w:rsidRDefault="002538D2">
    <w:pPr>
      <w:pStyle w:val="Zpat"/>
      <w:tabs>
        <w:tab w:val="right" w:pos="8820"/>
      </w:tabs>
      <w:ind w:right="360"/>
      <w:rPr>
        <w:u w:val="single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7728" behindDoc="0" locked="0" layoutInCell="1" allowOverlap="1">
              <wp:simplePos x="0" y="0"/>
              <wp:positionH relativeFrom="page">
                <wp:posOffset>6608445</wp:posOffset>
              </wp:positionH>
              <wp:positionV relativeFrom="paragraph">
                <wp:posOffset>635</wp:posOffset>
              </wp:positionV>
              <wp:extent cx="332105" cy="128270"/>
              <wp:effectExtent l="7620" t="635" r="3175" b="4445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2105" cy="12827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40CB5" w:rsidRDefault="00140CB5">
                          <w:pPr>
                            <w:pStyle w:val="Zpat"/>
                          </w:pPr>
                          <w:r>
                            <w:rPr>
                              <w:sz w:val="16"/>
                              <w:szCs w:val="16"/>
                            </w:rPr>
                            <w:fldChar w:fldCharType="begin"/>
                          </w:r>
                          <w:r>
                            <w:rPr>
                              <w:sz w:val="16"/>
                              <w:szCs w:val="16"/>
                            </w:rPr>
                            <w:instrText xml:space="preserve"> PAGE </w:instrText>
                          </w:r>
                          <w:r>
                            <w:rPr>
                              <w:sz w:val="16"/>
                              <w:szCs w:val="16"/>
                            </w:rPr>
                            <w:fldChar w:fldCharType="separate"/>
                          </w:r>
                          <w:r w:rsidR="00015737">
                            <w:rPr>
                              <w:noProof/>
                              <w:sz w:val="16"/>
                              <w:szCs w:val="16"/>
                            </w:rPr>
                            <w:t>2</w:t>
                          </w:r>
                          <w:r>
                            <w:rPr>
                              <w:sz w:val="16"/>
                              <w:szCs w:val="16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20.35pt;margin-top:.05pt;width:26.15pt;height:10.1pt;z-index: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" stroked="f">
              <v:fill opacity="0"/>
              <v:textbox inset="0,0,0,0">
                <w:txbxContent>
                  <w:p w:rsidR="00140CB5" w:rsidRDefault="00140CB5">
                    <w:pPr>
                      <w:pStyle w:val="Zpat"/>
                    </w:pPr>
                    <w:r>
                      <w:rPr>
                        <w:sz w:val="16"/>
                        <w:szCs w:val="16"/>
                      </w:rPr>
                      <w:fldChar w:fldCharType="begin"/>
                    </w:r>
                    <w:r>
                      <w:rPr>
                        <w:sz w:val="16"/>
                        <w:szCs w:val="16"/>
                      </w:rPr>
                      <w:instrText xml:space="preserve"> PAGE </w:instrText>
                    </w:r>
                    <w:r>
                      <w:rPr>
                        <w:sz w:val="16"/>
                        <w:szCs w:val="16"/>
                      </w:rPr>
                      <w:fldChar w:fldCharType="separate"/>
                    </w:r>
                    <w:r w:rsidR="00015737">
                      <w:rPr>
                        <w:noProof/>
                        <w:sz w:val="16"/>
                        <w:szCs w:val="16"/>
                      </w:rPr>
                      <w:t>2</w:t>
                    </w:r>
                    <w:r>
                      <w:rPr>
                        <w:sz w:val="16"/>
                        <w:szCs w:val="16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  <w:r w:rsidR="00140CB5">
      <w:rPr>
        <w:sz w:val="16"/>
        <w:szCs w:val="16"/>
        <w:u w:val="single"/>
      </w:rPr>
      <w:tab/>
    </w:r>
    <w:r w:rsidR="00140CB5">
      <w:rPr>
        <w:sz w:val="16"/>
        <w:szCs w:val="16"/>
        <w:u w:val="single"/>
      </w:rPr>
      <w:tab/>
    </w:r>
  </w:p>
  <w:p w:rsidR="00140CB5" w:rsidRDefault="00140CB5">
    <w:pPr>
      <w:pStyle w:val="Zpat"/>
      <w:ind w:right="360"/>
      <w:rPr>
        <w:u w:val="singl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0CB5" w:rsidRDefault="00140CB5"/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E2A43" w:rsidRDefault="003E2A43">
      <w:r>
        <w:separator/>
      </w:r>
    </w:p>
  </w:footnote>
  <w:footnote w:type="continuationSeparator" w:id="0">
    <w:p w:rsidR="003E2A43" w:rsidRDefault="003E2A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0CB5" w:rsidRDefault="00140CB5">
    <w:pPr>
      <w:pStyle w:val="Zhlav"/>
    </w:pPr>
    <w:r>
      <w:rPr>
        <w:sz w:val="18"/>
        <w:szCs w:val="18"/>
      </w:rPr>
      <w:tab/>
    </w:r>
    <w:r>
      <w:rPr>
        <w:sz w:val="18"/>
        <w:szCs w:val="18"/>
        <w:lang w:val="cs-CZ"/>
      </w:rPr>
      <w:t>IQ Nitra</w:t>
    </w:r>
    <w:r>
      <w:rPr>
        <w:sz w:val="18"/>
        <w:szCs w:val="18"/>
      </w:rPr>
      <w:t xml:space="preserve"> – občianske združenie</w:t>
    </w:r>
    <w:r>
      <w:rPr>
        <w:sz w:val="18"/>
        <w:szCs w:val="18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0CB5" w:rsidRDefault="00140CB5"/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upperLetter"/>
      <w:pStyle w:val="Nadpis1"/>
      <w:lvlText w:val="%1.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/>
        <w:color w:val="000000"/>
        <w:sz w:val="18"/>
        <w:szCs w:val="18"/>
        <w:shd w:val="clear" w:color="auto" w:fill="FFFFFF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3"/>
    <w:lvl w:ilvl="0">
      <w:start w:val="85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hAnsi="Times New Roman"/>
        <w:color w:val="000000"/>
        <w:sz w:val="18"/>
        <w:szCs w:val="18"/>
        <w:shd w:val="clear" w:color="auto" w:fill="FFFFFF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1"/>
      <w:numFmt w:val="lowerLetter"/>
      <w:lvlText w:val="(%1)"/>
      <w:lvlJc w:val="left"/>
      <w:pPr>
        <w:tabs>
          <w:tab w:val="num" w:pos="0"/>
        </w:tabs>
        <w:ind w:left="360" w:hanging="360"/>
      </w:pPr>
    </w:lvl>
  </w:abstractNum>
  <w:abstractNum w:abstractNumId="3" w15:restartNumberingAfterBreak="0">
    <w:nsid w:val="00000004"/>
    <w:multiLevelType w:val="multilevel"/>
    <w:tmpl w:val="00000004"/>
    <w:name w:val="WW8Num5"/>
    <w:lvl w:ilvl="0">
      <w:start w:val="1"/>
      <w:numFmt w:val="decimal"/>
      <w:pStyle w:val="Nadpis2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7542"/>
    <w:rsid w:val="00015737"/>
    <w:rsid w:val="00140CB5"/>
    <w:rsid w:val="002538D2"/>
    <w:rsid w:val="003E2A43"/>
    <w:rsid w:val="00437542"/>
    <w:rsid w:val="007C79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0005955B"/>
  <w15:chartTrackingRefBased/>
  <w15:docId w15:val="{9C2BB4D1-3789-4591-B8BF-FD2B0B915D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pPr>
      <w:widowControl w:val="0"/>
      <w:suppressAutoHyphens/>
    </w:pPr>
    <w:rPr>
      <w:rFonts w:eastAsia="SimSun"/>
      <w:sz w:val="24"/>
      <w:szCs w:val="24"/>
      <w:lang w:eastAsia="ar-SA"/>
    </w:rPr>
  </w:style>
  <w:style w:type="paragraph" w:styleId="Nadpis1">
    <w:name w:val="heading 1"/>
    <w:basedOn w:val="Normln"/>
    <w:next w:val="Normln"/>
    <w:qFormat/>
    <w:pPr>
      <w:keepNext/>
      <w:numPr>
        <w:numId w:val="1"/>
      </w:numPr>
      <w:tabs>
        <w:tab w:val="left" w:pos="360"/>
      </w:tabs>
      <w:spacing w:before="120" w:after="60"/>
      <w:ind w:left="357" w:hanging="357"/>
      <w:outlineLvl w:val="0"/>
    </w:pPr>
    <w:rPr>
      <w:b/>
      <w:caps/>
      <w:sz w:val="18"/>
      <w:szCs w:val="20"/>
    </w:rPr>
  </w:style>
  <w:style w:type="paragraph" w:styleId="Nadpis2">
    <w:name w:val="heading 2"/>
    <w:basedOn w:val="Normln"/>
    <w:next w:val="Normln"/>
    <w:qFormat/>
    <w:pPr>
      <w:keepNext/>
      <w:numPr>
        <w:numId w:val="4"/>
      </w:numPr>
      <w:tabs>
        <w:tab w:val="left" w:pos="360"/>
      </w:tabs>
      <w:outlineLvl w:val="1"/>
    </w:pPr>
    <w:rPr>
      <w:b/>
      <w:sz w:val="18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/>
    </w:rPr>
  </w:style>
  <w:style w:type="character" w:customStyle="1" w:styleId="WW8Num1z1">
    <w:name w:val="WW8Num1z1"/>
    <w:rPr>
      <w:rFonts w:ascii="Courier New" w:hAnsi="Courier New" w:cs="Courier New"/>
    </w:rPr>
  </w:style>
  <w:style w:type="character" w:customStyle="1" w:styleId="WW8Num1z2">
    <w:name w:val="WW8Num1z2"/>
    <w:rPr>
      <w:rFonts w:ascii="Wingdings" w:hAnsi="Wingdings" w:cs="Wingdings"/>
    </w:rPr>
  </w:style>
  <w:style w:type="character" w:customStyle="1" w:styleId="WW8Num1z3">
    <w:name w:val="WW8Num1z3"/>
    <w:rPr>
      <w:rFonts w:ascii="Symbol" w:hAnsi="Symbol" w:cs="Symbol"/>
    </w:rPr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/>
      <w:color w:val="000000"/>
      <w:sz w:val="18"/>
      <w:szCs w:val="18"/>
      <w:shd w:val="clear" w:color="auto" w:fill="FFFFFF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2">
    <w:name w:val="WW8Num2z2"/>
    <w:rPr>
      <w:rFonts w:ascii="Wingdings" w:hAnsi="Wingdings" w:cs="Wingdings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color w:val="000000"/>
      <w:sz w:val="18"/>
      <w:szCs w:val="18"/>
      <w:shd w:val="clear" w:color="auto" w:fill="FFFFFF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 w:cs="Wingdings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Standardnpsmoodstavce1">
    <w:name w:val="Standardní písmo odstavce1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Standardnpsmoodstavce2">
    <w:name w:val="Standardní písmo odstavce2"/>
  </w:style>
  <w:style w:type="character" w:styleId="slostrnky">
    <w:name w:val="page number"/>
    <w:basedOn w:val="Standardnpsmoodstavce2"/>
  </w:style>
  <w:style w:type="character" w:customStyle="1" w:styleId="CommentReference">
    <w:name w:val="Comment Reference"/>
    <w:rPr>
      <w:sz w:val="16"/>
      <w:szCs w:val="16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hAnsi="Arial" w:cs="Lucida Sans"/>
      <w:sz w:val="28"/>
      <w:szCs w:val="28"/>
    </w:rPr>
  </w:style>
  <w:style w:type="paragraph" w:styleId="Zkladntext">
    <w:name w:val="Body Text"/>
    <w:basedOn w:val="Normln"/>
    <w:pPr>
      <w:ind w:left="426"/>
      <w:jc w:val="both"/>
    </w:pPr>
    <w:rPr>
      <w:sz w:val="18"/>
      <w:szCs w:val="20"/>
    </w:rPr>
  </w:style>
  <w:style w:type="paragraph" w:styleId="Seznam">
    <w:name w:val="List"/>
    <w:basedOn w:val="Zkladntext"/>
    <w:rPr>
      <w:rFonts w:cs="Lucida Sans"/>
    </w:rPr>
  </w:style>
  <w:style w:type="paragraph" w:customStyle="1" w:styleId="Popisok">
    <w:name w:val="Popisok"/>
    <w:basedOn w:val="Normln"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ln"/>
    <w:pPr>
      <w:suppressLineNumbers/>
    </w:pPr>
    <w:rPr>
      <w:rFonts w:cs="Lucida Sans"/>
    </w:rPr>
  </w:style>
  <w:style w:type="paragraph" w:customStyle="1" w:styleId="Pismenka">
    <w:name w:val="Pismenka"/>
    <w:basedOn w:val="Zkladntext"/>
    <w:pPr>
      <w:tabs>
        <w:tab w:val="left" w:pos="426"/>
      </w:tabs>
      <w:ind w:hanging="426"/>
    </w:pPr>
    <w:rPr>
      <w:b/>
    </w:rPr>
  </w:style>
  <w:style w:type="paragraph" w:styleId="Zkladntextodsazen">
    <w:name w:val="Body Text Indent"/>
    <w:basedOn w:val="Normln"/>
    <w:pPr>
      <w:tabs>
        <w:tab w:val="left" w:pos="720"/>
        <w:tab w:val="left" w:pos="4680"/>
      </w:tabs>
      <w:spacing w:before="120"/>
      <w:ind w:left="720"/>
    </w:pPr>
  </w:style>
  <w:style w:type="paragraph" w:customStyle="1" w:styleId="CommentText">
    <w:name w:val="Comment Text"/>
    <w:basedOn w:val="Normln"/>
    <w:rPr>
      <w:sz w:val="20"/>
      <w:szCs w:val="20"/>
    </w:rPr>
  </w:style>
  <w:style w:type="paragraph" w:customStyle="1" w:styleId="Zkladntextodsazen21">
    <w:name w:val="Základní text odsazený 21"/>
    <w:basedOn w:val="Normln"/>
    <w:pPr>
      <w:tabs>
        <w:tab w:val="left" w:pos="720"/>
        <w:tab w:val="left" w:pos="4680"/>
      </w:tabs>
      <w:spacing w:before="120"/>
      <w:ind w:left="709"/>
    </w:pPr>
  </w:style>
  <w:style w:type="paragraph" w:customStyle="1" w:styleId="Zkladntext31">
    <w:name w:val="Základní text 31"/>
    <w:basedOn w:val="Normln"/>
    <w:pPr>
      <w:spacing w:after="120"/>
    </w:pPr>
    <w:rPr>
      <w:sz w:val="16"/>
      <w:szCs w:val="16"/>
    </w:rPr>
  </w:style>
  <w:style w:type="paragraph" w:customStyle="1" w:styleId="CommentSubject">
    <w:name w:val="Comment Subject"/>
    <w:basedOn w:val="CommentText"/>
    <w:next w:val="CommentText"/>
    <w:rPr>
      <w:b/>
      <w:bCs/>
    </w:rPr>
  </w:style>
  <w:style w:type="paragraph" w:customStyle="1" w:styleId="Textbubliny1">
    <w:name w:val="Text bubliny1"/>
    <w:basedOn w:val="Normln"/>
    <w:rPr>
      <w:rFonts w:ascii="Tahoma" w:hAnsi="Tahoma" w:cs="Tahoma"/>
      <w:sz w:val="16"/>
      <w:szCs w:val="16"/>
    </w:r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customStyle="1" w:styleId="Tabulka">
    <w:name w:val="Tabulka"/>
    <w:basedOn w:val="Normln"/>
    <w:rPr>
      <w:color w:val="000000"/>
    </w:rPr>
  </w:style>
  <w:style w:type="paragraph" w:customStyle="1" w:styleId="Texte">
    <w:name w:val="Texte"/>
    <w:basedOn w:val="Normln"/>
    <w:pPr>
      <w:spacing w:before="360"/>
      <w:jc w:val="both"/>
    </w:pPr>
    <w:rPr>
      <w:rFonts w:ascii="Palatino" w:hAnsi="Palatino" w:cs="Palatino"/>
      <w:szCs w:val="20"/>
      <w:lang w:val="en-GB"/>
    </w:rPr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718</Words>
  <Characters>4097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A)</vt:lpstr>
    </vt:vector>
  </TitlesOfParts>
  <Company/>
  <LinksUpToDate>false</LinksUpToDate>
  <CharactersWithSpaces>4806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MP</dc:creator>
  <cp:keywords/>
  <cp:lastModifiedBy>Admin</cp:lastModifiedBy>
  <cp:revision>4</cp:revision>
  <cp:lastPrinted>2019-03-11T07:29:00Z</cp:lastPrinted>
  <dcterms:created xsi:type="dcterms:W3CDTF">2023-03-23T11:41:00Z</dcterms:created>
  <dcterms:modified xsi:type="dcterms:W3CDTF">2026-03-29T18:28:00Z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1033-9.1.0.4759</vt:lpwstr>
  </property>
</Properties>
</file>