
<file path=[Content_Types].xml><?xml version="1.0" encoding="utf-8"?>
<Types xmlns="http://schemas.openxmlformats.org/package/2006/content-types">
  <Default Extension="fntdata" ContentType="application/x-fontdata"/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header3.xml" ContentType="application/vnd.openxmlformats-officedocument.wordprocessingml.header+xml"/>
  <Override PartName="/word/styles.xml" ContentType="application/vnd.openxmlformats-officedocument.wordprocessingml.styl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document.xml" ContentType="application/vnd.openxmlformats-officedocument.wordprocessingml.document.main+xml"/>
  <Override PartName="/word/footer3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fontTable.xml" ContentType="application/vnd.openxmlformats-officedocument.wordprocessingml.fontTable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docProps/custom.xml" ContentType="application/vnd.openxmlformats-officedocument.custom-properties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ListParagraph"/>
        <w:ind w:hanging="426" w:start="426"/>
        <w:jc w:val="both"/>
        <w:rPr>
          <w:rFonts w:ascii="Cambria" w:hAnsi="Cambria" w:cs="Arial" w:asciiTheme="majorHAnsi" w:hAnsiTheme="majorHAnsi"/>
          <w:b/>
          <w:sz w:val="24"/>
          <w:szCs w:val="24"/>
        </w:rPr>
      </w:pPr>
      <w:r>
        <w:rPr>
          <w:rFonts w:cs="Arial" w:ascii="Cambria" w:hAnsi="Cambria" w:asciiTheme="majorHAnsi" w:hAnsiTheme="majorHAnsi"/>
          <w:b/>
          <w:sz w:val="24"/>
          <w:szCs w:val="24"/>
        </w:rPr>
        <w:t>Článok I - Všeobecné informácie</w:t>
      </w:r>
    </w:p>
    <w:p>
      <w:pPr>
        <w:pStyle w:val="Normal"/>
        <w:spacing w:lineRule="auto" w:line="240" w:before="0" w:after="0"/>
        <w:ind w:hanging="426" w:start="426"/>
        <w:jc w:val="both"/>
        <w:rPr>
          <w:rFonts w:ascii="Cambria" w:hAnsi="Cambria" w:cs="Arial"/>
          <w:b/>
        </w:rPr>
      </w:pPr>
      <w:r>
        <w:rPr>
          <w:rFonts w:cs="Arial" w:ascii="Cambria" w:hAnsi="Cambria"/>
          <w:b/>
        </w:rPr>
        <w:t>I.1</w:t>
        <w:tab/>
        <w:t xml:space="preserve">Obchodné meno účtovnej jednotky:    Rehak interier s.r.o.  </w:t>
      </w:r>
    </w:p>
    <w:p>
      <w:pPr>
        <w:pStyle w:val="Normal"/>
        <w:spacing w:lineRule="auto" w:line="240" w:before="0" w:after="0"/>
        <w:ind w:hanging="426" w:start="426"/>
        <w:jc w:val="both"/>
        <w:rPr>
          <w:rFonts w:ascii="Cambria" w:hAnsi="Cambria" w:cs="Arial"/>
          <w:i/>
        </w:rPr>
      </w:pPr>
      <w:r>
        <w:rPr>
          <w:rFonts w:cs="Arial" w:ascii="Cambria" w:hAnsi="Cambria"/>
          <w:b/>
        </w:rPr>
        <w:t xml:space="preserve"> </w:t>
      </w:r>
    </w:p>
    <w:p>
      <w:pPr>
        <w:pStyle w:val="Normal"/>
        <w:spacing w:lineRule="auto" w:line="240" w:before="0" w:after="0"/>
        <w:ind w:hanging="426" w:start="426"/>
        <w:jc w:val="both"/>
        <w:rPr>
          <w:rFonts w:ascii="Cambria" w:hAnsi="Cambria" w:cs="Arial"/>
        </w:rPr>
      </w:pPr>
      <w:r>
        <w:rPr>
          <w:rFonts w:cs="Arial" w:ascii="Cambria" w:hAnsi="Cambria"/>
          <w:b/>
        </w:rPr>
        <w:tab/>
        <w:t>Sídlo účtovnej jednotky</w:t>
      </w:r>
      <w:r>
        <w:rPr>
          <w:rFonts w:cs="Arial" w:ascii="Cambria" w:hAnsi="Cambria"/>
        </w:rPr>
        <w:t xml:space="preserve">:          Orechová 17, 927 01  Šaľa </w:t>
      </w:r>
    </w:p>
    <w:p>
      <w:pPr>
        <w:pStyle w:val="Normal"/>
        <w:spacing w:lineRule="auto" w:line="240" w:before="0" w:after="0"/>
        <w:ind w:hanging="426" w:start="426"/>
        <w:jc w:val="both"/>
        <w:rPr>
          <w:rFonts w:ascii="Cambria" w:hAnsi="Cambria" w:cs="Arial"/>
          <w:i/>
        </w:rPr>
      </w:pPr>
      <w:r>
        <w:rPr>
          <w:rFonts w:cs="Arial" w:ascii="Cambria" w:hAnsi="Cambria"/>
          <w:i/>
        </w:rPr>
        <w:t xml:space="preserve"> </w:t>
      </w:r>
    </w:p>
    <w:p>
      <w:pPr>
        <w:pStyle w:val="Normal"/>
        <w:spacing w:lineRule="auto" w:line="240" w:before="0" w:after="0"/>
        <w:ind w:hanging="426" w:start="426"/>
        <w:jc w:val="both"/>
        <w:rPr>
          <w:rFonts w:ascii="Cambria" w:hAnsi="Cambria" w:cs="Arial"/>
          <w:b/>
        </w:rPr>
      </w:pPr>
      <w:r>
        <w:rPr>
          <w:rFonts w:cs="Arial" w:ascii="Cambria" w:hAnsi="Cambria"/>
          <w:b/>
        </w:rPr>
        <w:tab/>
        <w:t xml:space="preserve">Opis hospodárskej činnosti účtovnej jednotky:  </w:t>
      </w:r>
    </w:p>
    <w:p>
      <w:pPr>
        <w:pStyle w:val="ListParagraph"/>
        <w:numPr>
          <w:ilvl w:val="0"/>
          <w:numId w:val="1"/>
        </w:numPr>
        <w:spacing w:lineRule="auto" w:line="240" w:before="0" w:after="0"/>
        <w:contextualSpacing/>
        <w:jc w:val="both"/>
        <w:rPr>
          <w:rFonts w:ascii="Cambria" w:hAnsi="Cambria" w:cs="Arial"/>
          <w:b/>
        </w:rPr>
      </w:pPr>
      <w:r>
        <w:rPr>
          <w:rFonts w:cs="Arial" w:ascii="Cambria" w:hAnsi="Cambria"/>
        </w:rPr>
        <w:t>Veľkoobchod s kancelárskym nábytkom</w:t>
      </w:r>
    </w:p>
    <w:p>
      <w:pPr>
        <w:pStyle w:val="Normal"/>
        <w:spacing w:lineRule="auto" w:line="240" w:before="0" w:after="0"/>
        <w:jc w:val="both"/>
        <w:rPr>
          <w:rFonts w:ascii="Cambria" w:hAnsi="Cambria" w:cs="Arial"/>
          <w:b/>
          <w:sz w:val="20"/>
          <w:szCs w:val="20"/>
        </w:rPr>
      </w:pPr>
      <w:r>
        <w:rPr>
          <w:rFonts w:cs="Arial" w:ascii="Cambria" w:hAnsi="Cambria"/>
          <w:b/>
          <w:sz w:val="20"/>
          <w:szCs w:val="20"/>
        </w:rPr>
      </w:r>
    </w:p>
    <w:p>
      <w:pPr>
        <w:pStyle w:val="Normal"/>
        <w:spacing w:lineRule="auto" w:line="240" w:before="0" w:after="0"/>
        <w:jc w:val="both"/>
        <w:rPr>
          <w:rFonts w:ascii="Cambria" w:hAnsi="Cambria" w:cs="Arial"/>
          <w:b/>
        </w:rPr>
      </w:pPr>
      <w:r>
        <w:rPr>
          <w:rFonts w:cs="Arial" w:ascii="Cambria" w:hAnsi="Cambria"/>
          <w:b/>
        </w:rPr>
        <w:t>I.2</w:t>
        <w:tab/>
        <w:t>Dátum schválenia účtovnej závierky za bezprostredne predchádzajúce účtovné obdobie:</w:t>
      </w:r>
    </w:p>
    <w:p>
      <w:pPr>
        <w:pStyle w:val="Normal"/>
        <w:spacing w:lineRule="auto" w:line="240" w:before="0" w:after="0"/>
        <w:ind w:hanging="426" w:start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cs="Arial" w:ascii="Cambria" w:hAnsi="Cambria"/>
          <w:b/>
          <w:sz w:val="20"/>
          <w:szCs w:val="20"/>
        </w:rPr>
      </w:r>
    </w:p>
    <w:p>
      <w:pPr>
        <w:pStyle w:val="Normal"/>
        <w:spacing w:lineRule="auto" w:line="240" w:before="0" w:after="0"/>
        <w:ind w:hanging="426" w:start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cs="Arial" w:ascii="Cambria" w:hAnsi="Cambria"/>
          <w:b/>
          <w:sz w:val="20"/>
          <w:szCs w:val="20"/>
        </w:rPr>
        <w:t>01.04.2025</w:t>
      </w:r>
    </w:p>
    <w:p>
      <w:pPr>
        <w:pStyle w:val="Normal"/>
        <w:spacing w:lineRule="auto" w:line="240" w:before="0" w:after="0"/>
        <w:ind w:hanging="426" w:start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cs="Arial" w:ascii="Cambria" w:hAnsi="Cambria"/>
          <w:b/>
          <w:sz w:val="20"/>
          <w:szCs w:val="20"/>
        </w:rPr>
      </w:r>
    </w:p>
    <w:p>
      <w:pPr>
        <w:pStyle w:val="Normal"/>
        <w:spacing w:lineRule="auto" w:line="240" w:before="0" w:after="0"/>
        <w:ind w:hanging="426" w:start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cs="Arial" w:ascii="Cambria" w:hAnsi="Cambria"/>
          <w:b/>
          <w:sz w:val="20"/>
          <w:szCs w:val="20"/>
        </w:rPr>
        <w:t xml:space="preserve">Schvaľovací orgán (valné zhromaždenie, rozhodnutie jediného spoločníka, iné):  </w:t>
      </w:r>
    </w:p>
    <w:p>
      <w:pPr>
        <w:pStyle w:val="ListParagraph"/>
        <w:numPr>
          <w:ilvl w:val="0"/>
          <w:numId w:val="2"/>
        </w:numPr>
        <w:spacing w:lineRule="auto" w:line="240" w:before="0" w:after="0"/>
        <w:contextualSpacing/>
        <w:jc w:val="both"/>
        <w:rPr>
          <w:rFonts w:ascii="Cambria" w:hAnsi="Cambria" w:cs="Arial"/>
          <w:b/>
          <w:sz w:val="20"/>
          <w:szCs w:val="20"/>
        </w:rPr>
      </w:pPr>
      <w:r>
        <w:rPr>
          <w:rFonts w:cs="Arial" w:ascii="Cambria" w:hAnsi="Cambria"/>
          <w:b/>
          <w:sz w:val="20"/>
          <w:szCs w:val="20"/>
        </w:rPr>
        <w:t>rozhodnutie jediného spoločníka</w:t>
      </w:r>
    </w:p>
    <w:p>
      <w:pPr>
        <w:pStyle w:val="Normal"/>
        <w:spacing w:lineRule="auto" w:line="240" w:before="0" w:after="0"/>
        <w:jc w:val="both"/>
        <w:rPr>
          <w:rFonts w:ascii="Cambria" w:hAnsi="Cambria" w:cs="Arial"/>
          <w:b/>
          <w:sz w:val="20"/>
          <w:szCs w:val="20"/>
        </w:rPr>
      </w:pPr>
      <w:r>
        <w:rPr>
          <w:rFonts w:cs="Arial" w:ascii="Cambria" w:hAnsi="Cambria"/>
          <w:b/>
          <w:sz w:val="20"/>
          <w:szCs w:val="20"/>
        </w:rPr>
      </w:r>
    </w:p>
    <w:p>
      <w:pPr>
        <w:pStyle w:val="Normal"/>
        <w:spacing w:lineRule="auto" w:line="240" w:before="0" w:after="0"/>
        <w:ind w:hanging="426" w:start="426"/>
        <w:jc w:val="both"/>
        <w:rPr>
          <w:rFonts w:ascii="Cambria" w:hAnsi="Cambria" w:cs="Arial"/>
          <w:b/>
        </w:rPr>
      </w:pPr>
      <w:r>
        <w:rPr>
          <w:rFonts w:cs="Arial" w:ascii="Cambria" w:hAnsi="Cambria"/>
          <w:b/>
        </w:rPr>
        <w:t>I.3</w:t>
        <w:tab/>
        <w:t xml:space="preserve">Právny dôvod na zostavenie účtovnej závierky: </w:t>
      </w:r>
      <w:sdt>
        <w:sdtPr>
          <w:alias w:val="typ uzávierky"/>
          <w:tag w:val="vyberte"/>
          <w:id w:val="-957561797"/>
          <w:placeholder>
            <w:docPart w:val="2326857E561C487F8E25A83BAB96C947"/>
          </w:placeholder>
          <w:dropDownList>
            <w:listItem w:displayText="vyberte" w:value="vyberte"/>
            <w:listItem w:displayText="riadna" w:value="riadna"/>
            <w:listItem w:displayText="mimoriadna" w:value="mimoriadna"/>
          </w:dropDownList>
        </w:sdtPr>
        <w:sdtContent>
          <w:r>
            <w:rPr>
              <w:rFonts w:cs="Arial" w:ascii="Cambria" w:hAnsi="Cambria"/>
              <w:b/>
            </w:rPr>
          </w:r>
          <w:r>
            <w:rPr>
              <w:rFonts w:cs="Arial" w:ascii="Cambria" w:hAnsi="Cambria"/>
              <w:b/>
              <w:color w:val="00B050"/>
            </w:rPr>
            <w:t>riadna</w:t>
          </w:r>
        </w:sdtContent>
      </w:sdt>
    </w:p>
    <w:p>
      <w:pPr>
        <w:pStyle w:val="ListParagraph"/>
        <w:spacing w:lineRule="auto" w:line="240" w:before="0" w:after="0"/>
        <w:ind w:hanging="426" w:start="426"/>
        <w:contextualSpacing/>
        <w:jc w:val="both"/>
        <w:rPr>
          <w:rFonts w:ascii="Cambria" w:hAnsi="Cambria" w:cs="Arial"/>
          <w:b/>
          <w:sz w:val="20"/>
          <w:szCs w:val="20"/>
        </w:rPr>
      </w:pPr>
      <w:r>
        <w:rPr>
          <w:rFonts w:cs="Arial" w:ascii="Cambria" w:hAnsi="Cambria"/>
          <w:b/>
          <w:sz w:val="20"/>
          <w:szCs w:val="20"/>
        </w:rPr>
      </w:r>
    </w:p>
    <w:p>
      <w:pPr>
        <w:pStyle w:val="ListParagraph"/>
        <w:spacing w:lineRule="auto" w:line="240"/>
        <w:ind w:hanging="426" w:start="426"/>
        <w:jc w:val="both"/>
        <w:rPr>
          <w:rFonts w:ascii="Cambria" w:hAnsi="Cambria" w:cs="Arial"/>
          <w:sz w:val="20"/>
          <w:szCs w:val="20"/>
        </w:rPr>
      </w:pPr>
      <w:r>
        <w:rPr>
          <w:rFonts w:cs="Arial" w:ascii="Cambria" w:hAnsi="Cambria"/>
          <w:b/>
          <w:sz w:val="20"/>
          <w:szCs w:val="20"/>
        </w:rPr>
        <w:t>Dôvod na zostavenie mimoriadnej účtovnej závierky</w:t>
      </w:r>
    </w:p>
    <w:p>
      <w:pPr>
        <w:pStyle w:val="Normal"/>
        <w:spacing w:lineRule="auto" w:line="240" w:before="0" w:after="0"/>
        <w:ind w:hanging="426" w:start="426"/>
        <w:jc w:val="both"/>
        <w:rPr>
          <w:rFonts w:ascii="Cambria" w:hAnsi="Cambria" w:cs="Arial"/>
          <w:i/>
          <w:sz w:val="20"/>
          <w:szCs w:val="20"/>
        </w:rPr>
      </w:pPr>
      <w:r>
        <w:rPr>
          <w:rFonts w:cs="Arial" w:ascii="Cambria" w:hAnsi="Cambria"/>
          <w:i/>
          <w:sz w:val="20"/>
          <w:szCs w:val="20"/>
        </w:rPr>
        <w:t xml:space="preserve"> </w:t>
      </w:r>
    </w:p>
    <w:p>
      <w:pPr>
        <w:pStyle w:val="Normal"/>
        <w:spacing w:lineRule="auto" w:line="240" w:before="0" w:after="0"/>
        <w:jc w:val="both"/>
        <w:rPr>
          <w:rFonts w:ascii="Cambria" w:hAnsi="Cambria" w:cs="Arial"/>
          <w:sz w:val="20"/>
          <w:szCs w:val="20"/>
        </w:rPr>
      </w:pPr>
      <w:r>
        <w:rPr>
          <w:rFonts w:cs="Arial" w:ascii="Cambria" w:hAnsi="Cambria"/>
          <w:sz w:val="20"/>
          <w:szCs w:val="20"/>
        </w:rPr>
        <w:t xml:space="preserve">Účtovná závierka Spoločnosti k 31.12.2024 je zostavená ako riadna účtovná závierka podľa § 17 ods. 6 zákona č. 431/2002 Z. z. o účtovníctve v platnom znení (ďalej „zákon o účtovníctve“) za účtovné obdobie od 1.1.2025 do 31.12.2025. </w:t>
      </w:r>
    </w:p>
    <w:p>
      <w:pPr>
        <w:pStyle w:val="Normal"/>
        <w:spacing w:lineRule="auto" w:line="240" w:before="0" w:after="0"/>
        <w:jc w:val="both"/>
        <w:rPr>
          <w:rFonts w:ascii="Cambria" w:hAnsi="Cambria" w:cs="Arial"/>
          <w:sz w:val="20"/>
          <w:szCs w:val="20"/>
        </w:rPr>
      </w:pPr>
      <w:r>
        <w:rPr>
          <w:rFonts w:cs="Arial" w:ascii="Cambria" w:hAnsi="Cambria"/>
          <w:sz w:val="20"/>
          <w:szCs w:val="20"/>
        </w:rPr>
        <w:t xml:space="preserve"> </w:t>
      </w:r>
    </w:p>
    <w:p>
      <w:pPr>
        <w:pStyle w:val="Normal"/>
        <w:spacing w:lineRule="auto" w:line="240" w:before="0" w:after="0"/>
        <w:jc w:val="both"/>
        <w:rPr>
          <w:rFonts w:ascii="Cambria" w:hAnsi="Cambria" w:cs="Arial"/>
          <w:b/>
        </w:rPr>
      </w:pPr>
      <w:r>
        <w:rPr>
          <w:rFonts w:cs="Arial" w:ascii="Cambria" w:hAnsi="Cambria"/>
          <w:b/>
        </w:rPr>
        <w:t>I.4</w:t>
        <w:tab/>
        <w:t>Informácie o skupine účtovných jednotiek, ak je účtovná jednotka jej súčasťou:</w:t>
      </w:r>
    </w:p>
    <w:p>
      <w:pPr>
        <w:pStyle w:val="Normal"/>
        <w:spacing w:lineRule="auto" w:line="240" w:before="0" w:after="0"/>
        <w:ind w:hanging="426" w:start="426"/>
        <w:jc w:val="both"/>
        <w:rPr>
          <w:rFonts w:ascii="Cambria" w:hAnsi="Cambria" w:cs="Arial"/>
          <w:b/>
        </w:rPr>
      </w:pPr>
      <w:r>
        <w:rPr>
          <w:rFonts w:cs="Arial" w:ascii="Cambria" w:hAnsi="Cambria" w:asciiTheme="majorHAnsi" w:hAnsiTheme="majorHAnsi"/>
          <w:i/>
          <w:sz w:val="24"/>
          <w:szCs w:val="24"/>
        </w:rPr>
        <w:t>Pre danú oblasť nemá účtovná jednotka obsahovú náplň</w:t>
      </w:r>
    </w:p>
    <w:p>
      <w:pPr>
        <w:pStyle w:val="Normal"/>
        <w:spacing w:before="0" w:after="0"/>
        <w:jc w:val="both"/>
        <w:rPr>
          <w:rFonts w:ascii="Cambria" w:hAnsi="Cambria" w:cs="Arial"/>
          <w:i/>
          <w:sz w:val="20"/>
          <w:szCs w:val="20"/>
        </w:rPr>
      </w:pPr>
      <w:r>
        <w:rPr>
          <w:rFonts w:cs="Arial" w:ascii="Cambria" w:hAnsi="Cambria"/>
          <w:i/>
          <w:sz w:val="20"/>
          <w:szCs w:val="20"/>
        </w:rPr>
      </w:r>
    </w:p>
    <w:p>
      <w:pPr>
        <w:pStyle w:val="Normal"/>
        <w:spacing w:lineRule="auto" w:line="240" w:before="0" w:after="0"/>
        <w:ind w:hanging="426" w:start="426"/>
        <w:jc w:val="both"/>
        <w:rPr>
          <w:rFonts w:ascii="Cambria" w:hAnsi="Cambria" w:cs="Arial"/>
          <w:b/>
        </w:rPr>
      </w:pPr>
      <w:r>
        <w:rPr>
          <w:rFonts w:cs="Arial" w:ascii="Cambria" w:hAnsi="Cambria"/>
          <w:b/>
        </w:rPr>
        <w:t>I.5</w:t>
        <w:tab/>
        <w:t>Informácie o počte zamestnancov:</w:t>
      </w:r>
    </w:p>
    <w:p>
      <w:pPr>
        <w:pStyle w:val="ListParagraph"/>
        <w:spacing w:lineRule="auto" w:line="240" w:before="0" w:after="0"/>
        <w:ind w:hanging="426" w:start="426"/>
        <w:contextualSpacing/>
        <w:jc w:val="both"/>
        <w:rPr>
          <w:rFonts w:ascii="Cambria" w:hAnsi="Cambria" w:cs="Arial"/>
          <w:b/>
          <w:sz w:val="24"/>
          <w:szCs w:val="24"/>
        </w:rPr>
      </w:pPr>
      <w:r>
        <w:rPr>
          <w:rFonts w:cs="Arial" w:ascii="Cambria" w:hAnsi="Cambria"/>
          <w:b/>
          <w:sz w:val="24"/>
          <w:szCs w:val="24"/>
        </w:rPr>
      </w:r>
    </w:p>
    <w:tbl>
      <w:tblPr>
        <w:tblStyle w:val="Mriekatabuky"/>
        <w:tblW w:w="9015" w:type="dxa"/>
        <w:jc w:val="start"/>
        <w:tblInd w:w="108" w:type="dxa"/>
        <w:tblLayout w:type="fixed"/>
        <w:tblCellMar>
          <w:top w:w="0" w:type="dxa"/>
          <w:start w:w="108" w:type="dxa"/>
          <w:bottom w:w="0" w:type="dxa"/>
          <w:end w:w="108" w:type="dxa"/>
        </w:tblCellMar>
        <w:tblLook w:firstRow="1" w:noVBand="1" w:lastRow="0" w:firstColumn="1" w:lastColumn="0" w:noHBand="0" w:val="04a0"/>
      </w:tblPr>
      <w:tblGrid>
        <w:gridCol w:w="4253"/>
        <w:gridCol w:w="2381"/>
        <w:gridCol w:w="2381"/>
      </w:tblGrid>
      <w:tr>
        <w:trPr/>
        <w:tc>
          <w:tcPr>
            <w:tcW w:w="4253" w:type="dxa"/>
            <w:tcBorders>
              <w:top w:val="single" w:sz="12" w:space="0" w:color="000000"/>
              <w:start w:val="single" w:sz="12" w:space="0" w:color="000000"/>
              <w:bottom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widowControl/>
              <w:suppressAutoHyphens w:val="true"/>
              <w:spacing w:lineRule="auto" w:line="240" w:before="0" w:after="0"/>
              <w:ind w:hanging="426" w:start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eastAsia="" w:cs="Arial" w:ascii="Cambria" w:hAnsi="Cambria"/>
                <w:b/>
                <w:kern w:val="0"/>
                <w:sz w:val="20"/>
                <w:szCs w:val="20"/>
                <w:lang w:val="sk-SK" w:eastAsia="sk-SK" w:bidi="ar-SA"/>
              </w:rPr>
              <w:t>Názov položky</w:t>
            </w:r>
          </w:p>
        </w:tc>
        <w:tc>
          <w:tcPr>
            <w:tcW w:w="2381" w:type="dxa"/>
            <w:tcBorders>
              <w:top w:val="single" w:sz="12" w:space="0" w:color="000000"/>
              <w:start w:val="single" w:sz="12" w:space="0" w:color="000000"/>
              <w:bottom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widowControl/>
              <w:suppressAutoHyphens w:val="true"/>
              <w:spacing w:lineRule="auto" w:line="240" w:before="0" w:after="0"/>
              <w:ind w:hanging="426" w:start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eastAsia="" w:cs="Arial" w:ascii="Cambria" w:hAnsi="Cambria"/>
                <w:b/>
                <w:kern w:val="0"/>
                <w:sz w:val="20"/>
                <w:szCs w:val="20"/>
                <w:lang w:val="sk-SK" w:eastAsia="sk-SK" w:bidi="ar-SA"/>
              </w:rPr>
              <w:t>Bežné</w:t>
            </w:r>
          </w:p>
          <w:p>
            <w:pPr>
              <w:pStyle w:val="Normal"/>
              <w:widowControl/>
              <w:suppressAutoHyphens w:val="true"/>
              <w:spacing w:lineRule="auto" w:line="240" w:before="0" w:after="0"/>
              <w:ind w:hanging="426" w:start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eastAsia="" w:cs="Arial" w:ascii="Cambria" w:hAnsi="Cambria"/>
                <w:b/>
                <w:kern w:val="0"/>
                <w:sz w:val="20"/>
                <w:szCs w:val="20"/>
                <w:lang w:val="sk-SK" w:eastAsia="sk-SK" w:bidi="ar-SA"/>
              </w:rPr>
              <w:t>účtovné obdobie</w:t>
            </w:r>
          </w:p>
        </w:tc>
        <w:tc>
          <w:tcPr>
            <w:tcW w:w="2381" w:type="dxa"/>
            <w:tcBorders>
              <w:top w:val="single" w:sz="12" w:space="0" w:color="000000"/>
              <w:start w:val="single" w:sz="12" w:space="0" w:color="000000"/>
              <w:bottom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widowControl/>
              <w:suppressAutoHyphens w:val="true"/>
              <w:spacing w:lineRule="auto" w:line="240" w:before="0" w:after="0"/>
              <w:ind w:hanging="426" w:start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eastAsia="" w:cs="Arial" w:ascii="Cambria" w:hAnsi="Cambria"/>
                <w:b/>
                <w:kern w:val="0"/>
                <w:sz w:val="20"/>
                <w:szCs w:val="20"/>
                <w:lang w:val="sk-SK" w:eastAsia="sk-SK" w:bidi="ar-SA"/>
              </w:rPr>
              <w:t>Bezprostredne</w:t>
            </w:r>
          </w:p>
          <w:p>
            <w:pPr>
              <w:pStyle w:val="Normal"/>
              <w:widowControl/>
              <w:suppressAutoHyphens w:val="true"/>
              <w:spacing w:lineRule="auto" w:line="240" w:before="0" w:after="0"/>
              <w:ind w:hanging="426" w:start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eastAsia="" w:cs="Arial" w:ascii="Cambria" w:hAnsi="Cambria"/>
                <w:b/>
                <w:kern w:val="0"/>
                <w:sz w:val="20"/>
                <w:szCs w:val="20"/>
                <w:lang w:val="sk-SK" w:eastAsia="sk-SK" w:bidi="ar-SA"/>
              </w:rPr>
              <w:t>predchádzajúce</w:t>
            </w:r>
          </w:p>
          <w:p>
            <w:pPr>
              <w:pStyle w:val="Normal"/>
              <w:widowControl/>
              <w:suppressAutoHyphens w:val="true"/>
              <w:spacing w:lineRule="auto" w:line="240" w:before="0" w:after="0"/>
              <w:ind w:hanging="426" w:start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eastAsia="" w:cs="Arial" w:ascii="Cambria" w:hAnsi="Cambria"/>
                <w:b/>
                <w:kern w:val="0"/>
                <w:sz w:val="20"/>
                <w:szCs w:val="20"/>
                <w:lang w:val="sk-SK" w:eastAsia="sk-SK" w:bidi="ar-SA"/>
              </w:rPr>
              <w:t>účtovné obdobie</w:t>
            </w:r>
          </w:p>
        </w:tc>
      </w:tr>
      <w:tr>
        <w:trPr>
          <w:trHeight w:val="378" w:hRule="atLeast"/>
        </w:trPr>
        <w:tc>
          <w:tcPr>
            <w:tcW w:w="4253" w:type="dxa"/>
            <w:tcBorders>
              <w:top w:val="single" w:sz="12" w:space="0" w:color="000000"/>
              <w:start w:val="single" w:sz="12" w:space="0" w:color="000000"/>
              <w:bottom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widowControl/>
              <w:suppressAutoHyphens w:val="true"/>
              <w:spacing w:lineRule="auto" w:line="240" w:before="0" w:after="0"/>
              <w:ind w:hanging="1" w:start="34"/>
              <w:jc w:val="start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eastAsia="" w:cs="Arial" w:ascii="Cambria" w:hAnsi="Cambria"/>
                <w:kern w:val="0"/>
                <w:sz w:val="20"/>
                <w:szCs w:val="20"/>
                <w:lang w:val="sk-SK" w:eastAsia="sk-SK" w:bidi="ar-SA"/>
              </w:rPr>
              <w:t>Priemerný prepočítaný počet zamestnancov</w:t>
            </w:r>
          </w:p>
        </w:tc>
        <w:tc>
          <w:tcPr>
            <w:tcW w:w="2381" w:type="dxa"/>
            <w:tcBorders>
              <w:top w:val="single" w:sz="12" w:space="0" w:color="000000"/>
              <w:start w:val="single" w:sz="12" w:space="0" w:color="000000"/>
              <w:bottom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widowControl/>
              <w:suppressAutoHyphens w:val="true"/>
              <w:spacing w:lineRule="auto" w:line="240" w:before="0" w:after="0"/>
              <w:ind w:hanging="426" w:start="426"/>
              <w:jc w:val="center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eastAsia="" w:cs="Arial" w:ascii="Cambria" w:hAnsi="Cambria"/>
                <w:b/>
                <w:kern w:val="0"/>
                <w:sz w:val="24"/>
                <w:szCs w:val="24"/>
                <w:lang w:val="sk-SK" w:eastAsia="sk-SK" w:bidi="ar-SA"/>
              </w:rPr>
              <w:t>14,33</w:t>
            </w:r>
          </w:p>
        </w:tc>
        <w:tc>
          <w:tcPr>
            <w:tcW w:w="2381" w:type="dxa"/>
            <w:tcBorders>
              <w:top w:val="single" w:sz="12" w:space="0" w:color="000000"/>
              <w:start w:val="single" w:sz="12" w:space="0" w:color="000000"/>
              <w:bottom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widowControl/>
              <w:suppressAutoHyphens w:val="true"/>
              <w:spacing w:lineRule="auto" w:line="240" w:before="0" w:after="0"/>
              <w:ind w:hanging="426" w:start="426"/>
              <w:jc w:val="center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eastAsia="" w:cs="Arial" w:ascii="Cambria" w:hAnsi="Cambria"/>
                <w:b/>
                <w:kern w:val="0"/>
                <w:sz w:val="24"/>
                <w:szCs w:val="24"/>
                <w:lang w:val="sk-SK" w:eastAsia="sk-SK" w:bidi="ar-SA"/>
              </w:rPr>
              <w:t>16,49</w:t>
            </w:r>
          </w:p>
        </w:tc>
      </w:tr>
      <w:tr>
        <w:trPr>
          <w:trHeight w:val="755" w:hRule="atLeast"/>
        </w:trPr>
        <w:tc>
          <w:tcPr>
            <w:tcW w:w="4253" w:type="dxa"/>
            <w:tcBorders>
              <w:top w:val="single" w:sz="12" w:space="0" w:color="000000"/>
              <w:start w:val="single" w:sz="12" w:space="0" w:color="000000"/>
              <w:bottom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widowControl/>
              <w:suppressAutoHyphens w:val="true"/>
              <w:spacing w:lineRule="auto" w:line="240" w:before="0" w:after="0"/>
              <w:ind w:hanging="1" w:start="34"/>
              <w:jc w:val="start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eastAsia="" w:cs="Arial" w:ascii="Cambria" w:hAnsi="Cambria"/>
                <w:kern w:val="0"/>
                <w:sz w:val="20"/>
                <w:szCs w:val="20"/>
                <w:lang w:val="sk-SK" w:eastAsia="sk-SK" w:bidi="ar-SA"/>
              </w:rPr>
              <w:t>Počet zamestnancov ku dňu, ku ktorému sa zostavuje účtovná závierka vrátane vedúcich zamestnancov</w:t>
            </w:r>
          </w:p>
        </w:tc>
        <w:tc>
          <w:tcPr>
            <w:tcW w:w="2381" w:type="dxa"/>
            <w:tcBorders>
              <w:top w:val="single" w:sz="12" w:space="0" w:color="000000"/>
              <w:start w:val="single" w:sz="12" w:space="0" w:color="000000"/>
              <w:bottom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widowControl/>
              <w:suppressAutoHyphens w:val="true"/>
              <w:spacing w:lineRule="auto" w:line="240" w:before="0" w:after="0"/>
              <w:ind w:hanging="426" w:start="426"/>
              <w:jc w:val="center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eastAsia="" w:cs="Arial" w:ascii="Cambria" w:hAnsi="Cambria"/>
                <w:b/>
                <w:kern w:val="0"/>
                <w:sz w:val="24"/>
                <w:szCs w:val="24"/>
                <w:lang w:val="sk-SK" w:eastAsia="sk-SK" w:bidi="ar-SA"/>
              </w:rPr>
              <w:t>13</w:t>
            </w:r>
          </w:p>
        </w:tc>
        <w:tc>
          <w:tcPr>
            <w:tcW w:w="2381" w:type="dxa"/>
            <w:tcBorders>
              <w:top w:val="single" w:sz="12" w:space="0" w:color="000000"/>
              <w:start w:val="single" w:sz="12" w:space="0" w:color="000000"/>
              <w:bottom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widowControl/>
              <w:suppressAutoHyphens w:val="true"/>
              <w:spacing w:lineRule="auto" w:line="240" w:before="0" w:after="0"/>
              <w:ind w:hanging="426" w:start="426"/>
              <w:jc w:val="center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eastAsia="" w:cs="Arial" w:ascii="Cambria" w:hAnsi="Cambria"/>
                <w:b/>
                <w:kern w:val="0"/>
                <w:sz w:val="24"/>
                <w:szCs w:val="24"/>
                <w:lang w:val="sk-SK" w:eastAsia="sk-SK" w:bidi="ar-SA"/>
              </w:rPr>
              <w:t>16</w:t>
            </w:r>
          </w:p>
        </w:tc>
      </w:tr>
      <w:tr>
        <w:trPr>
          <w:trHeight w:val="837" w:hRule="atLeast"/>
        </w:trPr>
        <w:tc>
          <w:tcPr>
            <w:tcW w:w="4253" w:type="dxa"/>
            <w:tcBorders>
              <w:top w:val="single" w:sz="12" w:space="0" w:color="000000"/>
              <w:start w:val="single" w:sz="12" w:space="0" w:color="000000"/>
              <w:bottom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widowControl/>
              <w:suppressAutoHyphens w:val="true"/>
              <w:spacing w:lineRule="auto" w:line="240" w:before="0" w:after="0"/>
              <w:ind w:hanging="1" w:start="34"/>
              <w:jc w:val="start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eastAsia="" w:cs="Arial" w:ascii="Cambria" w:hAnsi="Cambria"/>
                <w:kern w:val="0"/>
                <w:sz w:val="20"/>
                <w:szCs w:val="20"/>
                <w:lang w:val="sk-SK" w:eastAsia="sk-SK" w:bidi="ar-SA"/>
              </w:rPr>
              <w:t>Počet vedúcich zamestnancov (členovia štatutárneho orgánu ÚJ a vedúci zamestnanci</w:t>
            </w:r>
          </w:p>
          <w:p>
            <w:pPr>
              <w:pStyle w:val="Normal"/>
              <w:widowControl/>
              <w:suppressAutoHyphens w:val="true"/>
              <w:spacing w:lineRule="auto" w:line="240" w:before="0" w:after="0"/>
              <w:ind w:hanging="1" w:start="34"/>
              <w:jc w:val="start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eastAsia="" w:cs="Arial" w:ascii="Cambria" w:hAnsi="Cambria"/>
                <w:kern w:val="0"/>
                <w:sz w:val="20"/>
                <w:szCs w:val="20"/>
                <w:lang w:val="sk-SK" w:eastAsia="sk-SK" w:bidi="ar-SA"/>
              </w:rPr>
              <w:t>v priamej pôsobnosti ŠO alebo člena ŠO)</w:t>
            </w:r>
          </w:p>
        </w:tc>
        <w:tc>
          <w:tcPr>
            <w:tcW w:w="2381" w:type="dxa"/>
            <w:tcBorders>
              <w:top w:val="single" w:sz="12" w:space="0" w:color="000000"/>
              <w:start w:val="single" w:sz="12" w:space="0" w:color="000000"/>
              <w:bottom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widowControl/>
              <w:suppressAutoHyphens w:val="true"/>
              <w:spacing w:lineRule="auto" w:line="240" w:before="0" w:after="0"/>
              <w:ind w:hanging="426" w:start="426"/>
              <w:jc w:val="center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eastAsia="" w:cs="Arial" w:ascii="Cambria" w:hAnsi="Cambria"/>
                <w:b/>
                <w:kern w:val="0"/>
                <w:sz w:val="24"/>
                <w:szCs w:val="24"/>
                <w:lang w:val="sk-SK" w:eastAsia="sk-SK" w:bidi="ar-SA"/>
              </w:rPr>
              <w:t xml:space="preserve"> </w:t>
            </w:r>
            <w:r>
              <w:rPr>
                <w:rFonts w:eastAsia="" w:cs="Arial" w:ascii="Cambria" w:hAnsi="Cambria"/>
                <w:b/>
                <w:kern w:val="0"/>
                <w:sz w:val="24"/>
                <w:szCs w:val="24"/>
                <w:lang w:val="sk-SK" w:eastAsia="sk-SK" w:bidi="ar-SA"/>
              </w:rPr>
              <w:t>1</w:t>
            </w:r>
          </w:p>
        </w:tc>
        <w:tc>
          <w:tcPr>
            <w:tcW w:w="2381" w:type="dxa"/>
            <w:tcBorders>
              <w:top w:val="single" w:sz="12" w:space="0" w:color="000000"/>
              <w:start w:val="single" w:sz="12" w:space="0" w:color="000000"/>
              <w:bottom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widowControl/>
              <w:suppressAutoHyphens w:val="true"/>
              <w:spacing w:lineRule="auto" w:line="240" w:before="0" w:after="0"/>
              <w:ind w:hanging="426" w:start="426"/>
              <w:jc w:val="center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eastAsia="" w:cs="Arial" w:ascii="Cambria" w:hAnsi="Cambria"/>
                <w:b/>
                <w:kern w:val="0"/>
                <w:sz w:val="24"/>
                <w:szCs w:val="24"/>
                <w:lang w:val="sk-SK" w:eastAsia="sk-SK" w:bidi="ar-SA"/>
              </w:rPr>
              <w:t>1</w:t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ascii="Cambria" w:hAnsi="Cambria" w:cs="Arial" w:asciiTheme="majorHAnsi" w:hAnsiTheme="majorHAnsi"/>
          <w:b/>
          <w:sz w:val="24"/>
          <w:szCs w:val="24"/>
        </w:rPr>
      </w:pPr>
      <w:r>
        <w:rPr>
          <w:rFonts w:cs="Arial" w:ascii="Cambria" w:hAnsi="Cambria" w:asciiTheme="majorHAnsi" w:hAnsiTheme="majorHAnsi"/>
          <w:b/>
          <w:sz w:val="24"/>
          <w:szCs w:val="24"/>
        </w:rPr>
        <w:t>Článok II – Informácie o orgánoch spoločnosti</w:t>
      </w:r>
    </w:p>
    <w:p>
      <w:pPr>
        <w:pStyle w:val="Normal"/>
        <w:spacing w:lineRule="auto" w:line="240" w:before="0" w:after="0"/>
        <w:ind w:hanging="426" w:start="426"/>
        <w:jc w:val="both"/>
        <w:rPr>
          <w:rFonts w:ascii="Cambria" w:hAnsi="Cambria" w:cs="Arial" w:asciiTheme="majorHAnsi" w:hAnsiTheme="majorHAnsi"/>
          <w:b/>
          <w:sz w:val="24"/>
          <w:szCs w:val="24"/>
        </w:rPr>
      </w:pPr>
      <w:r>
        <w:rPr>
          <w:rFonts w:cs="Arial" w:ascii="Cambria" w:hAnsi="Cambria" w:asciiTheme="majorHAnsi" w:hAnsiTheme="majorHAnsi"/>
          <w:b/>
          <w:sz w:val="24"/>
          <w:szCs w:val="24"/>
        </w:rPr>
        <w:t>II. a) – d)</w:t>
      </w:r>
    </w:p>
    <w:p>
      <w:pPr>
        <w:pStyle w:val="Normal"/>
        <w:spacing w:lineRule="auto" w:line="240" w:before="0" w:after="0"/>
        <w:ind w:hanging="426" w:start="426"/>
        <w:jc w:val="both"/>
        <w:rPr>
          <w:rFonts w:ascii="Cambria" w:hAnsi="Cambria" w:cs="Arial" w:asciiTheme="majorHAnsi" w:hAnsiTheme="majorHAnsi"/>
          <w:b/>
          <w:sz w:val="24"/>
          <w:szCs w:val="24"/>
        </w:rPr>
      </w:pPr>
      <w:r>
        <w:rPr>
          <w:rFonts w:cs="Arial" w:ascii="Cambria" w:hAnsi="Cambria" w:asciiTheme="majorHAnsi" w:hAnsiTheme="majorHAnsi"/>
          <w:i/>
          <w:sz w:val="24"/>
          <w:szCs w:val="24"/>
        </w:rPr>
        <w:t>Pre danú oblasť nemá účtovná jednotka obsahovú náplň</w:t>
      </w:r>
    </w:p>
    <w:p>
      <w:pPr>
        <w:pStyle w:val="Normal"/>
        <w:spacing w:lineRule="auto" w:line="240"/>
        <w:jc w:val="both"/>
        <w:rPr>
          <w:rFonts w:ascii="Cambria" w:hAnsi="Cambria" w:eastAsia="MS Gothic" w:cs="Arial" w:asciiTheme="majorHAnsi" w:hAnsiTheme="majorHAnsi"/>
          <w:b/>
          <w:sz w:val="20"/>
          <w:szCs w:val="20"/>
        </w:rPr>
      </w:pPr>
      <w:r>
        <w:rPr>
          <w:rFonts w:cs="Arial" w:ascii="Cambria" w:hAnsi="Cambria" w:asciiTheme="majorHAnsi" w:hAnsiTheme="majorHAnsi"/>
          <w:b/>
          <w:sz w:val="20"/>
          <w:szCs w:val="20"/>
        </w:rPr>
        <w:t xml:space="preserve"> </w:t>
      </w:r>
    </w:p>
    <w:p>
      <w:pPr>
        <w:pStyle w:val="Normal"/>
        <w:ind w:hanging="426" w:start="426"/>
        <w:jc w:val="both"/>
        <w:rPr>
          <w:rFonts w:ascii="Cambria" w:hAnsi="Cambria" w:cs="Arial" w:asciiTheme="majorHAnsi" w:hAnsiTheme="majorHAnsi"/>
          <w:b/>
          <w:sz w:val="24"/>
          <w:szCs w:val="24"/>
        </w:rPr>
      </w:pPr>
      <w:r>
        <w:rPr>
          <w:rFonts w:cs="Arial" w:ascii="Cambria" w:hAnsi="Cambria" w:asciiTheme="majorHAnsi" w:hAnsiTheme="majorHAnsi"/>
          <w:b/>
          <w:sz w:val="24"/>
          <w:szCs w:val="24"/>
        </w:rPr>
        <w:t>Článok III - Informácie o prijatých postupoch</w:t>
      </w:r>
    </w:p>
    <w:p>
      <w:pPr>
        <w:pStyle w:val="Normal"/>
        <w:spacing w:lineRule="auto" w:line="240" w:before="0" w:after="0"/>
        <w:ind w:hanging="426" w:start="426"/>
        <w:jc w:val="both"/>
        <w:rPr>
          <w:rFonts w:ascii="Cambria" w:hAnsi="Cambria" w:cs="Arial" w:asciiTheme="majorHAnsi" w:hAnsiTheme="majorHAnsi"/>
          <w:b/>
        </w:rPr>
      </w:pPr>
      <w:r>
        <w:rPr>
          <w:rFonts w:cs="Arial" w:ascii="Cambria" w:hAnsi="Cambria"/>
          <w:b/>
        </w:rPr>
        <w:t>III.1</w:t>
        <w:tab/>
        <w:t xml:space="preserve"> </w:t>
      </w:r>
      <w:r>
        <w:rPr>
          <w:rFonts w:cs="Arial" w:ascii="Cambria" w:hAnsi="Cambria" w:asciiTheme="majorHAnsi" w:hAnsiTheme="majorHAnsi"/>
          <w:b/>
        </w:rPr>
        <w:t xml:space="preserve">Účtovná jednotka bude nepretržite pokračovať vo svojej činnosti: </w:t>
      </w:r>
      <w:sdt>
        <w:sdtPr>
          <w:alias w:val="pokračovanie"/>
          <w:tag w:val="vyberte"/>
          <w:id w:val="837810745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>
            <w:rPr>
              <w:rFonts w:cs="Arial" w:ascii="Cambria" w:hAnsi="Cambria" w:asciiTheme="majorHAnsi" w:hAnsiTheme="majorHAnsi"/>
              <w:b/>
            </w:rPr>
          </w:r>
          <w:r>
            <w:rPr>
              <w:rFonts w:cs="Arial" w:ascii="Cambria" w:hAnsi="Cambria" w:asciiTheme="majorHAnsi" w:hAnsiTheme="majorHAnsi"/>
              <w:b/>
              <w:color w:val="00B050"/>
            </w:rPr>
            <w:t>áno</w:t>
          </w:r>
        </w:sdtContent>
      </w:sdt>
    </w:p>
    <w:p>
      <w:pPr>
        <w:pStyle w:val="Normal"/>
        <w:spacing w:lineRule="auto" w:line="240" w:before="0" w:after="0"/>
        <w:ind w:hanging="426" w:start="426"/>
        <w:jc w:val="both"/>
        <w:rPr>
          <w:rFonts w:ascii="Cambria" w:hAnsi="Cambria" w:cs="Arial"/>
          <w:b/>
        </w:rPr>
      </w:pPr>
      <w:r>
        <w:rPr>
          <w:rFonts w:eastAsia="MS Gothic" w:cs="Arial" w:ascii="Cambria" w:hAnsi="Cambria" w:asciiTheme="majorHAnsi" w:hAnsiTheme="majorHAnsi"/>
          <w:b/>
          <w:sz w:val="20"/>
          <w:szCs w:val="20"/>
        </w:rPr>
        <w:t xml:space="preserve"> </w:t>
      </w:r>
    </w:p>
    <w:p>
      <w:pPr>
        <w:pStyle w:val="Normal"/>
        <w:spacing w:lineRule="auto" w:line="240" w:before="0" w:after="0"/>
        <w:ind w:hanging="426" w:start="426"/>
        <w:jc w:val="both"/>
        <w:rPr>
          <w:rFonts w:ascii="Cambria" w:hAnsi="Cambria" w:cs="Arial" w:asciiTheme="majorHAnsi" w:hAnsiTheme="majorHAnsi"/>
          <w:b/>
        </w:rPr>
      </w:pPr>
      <w:r>
        <w:rPr>
          <w:rFonts w:cs="Arial" w:ascii="Cambria" w:hAnsi="Cambria"/>
          <w:b/>
        </w:rPr>
        <w:t>III.2</w:t>
        <w:tab/>
        <w:t xml:space="preserve"> </w:t>
      </w:r>
      <w:r>
        <w:rPr>
          <w:rFonts w:cs="Arial" w:ascii="Cambria" w:hAnsi="Cambria" w:asciiTheme="majorHAnsi" w:hAnsiTheme="majorHAnsi"/>
          <w:b/>
        </w:rPr>
        <w:t>Zmeny účtovných zásad a metód:</w:t>
      </w:r>
    </w:p>
    <w:p>
      <w:pPr>
        <w:pStyle w:val="Normal"/>
        <w:spacing w:lineRule="auto" w:line="240"/>
        <w:ind w:hanging="426" w:start="426"/>
        <w:jc w:val="both"/>
        <w:rPr>
          <w:rFonts w:ascii="Cambria" w:hAnsi="Cambria" w:cs="Arial" w:asciiTheme="majorHAnsi" w:hAnsiTheme="majorHAnsi"/>
          <w:sz w:val="20"/>
          <w:szCs w:val="20"/>
        </w:rPr>
      </w:pPr>
      <w:r>
        <w:rPr>
          <w:rFonts w:cs="Arial" w:ascii="Cambria" w:hAnsi="Cambria"/>
          <w:sz w:val="20"/>
          <w:szCs w:val="20"/>
        </w:rPr>
      </w:r>
    </w:p>
    <w:p>
      <w:pPr>
        <w:pStyle w:val="Normal"/>
        <w:spacing w:lineRule="auto" w:line="240"/>
        <w:ind w:hanging="426" w:start="426"/>
        <w:jc w:val="both"/>
        <w:rPr>
          <w:rFonts w:ascii="Cambria" w:hAnsi="Cambria" w:cs="Arial" w:asciiTheme="majorHAnsi" w:hAnsiTheme="majorHAnsi"/>
          <w:sz w:val="20"/>
          <w:szCs w:val="20"/>
        </w:rPr>
      </w:pPr>
      <w:r>
        <w:rPr>
          <w:rFonts w:cs="Arial" w:ascii="Cambria" w:hAnsi="Cambria" w:asciiTheme="majorHAnsi" w:hAnsiTheme="majorHAnsi"/>
          <w:sz w:val="20"/>
          <w:szCs w:val="20"/>
        </w:rPr>
        <w:t>Účtovné zásady a metódy boli účtovnou jednotkou konzistentne aplikované.</w:t>
      </w:r>
    </w:p>
    <w:p>
      <w:pPr>
        <w:pStyle w:val="Normal"/>
        <w:spacing w:lineRule="auto" w:line="240"/>
        <w:jc w:val="both"/>
        <w:rPr>
          <w:rFonts w:ascii="Cambria" w:hAnsi="Cambria" w:cs="Arial" w:asciiTheme="majorHAnsi" w:hAnsiTheme="majorHAnsi"/>
          <w:i/>
          <w:sz w:val="20"/>
          <w:szCs w:val="20"/>
        </w:rPr>
      </w:pPr>
      <w:r>
        <w:rPr>
          <w:rFonts w:cs="Arial" w:ascii="Cambria" w:hAnsi="Cambria" w:asciiTheme="majorHAnsi" w:hAnsiTheme="majorHAnsi"/>
          <w:sz w:val="20"/>
          <w:szCs w:val="20"/>
        </w:rPr>
        <w:t xml:space="preserve">Účtovné metódy a zásady boli aplikované v rámci platného ZoÚ,  s nasledovnými osobitosťami: </w:t>
      </w:r>
    </w:p>
    <w:tbl>
      <w:tblPr>
        <w:tblStyle w:val="Mriekatabuky"/>
        <w:tblW w:w="9028" w:type="dxa"/>
        <w:jc w:val="start"/>
        <w:tblInd w:w="108" w:type="dxa"/>
        <w:tblLayout w:type="fixed"/>
        <w:tblCellMar>
          <w:top w:w="0" w:type="dxa"/>
          <w:start w:w="108" w:type="dxa"/>
          <w:bottom w:w="0" w:type="dxa"/>
          <w:end w:w="108" w:type="dxa"/>
        </w:tblCellMar>
        <w:tblLook w:firstRow="1" w:noVBand="1" w:lastRow="0" w:firstColumn="1" w:lastColumn="0" w:noHBand="0" w:val="04a0"/>
      </w:tblPr>
      <w:tblGrid>
        <w:gridCol w:w="2839"/>
        <w:gridCol w:w="2981"/>
        <w:gridCol w:w="3208"/>
      </w:tblGrid>
      <w:tr>
        <w:trPr>
          <w:trHeight w:val="956" w:hRule="atLeast"/>
        </w:trPr>
        <w:tc>
          <w:tcPr>
            <w:tcW w:w="2839" w:type="dxa"/>
            <w:tcBorders>
              <w:top w:val="single" w:sz="12" w:space="0" w:color="000000"/>
              <w:start w:val="single" w:sz="12" w:space="0" w:color="000000"/>
              <w:bottom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widowControl/>
              <w:suppressAutoHyphens w:val="true"/>
              <w:spacing w:lineRule="auto" w:line="240" w:before="0" w:after="0"/>
              <w:ind w:hanging="34" w:start="34"/>
              <w:jc w:val="center"/>
              <w:rPr>
                <w:rFonts w:ascii="Cambria" w:hAnsi="Cambria" w:cs="Arial" w:asciiTheme="majorHAnsi" w:hAnsiTheme="majorHAnsi"/>
                <w:b/>
                <w:sz w:val="20"/>
                <w:szCs w:val="20"/>
              </w:rPr>
            </w:pPr>
            <w:r>
              <w:rPr>
                <w:rFonts w:eastAsia="" w:cs="Arial" w:ascii="Cambria" w:hAnsi="Cambria" w:asciiTheme="majorHAnsi" w:hAnsiTheme="majorHAnsi"/>
                <w:b/>
                <w:kern w:val="0"/>
                <w:sz w:val="20"/>
                <w:szCs w:val="20"/>
                <w:lang w:val="sk-SK" w:eastAsia="sk-SK" w:bidi="ar-SA"/>
              </w:rPr>
              <w:t>Druh zmeny zásady</w:t>
            </w:r>
          </w:p>
          <w:p>
            <w:pPr>
              <w:pStyle w:val="Normal"/>
              <w:widowControl/>
              <w:suppressAutoHyphens w:val="true"/>
              <w:spacing w:lineRule="auto" w:line="240" w:before="0" w:after="0"/>
              <w:ind w:hanging="34" w:start="34"/>
              <w:jc w:val="center"/>
              <w:rPr>
                <w:rFonts w:ascii="Cambria" w:hAnsi="Cambria" w:cs="Arial" w:asciiTheme="majorHAnsi" w:hAnsiTheme="majorHAnsi"/>
                <w:b/>
                <w:sz w:val="20"/>
                <w:szCs w:val="20"/>
              </w:rPr>
            </w:pPr>
            <w:r>
              <w:rPr>
                <w:rFonts w:eastAsia="" w:cs="Arial" w:ascii="Cambria" w:hAnsi="Cambria" w:asciiTheme="majorHAnsi" w:hAnsiTheme="majorHAnsi"/>
                <w:b/>
                <w:kern w:val="0"/>
                <w:sz w:val="20"/>
                <w:szCs w:val="20"/>
                <w:lang w:val="sk-SK" w:eastAsia="sk-SK" w:bidi="ar-SA"/>
              </w:rPr>
              <w:t>alebo metódy</w:t>
            </w:r>
          </w:p>
        </w:tc>
        <w:tc>
          <w:tcPr>
            <w:tcW w:w="2981" w:type="dxa"/>
            <w:tcBorders>
              <w:top w:val="single" w:sz="12" w:space="0" w:color="000000"/>
              <w:start w:val="single" w:sz="12" w:space="0" w:color="000000"/>
              <w:bottom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widowControl/>
              <w:suppressAutoHyphens w:val="true"/>
              <w:spacing w:lineRule="auto" w:line="240" w:before="0" w:after="0"/>
              <w:ind w:hanging="34" w:start="34"/>
              <w:jc w:val="center"/>
              <w:rPr>
                <w:rFonts w:ascii="Cambria" w:hAnsi="Cambria" w:cs="Arial" w:asciiTheme="majorHAnsi" w:hAnsiTheme="majorHAnsi"/>
                <w:b/>
                <w:sz w:val="20"/>
                <w:szCs w:val="20"/>
              </w:rPr>
            </w:pPr>
            <w:r>
              <w:rPr>
                <w:rFonts w:eastAsia="" w:cs="Arial" w:ascii="Cambria" w:hAnsi="Cambria" w:asciiTheme="majorHAnsi" w:hAnsiTheme="majorHAnsi"/>
                <w:b/>
                <w:kern w:val="0"/>
                <w:sz w:val="20"/>
                <w:szCs w:val="20"/>
                <w:lang w:val="sk-SK" w:eastAsia="sk-SK" w:bidi="ar-SA"/>
              </w:rPr>
              <w:t>Dôvod zmeny</w:t>
            </w:r>
          </w:p>
        </w:tc>
        <w:tc>
          <w:tcPr>
            <w:tcW w:w="3208" w:type="dxa"/>
            <w:tcBorders>
              <w:top w:val="single" w:sz="12" w:space="0" w:color="000000"/>
              <w:start w:val="single" w:sz="12" w:space="0" w:color="000000"/>
              <w:bottom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widowControl/>
              <w:suppressAutoHyphens w:val="true"/>
              <w:spacing w:lineRule="auto" w:line="240" w:before="0" w:after="0"/>
              <w:ind w:hanging="34" w:start="34"/>
              <w:jc w:val="center"/>
              <w:rPr>
                <w:rFonts w:ascii="Cambria" w:hAnsi="Cambria" w:cs="Arial" w:asciiTheme="majorHAnsi" w:hAnsiTheme="majorHAnsi"/>
                <w:b/>
                <w:sz w:val="20"/>
                <w:szCs w:val="20"/>
              </w:rPr>
            </w:pPr>
            <w:r>
              <w:rPr>
                <w:rFonts w:eastAsia="" w:cs="Arial" w:ascii="Cambria" w:hAnsi="Cambria" w:asciiTheme="majorHAnsi" w:hAnsiTheme="majorHAnsi"/>
                <w:b/>
                <w:kern w:val="0"/>
                <w:sz w:val="20"/>
                <w:szCs w:val="20"/>
                <w:lang w:val="sk-SK" w:eastAsia="sk-SK" w:bidi="ar-SA"/>
              </w:rPr>
              <w:t>Hodnota vplyvu na príslušnú zložku majetku, záväzkov, vlastného imania a výsledku hospodárenia účtovnej jednotky</w:t>
            </w:r>
          </w:p>
        </w:tc>
      </w:tr>
      <w:tr>
        <w:trPr>
          <w:trHeight w:val="324" w:hRule="atLeast"/>
        </w:trPr>
        <w:tc>
          <w:tcPr>
            <w:tcW w:w="2839" w:type="dxa"/>
            <w:tcBorders>
              <w:top w:val="single" w:sz="12" w:space="0" w:color="000000"/>
              <w:start w:val="single" w:sz="12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widowControl/>
              <w:suppressAutoHyphens w:val="true"/>
              <w:spacing w:lineRule="auto" w:line="240" w:before="0" w:after="0"/>
              <w:ind w:hanging="426" w:start="426"/>
              <w:jc w:val="both"/>
              <w:rPr>
                <w:rFonts w:ascii="Cambria" w:hAnsi="Cambria" w:cs="Arial" w:asciiTheme="majorHAnsi" w:hAnsiTheme="majorHAnsi"/>
                <w:b/>
                <w:sz w:val="24"/>
                <w:szCs w:val="24"/>
              </w:rPr>
            </w:pPr>
            <w:r>
              <w:rPr>
                <w:rFonts w:eastAsia="" w:cs="Arial" w:ascii="Cambria" w:hAnsi="Cambria" w:asciiTheme="majorHAnsi" w:hAnsiTheme="majorHAnsi"/>
                <w:b/>
                <w:kern w:val="0"/>
                <w:sz w:val="24"/>
                <w:szCs w:val="24"/>
                <w:lang w:val="sk-SK" w:eastAsia="sk-SK" w:bidi="ar-SA"/>
              </w:rPr>
              <w:t>žiadne</w:t>
            </w:r>
          </w:p>
        </w:tc>
        <w:tc>
          <w:tcPr>
            <w:tcW w:w="2981" w:type="dxa"/>
            <w:tcBorders>
              <w:top w:val="single" w:sz="12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widowControl/>
              <w:suppressAutoHyphens w:val="true"/>
              <w:spacing w:lineRule="auto" w:line="240" w:before="0" w:after="0"/>
              <w:ind w:hanging="426" w:start="426"/>
              <w:jc w:val="both"/>
              <w:rPr>
                <w:rFonts w:ascii="Cambria" w:hAnsi="Cambria" w:cs="Arial" w:asciiTheme="majorHAnsi" w:hAnsiTheme="majorHAnsi"/>
                <w:b/>
                <w:sz w:val="24"/>
                <w:szCs w:val="24"/>
              </w:rPr>
            </w:pPr>
            <w:r>
              <w:rPr>
                <w:rFonts w:cs="Arial" w:ascii="Cambria" w:hAnsi="Cambria"/>
                <w:b/>
                <w:sz w:val="24"/>
                <w:szCs w:val="24"/>
              </w:rPr>
            </w:r>
          </w:p>
        </w:tc>
        <w:tc>
          <w:tcPr>
            <w:tcW w:w="3208" w:type="dxa"/>
            <w:tcBorders>
              <w:top w:val="single" w:sz="12" w:space="0" w:color="000000"/>
              <w:start w:val="single" w:sz="6" w:space="0" w:color="000000"/>
              <w:bottom w:val="single" w:sz="6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widowControl/>
              <w:suppressAutoHyphens w:val="true"/>
              <w:spacing w:lineRule="auto" w:line="240" w:before="0" w:after="0"/>
              <w:ind w:hanging="426" w:start="426"/>
              <w:jc w:val="both"/>
              <w:rPr>
                <w:rFonts w:ascii="Cambria" w:hAnsi="Cambria" w:cs="Arial" w:asciiTheme="majorHAnsi" w:hAnsiTheme="majorHAnsi"/>
                <w:b/>
                <w:sz w:val="24"/>
                <w:szCs w:val="24"/>
              </w:rPr>
            </w:pPr>
            <w:r>
              <w:rPr>
                <w:rFonts w:cs="Arial" w:ascii="Cambria" w:hAnsi="Cambria"/>
                <w:b/>
                <w:sz w:val="24"/>
                <w:szCs w:val="24"/>
              </w:rPr>
            </w:r>
          </w:p>
        </w:tc>
      </w:tr>
      <w:tr>
        <w:trPr>
          <w:trHeight w:val="324" w:hRule="atLeast"/>
        </w:trPr>
        <w:tc>
          <w:tcPr>
            <w:tcW w:w="2839" w:type="dxa"/>
            <w:tcBorders>
              <w:top w:val="single" w:sz="6" w:space="0" w:color="000000"/>
              <w:start w:val="single" w:sz="12" w:space="0" w:color="000000"/>
              <w:bottom w:val="single" w:sz="12" w:space="0" w:color="000000"/>
              <w:end w:val="single" w:sz="6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40" w:before="0" w:after="0"/>
              <w:ind w:hanging="426" w:start="426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2981" w:type="dxa"/>
            <w:tcBorders>
              <w:top w:val="single" w:sz="6" w:space="0" w:color="000000"/>
              <w:start w:val="single" w:sz="6" w:space="0" w:color="000000"/>
              <w:bottom w:val="single" w:sz="12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widowControl/>
              <w:suppressAutoHyphens w:val="true"/>
              <w:spacing w:lineRule="auto" w:line="240" w:before="0" w:after="0"/>
              <w:ind w:hanging="426" w:start="426"/>
              <w:jc w:val="both"/>
              <w:rPr>
                <w:rFonts w:ascii="Cambria" w:hAnsi="Cambria" w:cs="Arial" w:asciiTheme="majorHAnsi" w:hAnsiTheme="majorHAnsi"/>
                <w:b/>
                <w:sz w:val="24"/>
                <w:szCs w:val="24"/>
              </w:rPr>
            </w:pPr>
            <w:r>
              <w:rPr>
                <w:rFonts w:cs="Arial" w:ascii="Cambria" w:hAnsi="Cambria"/>
                <w:b/>
                <w:sz w:val="24"/>
                <w:szCs w:val="24"/>
              </w:rPr>
            </w:r>
          </w:p>
        </w:tc>
        <w:tc>
          <w:tcPr>
            <w:tcW w:w="3208" w:type="dxa"/>
            <w:tcBorders>
              <w:top w:val="single" w:sz="6" w:space="0" w:color="000000"/>
              <w:start w:val="single" w:sz="6" w:space="0" w:color="000000"/>
              <w:bottom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widowControl/>
              <w:suppressAutoHyphens w:val="true"/>
              <w:spacing w:lineRule="auto" w:line="240" w:before="0" w:after="0"/>
              <w:ind w:hanging="426" w:start="426"/>
              <w:jc w:val="both"/>
              <w:rPr>
                <w:rFonts w:ascii="Cambria" w:hAnsi="Cambria" w:cs="Arial" w:asciiTheme="majorHAnsi" w:hAnsiTheme="majorHAnsi"/>
                <w:b/>
                <w:sz w:val="24"/>
                <w:szCs w:val="24"/>
              </w:rPr>
            </w:pPr>
            <w:r>
              <w:rPr>
                <w:rFonts w:cs="Arial" w:ascii="Cambria" w:hAnsi="Cambria"/>
                <w:b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 w:before="240" w:after="200"/>
        <w:jc w:val="both"/>
        <w:rPr>
          <w:rFonts w:ascii="Cambria" w:hAnsi="Cambria" w:eastAsia="MS Gothic" w:cs="Arial" w:asciiTheme="majorHAnsi" w:hAnsiTheme="majorHAnsi"/>
          <w:b/>
          <w:sz w:val="20"/>
          <w:szCs w:val="20"/>
        </w:rPr>
      </w:pPr>
      <w:r>
        <w:rPr>
          <w:rFonts w:eastAsia="MS Gothic" w:cs="Arial" w:ascii="Cambria" w:hAnsi="Cambria" w:asciiTheme="majorHAnsi" w:hAnsiTheme="majorHAnsi"/>
          <w:b/>
          <w:sz w:val="20"/>
          <w:szCs w:val="20"/>
        </w:rPr>
        <w:t>Ak v dôsledku zmeny účtovných zásad a účtovných metód nie sú hodnoty za bezprostredne predchádzajúce obdobie v jednotlivých súčastiach účtovnej závierky porovnateľné, uvádza sa vysvetlenie o neporovnateľných hodnotách:     </w:t>
      </w:r>
    </w:p>
    <w:p>
      <w:pPr>
        <w:pStyle w:val="Normal"/>
        <w:spacing w:lineRule="auto" w:line="240" w:before="240" w:after="200"/>
        <w:ind w:hanging="426" w:start="426"/>
        <w:jc w:val="both"/>
        <w:rPr>
          <w:rFonts w:ascii="Cambria" w:hAnsi="Cambria" w:eastAsia="MS Gothic" w:cs="Arial" w:asciiTheme="majorHAnsi" w:hAnsiTheme="majorHAnsi"/>
          <w:b/>
        </w:rPr>
      </w:pPr>
      <w:r>
        <w:rPr>
          <w:rFonts w:cs="Arial" w:ascii="Cambria" w:hAnsi="Cambria" w:asciiTheme="majorHAnsi" w:hAnsiTheme="majorHAnsi"/>
          <w:b/>
        </w:rPr>
        <w:t xml:space="preserve">III.3 </w:t>
        <w:tab/>
      </w:r>
      <w:r>
        <w:rPr>
          <w:rFonts w:eastAsia="MS Gothic" w:cs="Arial" w:ascii="Cambria" w:hAnsi="Cambria" w:asciiTheme="majorHAnsi" w:hAnsiTheme="majorHAnsi"/>
          <w:b/>
        </w:rPr>
        <w:t>Informácie o charaktere a účele transakcií, ktoré sa neuvádzajú v súvahe:</w:t>
      </w:r>
    </w:p>
    <w:p>
      <w:pPr>
        <w:pStyle w:val="Normal"/>
        <w:spacing w:lineRule="auto" w:line="240"/>
        <w:jc w:val="both"/>
        <w:rPr>
          <w:rFonts w:ascii="Cambria" w:hAnsi="Cambria" w:cs="Arial" w:asciiTheme="majorHAnsi" w:hAnsiTheme="majorHAnsi"/>
          <w:sz w:val="20"/>
          <w:szCs w:val="20"/>
        </w:rPr>
      </w:pPr>
      <w:r>
        <w:rPr>
          <w:rFonts w:cs="Arial" w:ascii="Cambria" w:hAnsi="Cambria" w:asciiTheme="majorHAnsi" w:hAnsiTheme="majorHAnsi"/>
          <w:sz w:val="20"/>
          <w:szCs w:val="20"/>
        </w:rPr>
        <w:t xml:space="preserve">Účtovná jednotka neidentifikovala transakcie, ktorých charakter a účel nie je uvedený v súvahe.  </w:t>
      </w:r>
    </w:p>
    <w:p>
      <w:pPr>
        <w:pStyle w:val="Normal"/>
        <w:spacing w:lineRule="auto" w:line="240"/>
        <w:jc w:val="both"/>
        <w:rPr>
          <w:rFonts w:ascii="Cambria" w:hAnsi="Cambria" w:cs="Arial" w:asciiTheme="majorHAnsi" w:hAnsiTheme="majorHAnsi"/>
          <w:b/>
        </w:rPr>
      </w:pPr>
      <w:r>
        <w:rPr>
          <w:rFonts w:cs="Arial" w:ascii="Cambria" w:hAnsi="Cambria" w:asciiTheme="majorHAnsi" w:hAnsiTheme="majorHAnsi"/>
          <w:b/>
        </w:rPr>
        <w:t xml:space="preserve">III.4 a) </w:t>
      </w:r>
      <w:r>
        <w:rPr>
          <w:rFonts w:eastAsia="MS Gothic" w:cs="Arial" w:ascii="Cambria" w:hAnsi="Cambria" w:asciiTheme="majorHAnsi" w:hAnsiTheme="majorHAnsi"/>
          <w:b/>
        </w:rPr>
        <w:t xml:space="preserve">Spôsob oceňovania jednotlivých zložiek majetku a záväzkov: </w:t>
      </w:r>
      <w:r>
        <w:rPr>
          <w:rFonts w:eastAsia="MS Gothic" w:cs="Arial" w:ascii="Cambria" w:hAnsi="Cambria" w:asciiTheme="majorHAnsi" w:hAnsiTheme="majorHAnsi"/>
          <w:i/>
        </w:rPr>
        <w:t xml:space="preserve"> </w:t>
      </w:r>
    </w:p>
    <w:tbl>
      <w:tblPr>
        <w:tblStyle w:val="Mriekatabuky"/>
        <w:tblW w:w="6785" w:type="dxa"/>
        <w:jc w:val="start"/>
        <w:tblInd w:w="108" w:type="dxa"/>
        <w:tblLayout w:type="fixed"/>
        <w:tblCellMar>
          <w:top w:w="0" w:type="dxa"/>
          <w:start w:w="108" w:type="dxa"/>
          <w:bottom w:w="0" w:type="dxa"/>
          <w:end w:w="108" w:type="dxa"/>
        </w:tblCellMar>
        <w:tblLook w:firstRow="1" w:noVBand="1" w:lastRow="0" w:firstColumn="1" w:lastColumn="0" w:noHBand="0" w:val="04a0"/>
      </w:tblPr>
      <w:tblGrid>
        <w:gridCol w:w="4720"/>
        <w:gridCol w:w="2065"/>
      </w:tblGrid>
      <w:tr>
        <w:trPr/>
        <w:tc>
          <w:tcPr>
            <w:tcW w:w="4720" w:type="dxa"/>
            <w:tcBorders>
              <w:top w:val="single" w:sz="12" w:space="0" w:color="000000"/>
              <w:start w:val="single" w:sz="12" w:space="0" w:color="000000"/>
              <w:bottom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widowControl/>
              <w:suppressAutoHyphens w:val="true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b/>
                <w:sz w:val="20"/>
                <w:szCs w:val="20"/>
              </w:rPr>
            </w:pPr>
            <w:r>
              <w:rPr>
                <w:rFonts w:eastAsia="" w:cs="Arial" w:ascii="Cambria" w:hAnsi="Cambria" w:asciiTheme="majorHAnsi" w:hAnsiTheme="majorHAnsi"/>
                <w:b/>
                <w:kern w:val="0"/>
                <w:sz w:val="20"/>
                <w:szCs w:val="20"/>
                <w:lang w:val="sk-SK" w:eastAsia="sk-SK" w:bidi="ar-SA"/>
              </w:rPr>
              <w:t>Druh majetku/záväzkov</w:t>
            </w:r>
          </w:p>
        </w:tc>
        <w:tc>
          <w:tcPr>
            <w:tcW w:w="2065" w:type="dxa"/>
            <w:tcBorders>
              <w:top w:val="single" w:sz="12" w:space="0" w:color="000000"/>
              <w:start w:val="single" w:sz="12" w:space="0" w:color="000000"/>
              <w:bottom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widowControl/>
              <w:suppressAutoHyphens w:val="true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b/>
                <w:sz w:val="20"/>
                <w:szCs w:val="20"/>
              </w:rPr>
            </w:pPr>
            <w:r>
              <w:rPr>
                <w:rFonts w:eastAsia="" w:cs="Arial" w:ascii="Cambria" w:hAnsi="Cambria" w:asciiTheme="majorHAnsi" w:hAnsiTheme="majorHAnsi"/>
                <w:b/>
                <w:kern w:val="0"/>
                <w:sz w:val="20"/>
                <w:szCs w:val="20"/>
                <w:lang w:val="sk-SK" w:eastAsia="sk-SK" w:bidi="ar-SA"/>
              </w:rPr>
              <w:t>Spôsob ocenenia</w:t>
            </w:r>
          </w:p>
        </w:tc>
      </w:tr>
      <w:tr>
        <w:trPr/>
        <w:tc>
          <w:tcPr>
            <w:tcW w:w="4720" w:type="dxa"/>
            <w:tcBorders>
              <w:top w:val="single" w:sz="12" w:space="0" w:color="000000"/>
              <w:start w:val="single" w:sz="12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widowControl/>
              <w:suppressAutoHyphens w:val="true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eastAsia="" w:cs="Arial" w:ascii="Cambria" w:hAnsi="Cambria" w:asciiTheme="majorHAnsi" w:hAnsiTheme="majorHAnsi"/>
                <w:kern w:val="0"/>
                <w:sz w:val="20"/>
                <w:szCs w:val="20"/>
                <w:lang w:val="sk-SK" w:eastAsia="sk-SK" w:bidi="ar-SA"/>
              </w:rPr>
              <w:t>DNM obstaraný kúpou</w:t>
            </w:r>
          </w:p>
        </w:tc>
        <w:tc>
          <w:tcPr>
            <w:tcW w:w="2065" w:type="dxa"/>
            <w:tcBorders>
              <w:top w:val="single" w:sz="12" w:space="0" w:color="000000"/>
              <w:start w:val="single" w:sz="6" w:space="0" w:color="000000"/>
              <w:bottom w:val="single" w:sz="6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widowControl/>
              <w:suppressAutoHyphens w:val="true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i/>
                <w:sz w:val="20"/>
                <w:szCs w:val="20"/>
              </w:rPr>
            </w:pPr>
            <w:r>
              <w:rPr>
                <w:rFonts w:eastAsia="" w:cs="Arial" w:ascii="Cambria" w:hAnsi="Cambria" w:asciiTheme="majorHAnsi" w:hAnsiTheme="majorHAnsi"/>
                <w:i/>
                <w:kern w:val="0"/>
                <w:sz w:val="20"/>
                <w:szCs w:val="20"/>
                <w:lang w:val="sk-SK" w:eastAsia="sk-SK" w:bidi="ar-SA"/>
              </w:rPr>
              <w:t>Obstarávacia cena</w:t>
            </w:r>
          </w:p>
        </w:tc>
      </w:tr>
      <w:tr>
        <w:trPr/>
        <w:tc>
          <w:tcPr>
            <w:tcW w:w="4720" w:type="dxa"/>
            <w:tcBorders>
              <w:top w:val="single" w:sz="6" w:space="0" w:color="000000"/>
              <w:start w:val="single" w:sz="12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widowControl/>
              <w:suppressAutoHyphens w:val="true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eastAsia="" w:cs="Arial" w:ascii="Cambria" w:hAnsi="Cambria" w:asciiTheme="majorHAnsi" w:hAnsiTheme="majorHAnsi"/>
                <w:kern w:val="0"/>
                <w:sz w:val="20"/>
                <w:szCs w:val="20"/>
                <w:lang w:val="sk-SK" w:eastAsia="sk-SK" w:bidi="ar-SA"/>
              </w:rPr>
              <w:t>DNM obstaraný vlastnou činnosťou</w:t>
            </w:r>
          </w:p>
        </w:tc>
        <w:tc>
          <w:tcPr>
            <w:tcW w:w="2065" w:type="dxa"/>
            <w:tcBorders>
              <w:top w:val="single" w:sz="6" w:space="0" w:color="000000"/>
              <w:start w:val="single" w:sz="6" w:space="0" w:color="000000"/>
              <w:bottom w:val="single" w:sz="6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widowControl/>
              <w:suppressAutoHyphens w:val="true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i/>
                <w:sz w:val="20"/>
                <w:szCs w:val="20"/>
              </w:rPr>
            </w:pPr>
            <w:r>
              <w:rPr>
                <w:rFonts w:eastAsia="" w:cs="Arial" w:ascii="Cambria" w:hAnsi="Cambria" w:asciiTheme="majorHAnsi" w:hAnsiTheme="majorHAnsi"/>
                <w:i/>
                <w:kern w:val="0"/>
                <w:sz w:val="20"/>
                <w:szCs w:val="20"/>
                <w:lang w:val="sk-SK" w:eastAsia="sk-SK" w:bidi="ar-SA"/>
              </w:rPr>
              <w:t>Vlastné náklady</w:t>
            </w:r>
          </w:p>
        </w:tc>
      </w:tr>
      <w:tr>
        <w:trPr/>
        <w:tc>
          <w:tcPr>
            <w:tcW w:w="4720" w:type="dxa"/>
            <w:tcBorders>
              <w:top w:val="single" w:sz="6" w:space="0" w:color="000000"/>
              <w:start w:val="single" w:sz="12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widowControl/>
              <w:suppressAutoHyphens w:val="true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eastAsia="" w:cs="Arial" w:ascii="Cambria" w:hAnsi="Cambria" w:asciiTheme="majorHAnsi" w:hAnsiTheme="majorHAnsi"/>
                <w:kern w:val="0"/>
                <w:sz w:val="20"/>
                <w:szCs w:val="20"/>
                <w:lang w:val="sk-SK" w:eastAsia="sk-SK" w:bidi="ar-SA"/>
              </w:rPr>
              <w:t>DNM obstaraný iným spôsobom</w:t>
            </w:r>
          </w:p>
        </w:tc>
        <w:tc>
          <w:tcPr>
            <w:tcW w:w="2065" w:type="dxa"/>
            <w:tcBorders>
              <w:top w:val="single" w:sz="6" w:space="0" w:color="000000"/>
              <w:start w:val="single" w:sz="6" w:space="0" w:color="000000"/>
              <w:bottom w:val="single" w:sz="6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widowControl/>
              <w:suppressAutoHyphens w:val="true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i/>
                <w:sz w:val="20"/>
                <w:szCs w:val="20"/>
              </w:rPr>
            </w:pPr>
            <w:r>
              <w:rPr>
                <w:rFonts w:eastAsia="" w:cs="Arial" w:ascii="Cambria" w:hAnsi="Cambria" w:asciiTheme="majorHAnsi" w:hAnsiTheme="majorHAnsi"/>
                <w:i/>
                <w:kern w:val="0"/>
                <w:sz w:val="20"/>
                <w:szCs w:val="20"/>
                <w:lang w:val="sk-SK" w:eastAsia="sk-SK" w:bidi="ar-SA"/>
              </w:rPr>
              <w:t>Reálna hodnota</w:t>
            </w:r>
          </w:p>
        </w:tc>
      </w:tr>
      <w:tr>
        <w:trPr/>
        <w:tc>
          <w:tcPr>
            <w:tcW w:w="4720" w:type="dxa"/>
            <w:tcBorders>
              <w:top w:val="single" w:sz="6" w:space="0" w:color="000000"/>
              <w:start w:val="single" w:sz="12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widowControl/>
              <w:suppressAutoHyphens w:val="true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eastAsia="" w:cs="Arial" w:ascii="Cambria" w:hAnsi="Cambria" w:asciiTheme="majorHAnsi" w:hAnsiTheme="majorHAnsi"/>
                <w:kern w:val="0"/>
                <w:sz w:val="20"/>
                <w:szCs w:val="20"/>
                <w:lang w:val="sk-SK" w:eastAsia="sk-SK" w:bidi="ar-SA"/>
              </w:rPr>
              <w:t>DHM obstaraný kúpou</w:t>
            </w:r>
          </w:p>
        </w:tc>
        <w:tc>
          <w:tcPr>
            <w:tcW w:w="2065" w:type="dxa"/>
            <w:tcBorders>
              <w:top w:val="single" w:sz="6" w:space="0" w:color="000000"/>
              <w:start w:val="single" w:sz="6" w:space="0" w:color="000000"/>
              <w:bottom w:val="single" w:sz="6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widowControl/>
              <w:suppressAutoHyphens w:val="true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i/>
                <w:sz w:val="20"/>
                <w:szCs w:val="20"/>
              </w:rPr>
            </w:pPr>
            <w:r>
              <w:rPr>
                <w:rFonts w:eastAsia="" w:cs="Arial" w:ascii="Cambria" w:hAnsi="Cambria" w:asciiTheme="majorHAnsi" w:hAnsiTheme="majorHAnsi"/>
                <w:i/>
                <w:kern w:val="0"/>
                <w:sz w:val="20"/>
                <w:szCs w:val="20"/>
                <w:lang w:val="sk-SK" w:eastAsia="sk-SK" w:bidi="ar-SA"/>
              </w:rPr>
              <w:t>Obstarávacia cena</w:t>
            </w:r>
          </w:p>
        </w:tc>
      </w:tr>
      <w:tr>
        <w:trPr/>
        <w:tc>
          <w:tcPr>
            <w:tcW w:w="4720" w:type="dxa"/>
            <w:tcBorders>
              <w:top w:val="single" w:sz="6" w:space="0" w:color="000000"/>
              <w:start w:val="single" w:sz="12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widowControl/>
              <w:suppressAutoHyphens w:val="true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eastAsia="" w:cs="Arial" w:ascii="Cambria" w:hAnsi="Cambria" w:asciiTheme="majorHAnsi" w:hAnsiTheme="majorHAnsi"/>
                <w:kern w:val="0"/>
                <w:sz w:val="20"/>
                <w:szCs w:val="20"/>
                <w:lang w:val="sk-SK" w:eastAsia="sk-SK" w:bidi="ar-SA"/>
              </w:rPr>
              <w:t>DHM obstaraný vlastnou činnosťou</w:t>
            </w:r>
          </w:p>
        </w:tc>
        <w:tc>
          <w:tcPr>
            <w:tcW w:w="2065" w:type="dxa"/>
            <w:tcBorders>
              <w:top w:val="single" w:sz="6" w:space="0" w:color="000000"/>
              <w:start w:val="single" w:sz="6" w:space="0" w:color="000000"/>
              <w:bottom w:val="single" w:sz="6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widowControl/>
              <w:suppressAutoHyphens w:val="true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i/>
                <w:sz w:val="20"/>
                <w:szCs w:val="20"/>
              </w:rPr>
            </w:pPr>
            <w:r>
              <w:rPr>
                <w:rFonts w:eastAsia="" w:cs="Arial" w:ascii="Cambria" w:hAnsi="Cambria" w:asciiTheme="majorHAnsi" w:hAnsiTheme="majorHAnsi"/>
                <w:i/>
                <w:kern w:val="0"/>
                <w:sz w:val="20"/>
                <w:szCs w:val="20"/>
                <w:lang w:val="sk-SK" w:eastAsia="sk-SK" w:bidi="ar-SA"/>
              </w:rPr>
              <w:t>Vlastné náklady</w:t>
            </w:r>
          </w:p>
        </w:tc>
      </w:tr>
      <w:tr>
        <w:trPr/>
        <w:tc>
          <w:tcPr>
            <w:tcW w:w="4720" w:type="dxa"/>
            <w:tcBorders>
              <w:top w:val="single" w:sz="6" w:space="0" w:color="000000"/>
              <w:start w:val="single" w:sz="12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widowControl/>
              <w:suppressAutoHyphens w:val="true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eastAsia="" w:cs="Arial" w:ascii="Cambria" w:hAnsi="Cambria" w:asciiTheme="majorHAnsi" w:hAnsiTheme="majorHAnsi"/>
                <w:kern w:val="0"/>
                <w:sz w:val="20"/>
                <w:szCs w:val="20"/>
                <w:lang w:val="sk-SK" w:eastAsia="sk-SK" w:bidi="ar-SA"/>
              </w:rPr>
              <w:t>DHM obstaraný iným spôsobom</w:t>
            </w:r>
          </w:p>
        </w:tc>
        <w:tc>
          <w:tcPr>
            <w:tcW w:w="2065" w:type="dxa"/>
            <w:tcBorders>
              <w:top w:val="single" w:sz="6" w:space="0" w:color="000000"/>
              <w:start w:val="single" w:sz="6" w:space="0" w:color="000000"/>
              <w:bottom w:val="single" w:sz="6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widowControl/>
              <w:suppressAutoHyphens w:val="true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i/>
                <w:sz w:val="20"/>
                <w:szCs w:val="20"/>
              </w:rPr>
            </w:pPr>
            <w:r>
              <w:rPr>
                <w:rFonts w:eastAsia="" w:cs="Arial" w:ascii="Cambria" w:hAnsi="Cambria" w:asciiTheme="majorHAnsi" w:hAnsiTheme="majorHAnsi"/>
                <w:i/>
                <w:kern w:val="0"/>
                <w:sz w:val="20"/>
                <w:szCs w:val="20"/>
                <w:lang w:val="sk-SK" w:eastAsia="sk-SK" w:bidi="ar-SA"/>
              </w:rPr>
              <w:t>Reálna hodnota</w:t>
            </w:r>
          </w:p>
        </w:tc>
      </w:tr>
      <w:tr>
        <w:trPr/>
        <w:tc>
          <w:tcPr>
            <w:tcW w:w="4720" w:type="dxa"/>
            <w:tcBorders>
              <w:top w:val="single" w:sz="6" w:space="0" w:color="000000"/>
              <w:start w:val="single" w:sz="12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widowControl/>
              <w:suppressAutoHyphens w:val="true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eastAsia="" w:cs="Arial" w:ascii="Cambria" w:hAnsi="Cambria" w:asciiTheme="majorHAnsi" w:hAnsiTheme="majorHAnsi"/>
                <w:kern w:val="0"/>
                <w:sz w:val="20"/>
                <w:szCs w:val="20"/>
                <w:lang w:val="sk-SK" w:eastAsia="sk-SK" w:bidi="ar-SA"/>
              </w:rPr>
              <w:t>Dlhodobý finančný majetok</w:t>
            </w:r>
          </w:p>
        </w:tc>
        <w:tc>
          <w:tcPr>
            <w:tcW w:w="2065" w:type="dxa"/>
            <w:tcBorders>
              <w:top w:val="single" w:sz="6" w:space="0" w:color="000000"/>
              <w:start w:val="single" w:sz="6" w:space="0" w:color="000000"/>
              <w:bottom w:val="single" w:sz="6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widowControl/>
              <w:suppressAutoHyphens w:val="true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i/>
                <w:sz w:val="20"/>
                <w:szCs w:val="20"/>
              </w:rPr>
            </w:pPr>
            <w:r>
              <w:rPr>
                <w:rFonts w:eastAsia="" w:cs="Arial" w:ascii="Cambria" w:hAnsi="Cambria" w:asciiTheme="majorHAnsi" w:hAnsiTheme="majorHAnsi"/>
                <w:i/>
                <w:kern w:val="0"/>
                <w:sz w:val="20"/>
                <w:szCs w:val="20"/>
                <w:lang w:val="sk-SK" w:eastAsia="sk-SK" w:bidi="ar-SA"/>
              </w:rPr>
              <w:t>Obstarávacia cena</w:t>
            </w:r>
          </w:p>
        </w:tc>
      </w:tr>
      <w:tr>
        <w:trPr/>
        <w:tc>
          <w:tcPr>
            <w:tcW w:w="4720" w:type="dxa"/>
            <w:tcBorders>
              <w:top w:val="single" w:sz="6" w:space="0" w:color="000000"/>
              <w:start w:val="single" w:sz="12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widowControl/>
              <w:suppressAutoHyphens w:val="true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eastAsia="" w:cs="Arial" w:ascii="Cambria" w:hAnsi="Cambria" w:asciiTheme="majorHAnsi" w:hAnsiTheme="majorHAnsi"/>
                <w:kern w:val="0"/>
                <w:sz w:val="20"/>
                <w:szCs w:val="20"/>
                <w:lang w:val="sk-SK" w:eastAsia="sk-SK" w:bidi="ar-SA"/>
              </w:rPr>
              <w:t>Zásoby obstarané kúpou</w:t>
            </w:r>
          </w:p>
        </w:tc>
        <w:tc>
          <w:tcPr>
            <w:tcW w:w="2065" w:type="dxa"/>
            <w:tcBorders>
              <w:top w:val="single" w:sz="6" w:space="0" w:color="000000"/>
              <w:start w:val="single" w:sz="6" w:space="0" w:color="000000"/>
              <w:bottom w:val="single" w:sz="6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widowControl/>
              <w:suppressAutoHyphens w:val="true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i/>
                <w:sz w:val="20"/>
                <w:szCs w:val="20"/>
              </w:rPr>
            </w:pPr>
            <w:r>
              <w:rPr>
                <w:rFonts w:eastAsia="" w:cs="Arial" w:ascii="Cambria" w:hAnsi="Cambria" w:asciiTheme="majorHAnsi" w:hAnsiTheme="majorHAnsi"/>
                <w:i/>
                <w:kern w:val="0"/>
                <w:sz w:val="20"/>
                <w:szCs w:val="20"/>
                <w:lang w:val="sk-SK" w:eastAsia="sk-SK" w:bidi="ar-SA"/>
              </w:rPr>
              <w:t>Obstarávacia cena</w:t>
            </w:r>
          </w:p>
        </w:tc>
      </w:tr>
      <w:tr>
        <w:trPr/>
        <w:tc>
          <w:tcPr>
            <w:tcW w:w="4720" w:type="dxa"/>
            <w:tcBorders>
              <w:top w:val="single" w:sz="6" w:space="0" w:color="000000"/>
              <w:start w:val="single" w:sz="12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widowControl/>
              <w:suppressAutoHyphens w:val="true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eastAsia="" w:cs="Arial" w:ascii="Cambria" w:hAnsi="Cambria" w:asciiTheme="majorHAnsi" w:hAnsiTheme="majorHAnsi"/>
                <w:kern w:val="0"/>
                <w:sz w:val="20"/>
                <w:szCs w:val="20"/>
                <w:lang w:val="sk-SK" w:eastAsia="sk-SK" w:bidi="ar-SA"/>
              </w:rPr>
              <w:t>Zásoby vytvorené vlastnou činnosťou</w:t>
            </w:r>
          </w:p>
        </w:tc>
        <w:tc>
          <w:tcPr>
            <w:tcW w:w="2065" w:type="dxa"/>
            <w:tcBorders>
              <w:top w:val="single" w:sz="6" w:space="0" w:color="000000"/>
              <w:start w:val="single" w:sz="6" w:space="0" w:color="000000"/>
              <w:bottom w:val="single" w:sz="6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widowControl/>
              <w:suppressAutoHyphens w:val="true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i/>
                <w:sz w:val="20"/>
                <w:szCs w:val="20"/>
              </w:rPr>
            </w:pPr>
            <w:r>
              <w:rPr>
                <w:rFonts w:eastAsia="" w:cs="Arial" w:ascii="Cambria" w:hAnsi="Cambria" w:asciiTheme="majorHAnsi" w:hAnsiTheme="majorHAnsi"/>
                <w:i/>
                <w:kern w:val="0"/>
                <w:sz w:val="20"/>
                <w:szCs w:val="20"/>
                <w:lang w:val="sk-SK" w:eastAsia="sk-SK" w:bidi="ar-SA"/>
              </w:rPr>
              <w:t>Vlastné náklady</w:t>
            </w:r>
          </w:p>
        </w:tc>
      </w:tr>
      <w:tr>
        <w:trPr/>
        <w:tc>
          <w:tcPr>
            <w:tcW w:w="4720" w:type="dxa"/>
            <w:tcBorders>
              <w:top w:val="single" w:sz="6" w:space="0" w:color="000000"/>
              <w:start w:val="single" w:sz="12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widowControl/>
              <w:suppressAutoHyphens w:val="true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eastAsia="" w:cs="Arial" w:ascii="Cambria" w:hAnsi="Cambria" w:asciiTheme="majorHAnsi" w:hAnsiTheme="majorHAnsi"/>
                <w:kern w:val="0"/>
                <w:sz w:val="20"/>
                <w:szCs w:val="20"/>
                <w:lang w:val="sk-SK" w:eastAsia="sk-SK" w:bidi="ar-SA"/>
              </w:rPr>
              <w:t>Zásoby obstarané iným spôsobom</w:t>
            </w:r>
          </w:p>
        </w:tc>
        <w:tc>
          <w:tcPr>
            <w:tcW w:w="2065" w:type="dxa"/>
            <w:tcBorders>
              <w:top w:val="single" w:sz="6" w:space="0" w:color="000000"/>
              <w:start w:val="single" w:sz="6" w:space="0" w:color="000000"/>
              <w:bottom w:val="single" w:sz="6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widowControl/>
              <w:suppressAutoHyphens w:val="true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i/>
                <w:sz w:val="20"/>
                <w:szCs w:val="20"/>
              </w:rPr>
            </w:pPr>
            <w:r>
              <w:rPr>
                <w:rFonts w:eastAsia="" w:cs="Arial" w:ascii="Cambria" w:hAnsi="Cambria" w:asciiTheme="majorHAnsi" w:hAnsiTheme="majorHAnsi"/>
                <w:i/>
                <w:kern w:val="0"/>
                <w:sz w:val="20"/>
                <w:szCs w:val="20"/>
                <w:lang w:val="sk-SK" w:eastAsia="sk-SK" w:bidi="ar-SA"/>
              </w:rPr>
              <w:t>Reálna hodnota</w:t>
            </w:r>
          </w:p>
        </w:tc>
      </w:tr>
      <w:tr>
        <w:trPr/>
        <w:tc>
          <w:tcPr>
            <w:tcW w:w="4720" w:type="dxa"/>
            <w:tcBorders>
              <w:top w:val="single" w:sz="6" w:space="0" w:color="000000"/>
              <w:start w:val="single" w:sz="12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widowControl/>
              <w:suppressAutoHyphens w:val="true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eastAsia="" w:cs="Arial" w:ascii="Cambria" w:hAnsi="Cambria" w:asciiTheme="majorHAnsi" w:hAnsiTheme="majorHAnsi"/>
                <w:kern w:val="0"/>
                <w:sz w:val="20"/>
                <w:szCs w:val="20"/>
                <w:lang w:val="sk-SK" w:eastAsia="sk-SK" w:bidi="ar-SA"/>
              </w:rPr>
              <w:t>Zákazková výroba</w:t>
            </w:r>
          </w:p>
        </w:tc>
        <w:tc>
          <w:tcPr>
            <w:tcW w:w="2065" w:type="dxa"/>
            <w:tcBorders>
              <w:top w:val="single" w:sz="6" w:space="0" w:color="000000"/>
              <w:start w:val="single" w:sz="6" w:space="0" w:color="000000"/>
              <w:bottom w:val="single" w:sz="6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widowControl/>
              <w:suppressAutoHyphens w:val="true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i/>
                <w:sz w:val="20"/>
                <w:szCs w:val="20"/>
              </w:rPr>
            </w:pPr>
            <w:r>
              <w:rPr>
                <w:rFonts w:eastAsia="" w:cs="Arial" w:ascii="Cambria" w:hAnsi="Cambria" w:asciiTheme="majorHAnsi" w:hAnsiTheme="majorHAnsi"/>
                <w:i/>
                <w:kern w:val="0"/>
                <w:sz w:val="20"/>
                <w:szCs w:val="20"/>
                <w:lang w:val="sk-SK" w:eastAsia="sk-SK" w:bidi="ar-SA"/>
              </w:rPr>
              <w:t>Menovitá hodnota</w:t>
            </w:r>
          </w:p>
        </w:tc>
      </w:tr>
      <w:tr>
        <w:trPr/>
        <w:tc>
          <w:tcPr>
            <w:tcW w:w="4720" w:type="dxa"/>
            <w:tcBorders>
              <w:top w:val="single" w:sz="6" w:space="0" w:color="000000"/>
              <w:start w:val="single" w:sz="12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widowControl/>
              <w:suppressAutoHyphens w:val="true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eastAsia="" w:cs="Arial" w:ascii="Cambria" w:hAnsi="Cambria" w:asciiTheme="majorHAnsi" w:hAnsiTheme="majorHAnsi"/>
                <w:kern w:val="0"/>
                <w:sz w:val="20"/>
                <w:szCs w:val="20"/>
                <w:lang w:val="sk-SK" w:eastAsia="sk-SK" w:bidi="ar-SA"/>
              </w:rPr>
              <w:t>Zákazková výstavba nehnuteľnosti určenej na predaj</w:t>
            </w:r>
          </w:p>
        </w:tc>
        <w:tc>
          <w:tcPr>
            <w:tcW w:w="2065" w:type="dxa"/>
            <w:tcBorders>
              <w:top w:val="single" w:sz="6" w:space="0" w:color="000000"/>
              <w:start w:val="single" w:sz="6" w:space="0" w:color="000000"/>
              <w:bottom w:val="single" w:sz="6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widowControl/>
              <w:suppressAutoHyphens w:val="true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i/>
                <w:sz w:val="20"/>
                <w:szCs w:val="20"/>
              </w:rPr>
            </w:pPr>
            <w:r>
              <w:rPr>
                <w:rFonts w:eastAsia="" w:cs="Arial" w:ascii="Cambria" w:hAnsi="Cambria" w:asciiTheme="majorHAnsi" w:hAnsiTheme="majorHAnsi"/>
                <w:i/>
                <w:kern w:val="0"/>
                <w:sz w:val="20"/>
                <w:szCs w:val="20"/>
                <w:lang w:val="sk-SK" w:eastAsia="sk-SK" w:bidi="ar-SA"/>
              </w:rPr>
              <w:t>Menovitá hodnota</w:t>
            </w:r>
          </w:p>
        </w:tc>
      </w:tr>
      <w:tr>
        <w:trPr/>
        <w:tc>
          <w:tcPr>
            <w:tcW w:w="4720" w:type="dxa"/>
            <w:tcBorders>
              <w:top w:val="single" w:sz="6" w:space="0" w:color="000000"/>
              <w:start w:val="single" w:sz="12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widowControl/>
              <w:suppressAutoHyphens w:val="true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eastAsia="" w:cs="Arial" w:ascii="Cambria" w:hAnsi="Cambria" w:asciiTheme="majorHAnsi" w:hAnsiTheme="majorHAnsi"/>
                <w:kern w:val="0"/>
                <w:sz w:val="20"/>
                <w:szCs w:val="20"/>
                <w:lang w:val="sk-SK" w:eastAsia="sk-SK" w:bidi="ar-SA"/>
              </w:rPr>
              <w:t>Pohľadávky</w:t>
            </w:r>
          </w:p>
        </w:tc>
        <w:tc>
          <w:tcPr>
            <w:tcW w:w="2065" w:type="dxa"/>
            <w:tcBorders>
              <w:top w:val="single" w:sz="6" w:space="0" w:color="000000"/>
              <w:start w:val="single" w:sz="6" w:space="0" w:color="000000"/>
              <w:bottom w:val="single" w:sz="6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widowControl/>
              <w:suppressAutoHyphens w:val="true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i/>
                <w:sz w:val="20"/>
                <w:szCs w:val="20"/>
              </w:rPr>
            </w:pPr>
            <w:r>
              <w:rPr>
                <w:rFonts w:eastAsia="" w:cs="Arial" w:ascii="Cambria" w:hAnsi="Cambria" w:asciiTheme="majorHAnsi" w:hAnsiTheme="majorHAnsi"/>
                <w:i/>
                <w:kern w:val="0"/>
                <w:sz w:val="20"/>
                <w:szCs w:val="20"/>
                <w:lang w:val="sk-SK" w:eastAsia="sk-SK" w:bidi="ar-SA"/>
              </w:rPr>
              <w:t>Menovitá hodnota</w:t>
            </w:r>
          </w:p>
        </w:tc>
      </w:tr>
      <w:tr>
        <w:trPr/>
        <w:tc>
          <w:tcPr>
            <w:tcW w:w="4720" w:type="dxa"/>
            <w:tcBorders>
              <w:top w:val="single" w:sz="6" w:space="0" w:color="000000"/>
              <w:start w:val="single" w:sz="12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widowControl/>
              <w:suppressAutoHyphens w:val="true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eastAsia="" w:cs="Arial" w:ascii="Cambria" w:hAnsi="Cambria" w:asciiTheme="majorHAnsi" w:hAnsiTheme="majorHAnsi"/>
                <w:kern w:val="0"/>
                <w:sz w:val="20"/>
                <w:szCs w:val="20"/>
                <w:lang w:val="sk-SK" w:eastAsia="sk-SK" w:bidi="ar-SA"/>
              </w:rPr>
              <w:t>Krátkodobý finančný majetok</w:t>
            </w:r>
          </w:p>
        </w:tc>
        <w:tc>
          <w:tcPr>
            <w:tcW w:w="2065" w:type="dxa"/>
            <w:tcBorders>
              <w:top w:val="single" w:sz="6" w:space="0" w:color="000000"/>
              <w:start w:val="single" w:sz="6" w:space="0" w:color="000000"/>
              <w:bottom w:val="single" w:sz="6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widowControl/>
              <w:suppressAutoHyphens w:val="true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i/>
                <w:sz w:val="20"/>
                <w:szCs w:val="20"/>
              </w:rPr>
            </w:pPr>
            <w:r>
              <w:rPr>
                <w:rFonts w:eastAsia="" w:cs="Arial" w:ascii="Cambria" w:hAnsi="Cambria" w:asciiTheme="majorHAnsi" w:hAnsiTheme="majorHAnsi"/>
                <w:i/>
                <w:kern w:val="0"/>
                <w:sz w:val="20"/>
                <w:szCs w:val="20"/>
                <w:lang w:val="sk-SK" w:eastAsia="sk-SK" w:bidi="ar-SA"/>
              </w:rPr>
              <w:t>Obstarávacia cena</w:t>
            </w:r>
          </w:p>
        </w:tc>
      </w:tr>
      <w:tr>
        <w:trPr/>
        <w:tc>
          <w:tcPr>
            <w:tcW w:w="4720" w:type="dxa"/>
            <w:tcBorders>
              <w:top w:val="single" w:sz="6" w:space="0" w:color="000000"/>
              <w:start w:val="single" w:sz="12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widowControl/>
              <w:suppressAutoHyphens w:val="true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eastAsia="" w:cs="Arial" w:ascii="Cambria" w:hAnsi="Cambria" w:asciiTheme="majorHAnsi" w:hAnsiTheme="majorHAnsi"/>
                <w:kern w:val="0"/>
                <w:sz w:val="20"/>
                <w:szCs w:val="20"/>
                <w:lang w:val="sk-SK" w:eastAsia="sk-SK" w:bidi="ar-SA"/>
              </w:rPr>
              <w:t>Časové rozlíšenie na strane aktív súvahy</w:t>
            </w:r>
          </w:p>
        </w:tc>
        <w:tc>
          <w:tcPr>
            <w:tcW w:w="2065" w:type="dxa"/>
            <w:tcBorders>
              <w:top w:val="single" w:sz="6" w:space="0" w:color="000000"/>
              <w:start w:val="single" w:sz="6" w:space="0" w:color="000000"/>
              <w:bottom w:val="single" w:sz="6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widowControl/>
              <w:suppressAutoHyphens w:val="true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i/>
                <w:sz w:val="20"/>
                <w:szCs w:val="20"/>
              </w:rPr>
            </w:pPr>
            <w:r>
              <w:rPr>
                <w:rFonts w:eastAsia="" w:cs="Arial" w:ascii="Cambria" w:hAnsi="Cambria" w:asciiTheme="majorHAnsi" w:hAnsiTheme="majorHAnsi"/>
                <w:i/>
                <w:kern w:val="0"/>
                <w:sz w:val="20"/>
                <w:szCs w:val="20"/>
                <w:lang w:val="sk-SK" w:eastAsia="sk-SK" w:bidi="ar-SA"/>
              </w:rPr>
              <w:t>Menovitá hodnota</w:t>
            </w:r>
          </w:p>
        </w:tc>
      </w:tr>
      <w:tr>
        <w:trPr/>
        <w:tc>
          <w:tcPr>
            <w:tcW w:w="4720" w:type="dxa"/>
            <w:tcBorders>
              <w:top w:val="single" w:sz="6" w:space="0" w:color="000000"/>
              <w:start w:val="single" w:sz="12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widowControl/>
              <w:suppressAutoHyphens w:val="true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eastAsia="" w:cs="Arial" w:ascii="Cambria" w:hAnsi="Cambria" w:asciiTheme="majorHAnsi" w:hAnsiTheme="majorHAnsi"/>
                <w:kern w:val="0"/>
                <w:sz w:val="20"/>
                <w:szCs w:val="20"/>
                <w:lang w:val="sk-SK" w:eastAsia="sk-SK" w:bidi="ar-SA"/>
              </w:rPr>
              <w:t>Záväzky</w:t>
            </w:r>
          </w:p>
        </w:tc>
        <w:tc>
          <w:tcPr>
            <w:tcW w:w="2065" w:type="dxa"/>
            <w:tcBorders>
              <w:top w:val="single" w:sz="6" w:space="0" w:color="000000"/>
              <w:start w:val="single" w:sz="6" w:space="0" w:color="000000"/>
              <w:bottom w:val="single" w:sz="6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widowControl/>
              <w:suppressAutoHyphens w:val="true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i/>
                <w:sz w:val="20"/>
                <w:szCs w:val="20"/>
              </w:rPr>
            </w:pPr>
            <w:r>
              <w:rPr>
                <w:rFonts w:eastAsia="" w:cs="Arial" w:ascii="Cambria" w:hAnsi="Cambria" w:asciiTheme="majorHAnsi" w:hAnsiTheme="majorHAnsi"/>
                <w:i/>
                <w:kern w:val="0"/>
                <w:sz w:val="20"/>
                <w:szCs w:val="20"/>
                <w:lang w:val="sk-SK" w:eastAsia="sk-SK" w:bidi="ar-SA"/>
              </w:rPr>
              <w:t>Menovitá hodnota</w:t>
            </w:r>
          </w:p>
        </w:tc>
      </w:tr>
      <w:tr>
        <w:trPr/>
        <w:tc>
          <w:tcPr>
            <w:tcW w:w="4720" w:type="dxa"/>
            <w:tcBorders>
              <w:top w:val="single" w:sz="6" w:space="0" w:color="000000"/>
              <w:start w:val="single" w:sz="12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widowControl/>
              <w:suppressAutoHyphens w:val="true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eastAsia="" w:cs="Arial" w:ascii="Cambria" w:hAnsi="Cambria" w:asciiTheme="majorHAnsi" w:hAnsiTheme="majorHAnsi"/>
                <w:kern w:val="0"/>
                <w:sz w:val="20"/>
                <w:szCs w:val="20"/>
                <w:lang w:val="sk-SK" w:eastAsia="sk-SK" w:bidi="ar-SA"/>
              </w:rPr>
              <w:t>Časové rozlíšenie na strane pasív súvahy</w:t>
            </w:r>
          </w:p>
        </w:tc>
        <w:tc>
          <w:tcPr>
            <w:tcW w:w="2065" w:type="dxa"/>
            <w:tcBorders>
              <w:top w:val="single" w:sz="6" w:space="0" w:color="000000"/>
              <w:start w:val="single" w:sz="6" w:space="0" w:color="000000"/>
              <w:bottom w:val="single" w:sz="6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widowControl/>
              <w:suppressAutoHyphens w:val="true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i/>
                <w:sz w:val="20"/>
                <w:szCs w:val="20"/>
              </w:rPr>
            </w:pPr>
            <w:r>
              <w:rPr>
                <w:rFonts w:eastAsia="" w:cs="Arial" w:ascii="Cambria" w:hAnsi="Cambria" w:asciiTheme="majorHAnsi" w:hAnsiTheme="majorHAnsi"/>
                <w:i/>
                <w:kern w:val="0"/>
                <w:sz w:val="20"/>
                <w:szCs w:val="20"/>
                <w:lang w:val="sk-SK" w:eastAsia="sk-SK" w:bidi="ar-SA"/>
              </w:rPr>
              <w:t>Menovitá hodnoty</w:t>
            </w:r>
          </w:p>
        </w:tc>
      </w:tr>
      <w:tr>
        <w:trPr/>
        <w:tc>
          <w:tcPr>
            <w:tcW w:w="4720" w:type="dxa"/>
            <w:tcBorders>
              <w:top w:val="single" w:sz="6" w:space="0" w:color="000000"/>
              <w:start w:val="single" w:sz="12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widowControl/>
              <w:suppressAutoHyphens w:val="true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eastAsia="" w:cs="Arial" w:ascii="Cambria" w:hAnsi="Cambria" w:asciiTheme="majorHAnsi" w:hAnsiTheme="majorHAnsi"/>
                <w:kern w:val="0"/>
                <w:sz w:val="20"/>
                <w:szCs w:val="20"/>
                <w:lang w:val="sk-SK" w:eastAsia="sk-SK" w:bidi="ar-SA"/>
              </w:rPr>
              <w:t>Deriváty</w:t>
            </w:r>
          </w:p>
        </w:tc>
        <w:tc>
          <w:tcPr>
            <w:tcW w:w="2065" w:type="dxa"/>
            <w:tcBorders>
              <w:top w:val="single" w:sz="6" w:space="0" w:color="000000"/>
              <w:start w:val="single" w:sz="6" w:space="0" w:color="000000"/>
              <w:bottom w:val="single" w:sz="6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widowControl/>
              <w:suppressAutoHyphens w:val="true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i/>
                <w:sz w:val="20"/>
                <w:szCs w:val="20"/>
              </w:rPr>
            </w:pPr>
            <w:r>
              <w:rPr>
                <w:rFonts w:eastAsia="" w:cs="Arial" w:ascii="Cambria" w:hAnsi="Cambria" w:asciiTheme="majorHAnsi" w:hAnsiTheme="majorHAnsi"/>
                <w:i/>
                <w:kern w:val="0"/>
                <w:sz w:val="20"/>
                <w:szCs w:val="20"/>
                <w:lang w:val="sk-SK" w:eastAsia="sk-SK" w:bidi="ar-SA"/>
              </w:rPr>
              <w:t>Menovitá hodnota</w:t>
            </w:r>
          </w:p>
        </w:tc>
      </w:tr>
      <w:tr>
        <w:trPr/>
        <w:tc>
          <w:tcPr>
            <w:tcW w:w="4720" w:type="dxa"/>
            <w:tcBorders>
              <w:top w:val="single" w:sz="6" w:space="0" w:color="000000"/>
              <w:start w:val="single" w:sz="12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widowControl/>
              <w:suppressAutoHyphens w:val="true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eastAsia="" w:cs="Arial" w:ascii="Cambria" w:hAnsi="Cambria" w:asciiTheme="majorHAnsi" w:hAnsiTheme="majorHAnsi"/>
                <w:kern w:val="0"/>
                <w:sz w:val="20"/>
                <w:szCs w:val="20"/>
                <w:lang w:val="sk-SK" w:eastAsia="sk-SK" w:bidi="ar-SA"/>
              </w:rPr>
              <w:t>Majetok a záväzky zabezpečené derivátmi</w:t>
            </w:r>
          </w:p>
        </w:tc>
        <w:tc>
          <w:tcPr>
            <w:tcW w:w="2065" w:type="dxa"/>
            <w:tcBorders>
              <w:top w:val="single" w:sz="6" w:space="0" w:color="000000"/>
              <w:start w:val="single" w:sz="6" w:space="0" w:color="000000"/>
              <w:bottom w:val="single" w:sz="6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widowControl/>
              <w:suppressAutoHyphens w:val="true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i/>
                <w:sz w:val="20"/>
                <w:szCs w:val="20"/>
              </w:rPr>
            </w:pPr>
            <w:r>
              <w:rPr>
                <w:rFonts w:eastAsia="" w:cs="Arial" w:ascii="Cambria" w:hAnsi="Cambria" w:asciiTheme="majorHAnsi" w:hAnsiTheme="majorHAnsi"/>
                <w:i/>
                <w:kern w:val="0"/>
                <w:sz w:val="20"/>
                <w:szCs w:val="20"/>
                <w:lang w:val="sk-SK" w:eastAsia="sk-SK" w:bidi="ar-SA"/>
              </w:rPr>
              <w:t>Menovitá hodnota</w:t>
            </w:r>
          </w:p>
        </w:tc>
      </w:tr>
      <w:tr>
        <w:trPr/>
        <w:tc>
          <w:tcPr>
            <w:tcW w:w="4720" w:type="dxa"/>
            <w:tcBorders>
              <w:top w:val="single" w:sz="6" w:space="0" w:color="000000"/>
              <w:start w:val="single" w:sz="12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widowControl/>
              <w:suppressAutoHyphens w:val="true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eastAsia="" w:cs="Arial" w:ascii="Cambria" w:hAnsi="Cambria" w:asciiTheme="majorHAnsi" w:hAnsiTheme="majorHAnsi"/>
                <w:kern w:val="0"/>
                <w:sz w:val="20"/>
                <w:szCs w:val="20"/>
                <w:lang w:val="sk-SK" w:eastAsia="sk-SK" w:bidi="ar-SA"/>
              </w:rPr>
              <w:t>Prenajatý majetok</w:t>
            </w:r>
          </w:p>
        </w:tc>
        <w:tc>
          <w:tcPr>
            <w:tcW w:w="2065" w:type="dxa"/>
            <w:tcBorders>
              <w:top w:val="single" w:sz="6" w:space="0" w:color="000000"/>
              <w:start w:val="single" w:sz="6" w:space="0" w:color="000000"/>
              <w:bottom w:val="single" w:sz="6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widowControl/>
              <w:suppressAutoHyphens w:val="true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i/>
                <w:sz w:val="20"/>
                <w:szCs w:val="20"/>
              </w:rPr>
            </w:pPr>
            <w:r>
              <w:rPr>
                <w:rFonts w:eastAsia="" w:cs="Arial" w:ascii="Cambria" w:hAnsi="Cambria" w:asciiTheme="majorHAnsi" w:hAnsiTheme="majorHAnsi"/>
                <w:i/>
                <w:kern w:val="0"/>
                <w:sz w:val="20"/>
                <w:szCs w:val="20"/>
                <w:lang w:val="sk-SK" w:eastAsia="sk-SK" w:bidi="ar-SA"/>
              </w:rPr>
              <w:t>Obstarávacia cena</w:t>
            </w:r>
          </w:p>
        </w:tc>
      </w:tr>
      <w:tr>
        <w:trPr/>
        <w:tc>
          <w:tcPr>
            <w:tcW w:w="4720" w:type="dxa"/>
            <w:tcBorders>
              <w:top w:val="single" w:sz="6" w:space="0" w:color="000000"/>
              <w:start w:val="single" w:sz="12" w:space="0" w:color="000000"/>
              <w:bottom w:val="single" w:sz="6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widowControl/>
              <w:suppressAutoHyphens w:val="true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eastAsia="" w:cs="Arial" w:ascii="Cambria" w:hAnsi="Cambria" w:asciiTheme="majorHAnsi" w:hAnsiTheme="majorHAnsi"/>
                <w:kern w:val="0"/>
                <w:sz w:val="20"/>
                <w:szCs w:val="20"/>
                <w:lang w:val="sk-SK" w:eastAsia="sk-SK" w:bidi="ar-SA"/>
              </w:rPr>
              <w:t>Majetok obstaraný zmluvou o kúpe prenajatej veci</w:t>
            </w:r>
          </w:p>
        </w:tc>
        <w:tc>
          <w:tcPr>
            <w:tcW w:w="2065" w:type="dxa"/>
            <w:tcBorders>
              <w:top w:val="single" w:sz="6" w:space="0" w:color="000000"/>
              <w:start w:val="single" w:sz="6" w:space="0" w:color="000000"/>
              <w:bottom w:val="single" w:sz="6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widowControl/>
              <w:suppressAutoHyphens w:val="true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i/>
                <w:sz w:val="20"/>
                <w:szCs w:val="20"/>
              </w:rPr>
            </w:pPr>
            <w:r>
              <w:rPr>
                <w:rFonts w:eastAsia="" w:cs="Arial" w:ascii="Cambria" w:hAnsi="Cambria" w:asciiTheme="majorHAnsi" w:hAnsiTheme="majorHAnsi"/>
                <w:i/>
                <w:kern w:val="0"/>
                <w:sz w:val="20"/>
                <w:szCs w:val="20"/>
                <w:lang w:val="sk-SK" w:eastAsia="sk-SK" w:bidi="ar-SA"/>
              </w:rPr>
              <w:t>Obstarávacia cena</w:t>
            </w:r>
          </w:p>
        </w:tc>
      </w:tr>
      <w:tr>
        <w:trPr/>
        <w:tc>
          <w:tcPr>
            <w:tcW w:w="4720" w:type="dxa"/>
            <w:tcBorders>
              <w:top w:val="single" w:sz="6" w:space="0" w:color="000000"/>
              <w:start w:val="single" w:sz="12" w:space="0" w:color="000000"/>
              <w:bottom w:val="single" w:sz="12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widowControl/>
              <w:suppressAutoHyphens w:val="true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eastAsia="" w:cs="Arial" w:ascii="Cambria" w:hAnsi="Cambria" w:asciiTheme="majorHAnsi" w:hAnsiTheme="majorHAnsi"/>
                <w:kern w:val="0"/>
                <w:sz w:val="20"/>
                <w:szCs w:val="20"/>
                <w:lang w:val="sk-SK" w:eastAsia="sk-SK" w:bidi="ar-SA"/>
              </w:rPr>
              <w:t>Splatná a odložená daň z príjmov</w:t>
            </w:r>
          </w:p>
        </w:tc>
        <w:tc>
          <w:tcPr>
            <w:tcW w:w="2065" w:type="dxa"/>
            <w:tcBorders>
              <w:top w:val="single" w:sz="6" w:space="0" w:color="000000"/>
              <w:start w:val="single" w:sz="6" w:space="0" w:color="000000"/>
              <w:bottom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widowControl/>
              <w:suppressAutoHyphens w:val="true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i/>
                <w:sz w:val="20"/>
                <w:szCs w:val="20"/>
              </w:rPr>
            </w:pPr>
            <w:r>
              <w:rPr>
                <w:rFonts w:eastAsia="" w:cs="Arial" w:ascii="Cambria" w:hAnsi="Cambria" w:asciiTheme="majorHAnsi" w:hAnsiTheme="majorHAnsi"/>
                <w:i/>
                <w:kern w:val="0"/>
                <w:sz w:val="20"/>
                <w:szCs w:val="20"/>
                <w:lang w:val="sk-SK" w:eastAsia="sk-SK" w:bidi="ar-SA"/>
              </w:rPr>
              <w:t>Menovitá hodnota</w:t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ascii="Cambria" w:hAnsi="Cambria" w:cs="Arial" w:asciiTheme="majorHAnsi" w:hAnsiTheme="majorHAnsi"/>
          <w:sz w:val="20"/>
          <w:szCs w:val="20"/>
        </w:rPr>
      </w:pPr>
      <w:r>
        <w:rPr>
          <w:rFonts w:cs="Arial" w:ascii="Cambria" w:hAnsi="Cambria"/>
          <w:sz w:val="20"/>
          <w:szCs w:val="20"/>
        </w:rPr>
      </w:r>
    </w:p>
    <w:p>
      <w:pPr>
        <w:pStyle w:val="Normal"/>
        <w:spacing w:lineRule="auto" w:line="240" w:before="0" w:after="0"/>
        <w:jc w:val="both"/>
        <w:rPr>
          <w:rFonts w:ascii="Cambria" w:hAnsi="Cambria" w:cs="Arial" w:asciiTheme="majorHAnsi" w:hAnsiTheme="majorHAnsi"/>
          <w:sz w:val="20"/>
          <w:szCs w:val="20"/>
        </w:rPr>
      </w:pPr>
      <w:r>
        <w:rPr>
          <w:rFonts w:cs="Arial" w:ascii="Cambria" w:hAnsi="Cambria"/>
          <w:sz w:val="20"/>
          <w:szCs w:val="20"/>
        </w:rPr>
      </w:r>
    </w:p>
    <w:p>
      <w:pPr>
        <w:pStyle w:val="Normal"/>
        <w:spacing w:lineRule="auto" w:line="240"/>
        <w:jc w:val="both"/>
        <w:rPr>
          <w:rFonts w:ascii="Cambria" w:hAnsi="Cambria" w:cs="Arial" w:asciiTheme="majorHAnsi" w:hAnsiTheme="majorHAnsi"/>
          <w:b/>
        </w:rPr>
      </w:pPr>
      <w:r>
        <w:rPr>
          <w:rFonts w:cs="Arial" w:ascii="Cambria" w:hAnsi="Cambria" w:asciiTheme="majorHAnsi" w:hAnsiTheme="majorHAnsi"/>
          <w:b/>
        </w:rPr>
        <w:t>III.4 b) Odhad zníženia hodnoty majetku a tvorba opravných položiek k majetku:</w:t>
      </w:r>
    </w:p>
    <w:p>
      <w:pPr>
        <w:pStyle w:val="Normal"/>
        <w:spacing w:lineRule="auto" w:line="240"/>
        <w:jc w:val="both"/>
        <w:rPr>
          <w:rFonts w:ascii="Cambria" w:hAnsi="Cambria" w:eastAsia="MS Gothic" w:cs="Arial" w:asciiTheme="majorHAnsi" w:hAnsiTheme="majorHAnsi"/>
          <w:b/>
          <w:sz w:val="20"/>
          <w:szCs w:val="20"/>
        </w:rPr>
      </w:pPr>
      <w:r>
        <w:rPr>
          <w:rFonts w:cs="Arial" w:ascii="Cambria" w:hAnsi="Cambria" w:asciiTheme="majorHAnsi" w:hAnsiTheme="majorHAnsi"/>
          <w:i/>
          <w:sz w:val="24"/>
          <w:szCs w:val="24"/>
        </w:rPr>
        <w:t>Pre danú oblasť nemá účtovná jednotka obsahovú náplň</w:t>
      </w:r>
    </w:p>
    <w:p>
      <w:pPr>
        <w:pStyle w:val="Normal"/>
        <w:spacing w:lineRule="auto" w:line="240" w:before="0" w:after="0"/>
        <w:jc w:val="both"/>
        <w:rPr>
          <w:rFonts w:ascii="Cambria" w:hAnsi="Cambria" w:cs="Arial" w:asciiTheme="majorHAnsi" w:hAnsiTheme="majorHAnsi"/>
          <w:sz w:val="20"/>
          <w:szCs w:val="20"/>
        </w:rPr>
      </w:pPr>
      <w:r>
        <w:rPr>
          <w:rFonts w:cs="Arial" w:ascii="Cambria" w:hAnsi="Cambria"/>
          <w:sz w:val="20"/>
          <w:szCs w:val="20"/>
        </w:rPr>
      </w:r>
    </w:p>
    <w:p>
      <w:pPr>
        <w:pStyle w:val="Normal"/>
        <w:spacing w:lineRule="auto" w:line="240"/>
        <w:jc w:val="both"/>
        <w:rPr>
          <w:rFonts w:ascii="Cambria" w:hAnsi="Cambria" w:cs="Arial" w:asciiTheme="majorHAnsi" w:hAnsiTheme="majorHAnsi"/>
          <w:sz w:val="20"/>
          <w:szCs w:val="20"/>
        </w:rPr>
      </w:pPr>
      <w:r>
        <w:rPr>
          <w:rFonts w:cs="Arial" w:ascii="Cambria" w:hAnsi="Cambria" w:asciiTheme="majorHAnsi" w:hAnsiTheme="majorHAnsi"/>
          <w:b/>
        </w:rPr>
        <w:t>III. 4 c) Ocenenie záväzkov a stanovenie odhadu ocenenia rezerv:</w:t>
      </w:r>
    </w:p>
    <w:p>
      <w:pPr>
        <w:pStyle w:val="Normal"/>
        <w:spacing w:lineRule="auto" w:line="240" w:before="0" w:after="0"/>
        <w:jc w:val="both"/>
        <w:rPr>
          <w:rFonts w:ascii="Cambria" w:hAnsi="Cambria" w:cs="Arial" w:asciiTheme="majorHAnsi" w:hAnsiTheme="majorHAnsi"/>
          <w:sz w:val="20"/>
          <w:szCs w:val="20"/>
        </w:rPr>
      </w:pPr>
      <w:r>
        <w:rPr>
          <w:rFonts w:cs="Arial" w:ascii="Cambria" w:hAnsi="Cambria"/>
          <w:sz w:val="20"/>
          <w:szCs w:val="20"/>
        </w:rPr>
      </w:r>
    </w:p>
    <w:tbl>
      <w:tblPr>
        <w:tblStyle w:val="Mriekatabuky"/>
        <w:tblW w:w="8934" w:type="dxa"/>
        <w:jc w:val="start"/>
        <w:tblInd w:w="108" w:type="dxa"/>
        <w:tblLayout w:type="fixed"/>
        <w:tblCellMar>
          <w:top w:w="0" w:type="dxa"/>
          <w:start w:w="108" w:type="dxa"/>
          <w:bottom w:w="0" w:type="dxa"/>
          <w:end w:w="108" w:type="dxa"/>
        </w:tblCellMar>
        <w:tblLook w:firstRow="1" w:noVBand="1" w:lastRow="0" w:firstColumn="1" w:lastColumn="0" w:noHBand="0" w:val="04a0"/>
      </w:tblPr>
      <w:tblGrid>
        <w:gridCol w:w="4430"/>
        <w:gridCol w:w="4504"/>
      </w:tblGrid>
      <w:tr>
        <w:trPr>
          <w:trHeight w:val="397" w:hRule="atLeast"/>
        </w:trPr>
        <w:tc>
          <w:tcPr>
            <w:tcW w:w="4430" w:type="dxa"/>
            <w:tcBorders>
              <w:top w:val="single" w:sz="12" w:space="0" w:color="000000"/>
              <w:start w:val="single" w:sz="12" w:space="0" w:color="000000"/>
              <w:bottom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widowControl/>
              <w:suppressAutoHyphens w:val="true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b/>
                <w:sz w:val="20"/>
                <w:szCs w:val="20"/>
              </w:rPr>
            </w:pPr>
            <w:r>
              <w:rPr>
                <w:rFonts w:eastAsia="" w:cs="Arial" w:ascii="Cambria" w:hAnsi="Cambria" w:asciiTheme="majorHAnsi" w:hAnsiTheme="majorHAnsi"/>
                <w:b/>
                <w:kern w:val="0"/>
                <w:sz w:val="20"/>
                <w:szCs w:val="20"/>
                <w:lang w:val="sk-SK" w:eastAsia="sk-SK" w:bidi="ar-SA"/>
              </w:rPr>
              <w:t>Určenie ocenenia záväzkov</w:t>
            </w:r>
          </w:p>
        </w:tc>
        <w:tc>
          <w:tcPr>
            <w:tcW w:w="4504" w:type="dxa"/>
            <w:tcBorders>
              <w:top w:val="single" w:sz="12" w:space="0" w:color="000000"/>
              <w:start w:val="single" w:sz="12" w:space="0" w:color="000000"/>
              <w:bottom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widowControl/>
              <w:suppressAutoHyphens w:val="true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b/>
                <w:sz w:val="20"/>
                <w:szCs w:val="20"/>
              </w:rPr>
            </w:pPr>
            <w:r>
              <w:rPr>
                <w:rFonts w:eastAsia="" w:cs="Arial" w:ascii="Cambria" w:hAnsi="Cambria" w:asciiTheme="majorHAnsi" w:hAnsiTheme="majorHAnsi"/>
                <w:b/>
                <w:kern w:val="0"/>
                <w:sz w:val="20"/>
                <w:szCs w:val="20"/>
                <w:lang w:val="sk-SK" w:eastAsia="sk-SK" w:bidi="ar-SA"/>
              </w:rPr>
              <w:t>Odhad ocenenia rezerv</w:t>
            </w:r>
          </w:p>
        </w:tc>
      </w:tr>
      <w:tr>
        <w:trPr>
          <w:trHeight w:val="397" w:hRule="atLeast"/>
        </w:trPr>
        <w:tc>
          <w:tcPr>
            <w:tcW w:w="4430" w:type="dxa"/>
            <w:tcBorders>
              <w:top w:val="single" w:sz="12" w:space="0" w:color="000000"/>
              <w:start w:val="single" w:sz="12" w:space="0" w:color="000000"/>
              <w:bottom w:val="single" w:sz="12" w:space="0" w:color="000000"/>
              <w:end w:val="single" w:sz="6" w:space="0" w:color="000000"/>
            </w:tcBorders>
            <w:vAlign w:val="center"/>
          </w:tcPr>
          <w:p>
            <w:pPr>
              <w:pStyle w:val="Normal"/>
              <w:widowControl/>
              <w:suppressAutoHyphens w:val="true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eastAsia="" w:cs="Arial" w:ascii="Cambria" w:hAnsi="Cambria" w:asciiTheme="majorHAnsi" w:hAnsiTheme="majorHAnsi"/>
                <w:kern w:val="0"/>
                <w:sz w:val="20"/>
                <w:szCs w:val="20"/>
                <w:lang w:val="sk-SK" w:eastAsia="sk-SK" w:bidi="ar-SA"/>
              </w:rPr>
              <w:t>menovitá hodnota</w:t>
            </w:r>
          </w:p>
        </w:tc>
        <w:tc>
          <w:tcPr>
            <w:tcW w:w="4504" w:type="dxa"/>
            <w:tcBorders>
              <w:top w:val="single" w:sz="12" w:space="0" w:color="000000"/>
              <w:start w:val="single" w:sz="6" w:space="0" w:color="000000"/>
              <w:bottom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widowControl/>
              <w:suppressAutoHyphens w:val="true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ascii="Cambria" w:hAnsi="Cambria" w:cs="Arial" w:asciiTheme="majorHAnsi" w:hAnsiTheme="majorHAnsi"/>
          <w:sz w:val="20"/>
          <w:szCs w:val="20"/>
        </w:rPr>
      </w:pPr>
      <w:r>
        <w:rPr>
          <w:rFonts w:cs="Arial" w:ascii="Cambria" w:hAnsi="Cambria"/>
          <w:sz w:val="20"/>
          <w:szCs w:val="20"/>
        </w:rPr>
      </w:r>
    </w:p>
    <w:p>
      <w:pPr>
        <w:pStyle w:val="Normal"/>
        <w:spacing w:lineRule="auto" w:line="240" w:before="0" w:after="0"/>
        <w:jc w:val="both"/>
        <w:rPr>
          <w:rFonts w:ascii="Cambria" w:hAnsi="Cambria" w:cs="Arial" w:asciiTheme="majorHAnsi" w:hAnsiTheme="majorHAnsi"/>
          <w:sz w:val="20"/>
          <w:szCs w:val="20"/>
        </w:rPr>
      </w:pPr>
      <w:r>
        <w:rPr>
          <w:rFonts w:cs="Arial" w:ascii="Cambria" w:hAnsi="Cambria"/>
          <w:sz w:val="20"/>
          <w:szCs w:val="20"/>
        </w:rPr>
      </w:r>
    </w:p>
    <w:p>
      <w:pPr>
        <w:pStyle w:val="ListParagraph"/>
        <w:spacing w:lineRule="auto" w:line="240" w:before="0" w:after="0"/>
        <w:ind w:start="0"/>
        <w:contextualSpacing/>
        <w:jc w:val="both"/>
        <w:rPr>
          <w:rFonts w:ascii="Cambria" w:hAnsi="Cambria" w:cs="Arial" w:asciiTheme="majorHAnsi" w:hAnsiTheme="majorHAnsi"/>
        </w:rPr>
      </w:pPr>
      <w:r>
        <w:rPr>
          <w:rFonts w:eastAsia="MS Gothic" w:cs="Arial" w:ascii="Cambria" w:hAnsi="Cambria" w:asciiTheme="majorHAnsi" w:hAnsiTheme="majorHAnsi"/>
          <w:b/>
        </w:rPr>
        <w:t>III. 4 d) Ocenenie finančných nástrojov alebo majetku, ktorý nie je finančným nástrojom</w:t>
      </w:r>
    </w:p>
    <w:p>
      <w:pPr>
        <w:pStyle w:val="ListParagraph"/>
        <w:spacing w:lineRule="auto" w:line="240" w:before="0" w:after="0"/>
        <w:ind w:start="0"/>
        <w:contextualSpacing/>
        <w:jc w:val="both"/>
        <w:rPr>
          <w:rFonts w:ascii="Cambria" w:hAnsi="Cambria" w:eastAsia="MS Gothic" w:cs="Arial" w:asciiTheme="majorHAnsi" w:hAnsiTheme="majorHAnsi"/>
          <w:b/>
        </w:rPr>
      </w:pPr>
      <w:r>
        <w:rPr>
          <w:rFonts w:eastAsia="MS Gothic" w:cs="Arial" w:ascii="Cambria" w:hAnsi="Cambria" w:asciiTheme="majorHAnsi" w:hAnsiTheme="majorHAnsi"/>
          <w:b/>
        </w:rPr>
        <w:t>pri oceňovaní reálnou hodnotou:</w:t>
      </w:r>
    </w:p>
    <w:p>
      <w:pPr>
        <w:pStyle w:val="ListParagraph"/>
        <w:spacing w:lineRule="auto" w:line="240" w:before="0" w:after="0"/>
        <w:ind w:start="0"/>
        <w:contextualSpacing/>
        <w:jc w:val="both"/>
        <w:rPr>
          <w:rFonts w:ascii="Cambria" w:hAnsi="Cambria" w:cs="Arial" w:asciiTheme="majorHAnsi" w:hAnsiTheme="majorHAnsi"/>
          <w:i/>
          <w:sz w:val="24"/>
          <w:szCs w:val="24"/>
        </w:rPr>
      </w:pPr>
      <w:r>
        <w:rPr>
          <w:rFonts w:cs="Arial" w:ascii="Cambria" w:hAnsi="Cambria" w:asciiTheme="majorHAnsi" w:hAnsiTheme="majorHAnsi"/>
          <w:i/>
          <w:sz w:val="24"/>
          <w:szCs w:val="24"/>
        </w:rPr>
        <w:t>Pre danú oblasť nemá účtovná jednotka obsahovú náplň</w:t>
      </w:r>
    </w:p>
    <w:p>
      <w:pPr>
        <w:pStyle w:val="ListParagraph"/>
        <w:spacing w:lineRule="auto" w:line="240" w:before="0" w:after="0"/>
        <w:ind w:start="0"/>
        <w:contextualSpacing/>
        <w:jc w:val="both"/>
        <w:rPr>
          <w:rFonts w:ascii="Cambria" w:hAnsi="Cambria" w:cs="Arial" w:asciiTheme="majorHAnsi" w:hAnsiTheme="majorHAnsi"/>
        </w:rPr>
      </w:pPr>
      <w:r>
        <w:rPr>
          <w:rFonts w:cs="Arial" w:ascii="Cambria" w:hAnsi="Cambria"/>
        </w:rPr>
      </w:r>
    </w:p>
    <w:p>
      <w:pPr>
        <w:pStyle w:val="ListParagraph"/>
        <w:spacing w:lineRule="auto" w:line="240" w:before="0" w:after="0"/>
        <w:ind w:start="0"/>
        <w:contextualSpacing/>
        <w:jc w:val="both"/>
        <w:rPr>
          <w:rFonts w:ascii="Cambria" w:hAnsi="Cambria" w:eastAsia="MS Gothic" w:cs="Arial" w:asciiTheme="majorHAnsi" w:hAnsiTheme="majorHAnsi"/>
          <w:b/>
        </w:rPr>
      </w:pPr>
      <w:r>
        <w:rPr>
          <w:rFonts w:eastAsia="MS Gothic" w:cs="Arial" w:ascii="Cambria" w:hAnsi="Cambria" w:asciiTheme="majorHAnsi" w:hAnsiTheme="majorHAnsi"/>
          <w:b/>
        </w:rPr>
        <w:t xml:space="preserve">III. 4 e) Ocenenie finančných nástrojov pri oceňovaní obstarávacou cenou alebo vlastnými nákladmi: </w:t>
      </w:r>
    </w:p>
    <w:p>
      <w:pPr>
        <w:pStyle w:val="ListParagraph"/>
        <w:spacing w:lineRule="auto" w:line="240" w:before="0" w:after="0"/>
        <w:ind w:start="0"/>
        <w:contextualSpacing/>
        <w:jc w:val="both"/>
        <w:rPr>
          <w:rFonts w:ascii="Cambria" w:hAnsi="Cambria" w:cs="Arial" w:asciiTheme="majorHAnsi" w:hAnsiTheme="majorHAnsi"/>
        </w:rPr>
      </w:pPr>
      <w:r>
        <w:rPr>
          <w:rFonts w:cs="Arial" w:ascii="Cambria" w:hAnsi="Cambria" w:asciiTheme="majorHAnsi" w:hAnsiTheme="majorHAnsi"/>
          <w:i/>
          <w:sz w:val="24"/>
          <w:szCs w:val="24"/>
        </w:rPr>
        <w:t>Pre danú oblasť nemá účtovná jednotka obsahovú náplň</w:t>
      </w:r>
    </w:p>
    <w:p>
      <w:pPr>
        <w:pStyle w:val="Normal"/>
        <w:spacing w:lineRule="auto" w:line="240" w:before="0" w:after="0"/>
        <w:jc w:val="both"/>
        <w:rPr>
          <w:rFonts w:ascii="Cambria" w:hAnsi="Cambria" w:cs="Arial" w:asciiTheme="majorHAnsi" w:hAnsiTheme="majorHAnsi"/>
          <w:sz w:val="20"/>
          <w:szCs w:val="20"/>
        </w:rPr>
      </w:pPr>
      <w:r>
        <w:rPr>
          <w:rFonts w:cs="Arial" w:ascii="Cambria" w:hAnsi="Cambria"/>
          <w:sz w:val="20"/>
          <w:szCs w:val="20"/>
        </w:rPr>
      </w:r>
    </w:p>
    <w:p>
      <w:pPr>
        <w:pStyle w:val="ListParagraph"/>
        <w:spacing w:lineRule="auto" w:line="240" w:before="0" w:after="0"/>
        <w:ind w:start="0"/>
        <w:contextualSpacing/>
        <w:jc w:val="both"/>
        <w:rPr>
          <w:rFonts w:ascii="Cambria" w:hAnsi="Cambria" w:eastAsia="MS Gothic" w:cs="Arial" w:asciiTheme="majorHAnsi" w:hAnsiTheme="majorHAnsi"/>
          <w:b/>
        </w:rPr>
      </w:pPr>
      <w:r>
        <w:rPr>
          <w:rFonts w:eastAsia="MS Gothic" w:cs="Arial" w:ascii="Cambria" w:hAnsi="Cambria"/>
          <w:b/>
        </w:rPr>
      </w:r>
    </w:p>
    <w:p>
      <w:pPr>
        <w:pStyle w:val="ListParagraph"/>
        <w:spacing w:lineRule="auto" w:line="240" w:before="0" w:after="0"/>
        <w:ind w:start="0"/>
        <w:contextualSpacing/>
        <w:jc w:val="both"/>
        <w:rPr>
          <w:rFonts w:ascii="Cambria" w:hAnsi="Cambria" w:eastAsia="MS Gothic" w:cs="Arial" w:asciiTheme="majorHAnsi" w:hAnsiTheme="majorHAnsi"/>
          <w:b/>
        </w:rPr>
      </w:pPr>
      <w:r>
        <w:rPr>
          <w:rFonts w:eastAsia="MS Gothic" w:cs="Arial" w:ascii="Cambria" w:hAnsi="Cambria" w:asciiTheme="majorHAnsi" w:hAnsiTheme="majorHAnsi"/>
          <w:b/>
        </w:rPr>
        <w:t>III. 4 f)  Stanovenie metódy vlastného imania</w:t>
      </w:r>
    </w:p>
    <w:p>
      <w:pPr>
        <w:pStyle w:val="ListParagraph"/>
        <w:spacing w:lineRule="auto" w:line="240" w:before="0" w:after="0"/>
        <w:ind w:start="0"/>
        <w:contextualSpacing/>
        <w:jc w:val="both"/>
        <w:rPr>
          <w:rFonts w:ascii="Cambria" w:hAnsi="Cambria" w:cs="Arial" w:asciiTheme="majorHAnsi" w:hAnsiTheme="majorHAnsi"/>
        </w:rPr>
      </w:pPr>
      <w:r>
        <w:rPr>
          <w:rFonts w:cs="Arial" w:ascii="Cambria" w:hAnsi="Cambria" w:asciiTheme="majorHAnsi" w:hAnsiTheme="majorHAnsi"/>
          <w:i/>
          <w:sz w:val="24"/>
          <w:szCs w:val="24"/>
        </w:rPr>
        <w:t>Pre danú oblasť nemá účtovná jednotka obsahovú náplň</w:t>
      </w:r>
    </w:p>
    <w:p>
      <w:pPr>
        <w:pStyle w:val="Normal"/>
        <w:spacing w:lineRule="auto" w:line="240" w:before="0" w:after="0"/>
        <w:jc w:val="both"/>
        <w:rPr>
          <w:rFonts w:ascii="Cambria" w:hAnsi="Cambria" w:cs="Arial" w:asciiTheme="majorHAnsi" w:hAnsiTheme="majorHAnsi"/>
          <w:i/>
          <w:sz w:val="20"/>
          <w:szCs w:val="20"/>
        </w:rPr>
      </w:pPr>
      <w:r>
        <w:rPr>
          <w:rFonts w:cs="Arial" w:ascii="Cambria" w:hAnsi="Cambria" w:asciiTheme="majorHAnsi" w:hAnsiTheme="majorHAnsi"/>
          <w:i/>
          <w:sz w:val="20"/>
          <w:szCs w:val="20"/>
        </w:rPr>
        <w:t xml:space="preserve"> </w:t>
      </w:r>
    </w:p>
    <w:p>
      <w:pPr>
        <w:pStyle w:val="Normal"/>
        <w:spacing w:lineRule="auto" w:line="240" w:before="0" w:after="0"/>
        <w:jc w:val="both"/>
        <w:rPr>
          <w:rFonts w:ascii="Cambria" w:hAnsi="Cambria" w:cs="Arial" w:asciiTheme="majorHAnsi" w:hAnsiTheme="majorHAnsi"/>
          <w:sz w:val="20"/>
          <w:szCs w:val="20"/>
        </w:rPr>
      </w:pPr>
      <w:r>
        <w:rPr>
          <w:rFonts w:cs="Arial" w:ascii="Cambria" w:hAnsi="Cambria"/>
          <w:sz w:val="20"/>
          <w:szCs w:val="20"/>
        </w:rPr>
      </w:r>
    </w:p>
    <w:p>
      <w:pPr>
        <w:pStyle w:val="ListParagraph"/>
        <w:spacing w:lineRule="auto" w:line="240" w:before="0" w:after="0"/>
        <w:ind w:start="0"/>
        <w:contextualSpacing/>
        <w:jc w:val="both"/>
        <w:rPr>
          <w:rFonts w:ascii="Cambria" w:hAnsi="Cambria" w:cs="Arial" w:asciiTheme="majorHAnsi" w:hAnsiTheme="majorHAnsi"/>
        </w:rPr>
      </w:pPr>
      <w:r>
        <w:rPr>
          <w:rFonts w:eastAsia="MS Gothic" w:cs="Arial" w:ascii="Cambria" w:hAnsi="Cambria" w:asciiTheme="majorHAnsi" w:hAnsiTheme="majorHAnsi"/>
          <w:b/>
        </w:rPr>
        <w:t>III. 4 g) Spôsob zostavenia odpisového plánu dlhodobého majetku</w:t>
      </w:r>
    </w:p>
    <w:p>
      <w:pPr>
        <w:pStyle w:val="Normal"/>
        <w:spacing w:lineRule="auto" w:line="240" w:before="0" w:after="0"/>
        <w:jc w:val="both"/>
        <w:rPr>
          <w:rFonts w:ascii="Cambria" w:hAnsi="Cambria" w:cs="Arial" w:asciiTheme="majorHAnsi" w:hAnsiTheme="majorHAnsi"/>
          <w:sz w:val="20"/>
          <w:szCs w:val="20"/>
        </w:rPr>
      </w:pPr>
      <w:r>
        <w:rPr>
          <w:rFonts w:cs="Arial" w:ascii="Cambria" w:hAnsi="Cambria"/>
          <w:sz w:val="20"/>
          <w:szCs w:val="20"/>
        </w:rPr>
      </w:r>
    </w:p>
    <w:p>
      <w:pPr>
        <w:pStyle w:val="Normal"/>
        <w:spacing w:lineRule="auto" w:line="240"/>
        <w:jc w:val="both"/>
        <w:rPr>
          <w:rFonts w:ascii="Cambria" w:hAnsi="Cambria" w:cs="Arial" w:asciiTheme="majorHAnsi" w:hAnsiTheme="majorHAnsi"/>
          <w:sz w:val="20"/>
          <w:szCs w:val="20"/>
        </w:rPr>
      </w:pPr>
      <w:r>
        <w:rPr>
          <w:rFonts w:cs="Arial" w:ascii="Cambria" w:hAnsi="Cambria" w:asciiTheme="majorHAnsi" w:hAnsiTheme="majorHAnsi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Mriekatabuky"/>
        <w:tblW w:w="8934" w:type="dxa"/>
        <w:jc w:val="start"/>
        <w:tblInd w:w="108" w:type="dxa"/>
        <w:tblLayout w:type="fixed"/>
        <w:tblCellMar>
          <w:top w:w="0" w:type="dxa"/>
          <w:start w:w="108" w:type="dxa"/>
          <w:bottom w:w="0" w:type="dxa"/>
          <w:end w:w="108" w:type="dxa"/>
        </w:tblCellMar>
        <w:tblLook w:firstRow="1" w:noVBand="1" w:lastRow="0" w:firstColumn="1" w:lastColumn="0" w:noHBand="0" w:val="04a0"/>
      </w:tblPr>
      <w:tblGrid>
        <w:gridCol w:w="2171"/>
        <w:gridCol w:w="2263"/>
        <w:gridCol w:w="2246"/>
        <w:gridCol w:w="2254"/>
      </w:tblGrid>
      <w:tr>
        <w:trPr>
          <w:trHeight w:val="397" w:hRule="atLeast"/>
        </w:trPr>
        <w:tc>
          <w:tcPr>
            <w:tcW w:w="2171" w:type="dxa"/>
            <w:tcBorders>
              <w:top w:val="single" w:sz="12" w:space="0" w:color="000000"/>
              <w:start w:val="single" w:sz="12" w:space="0" w:color="000000"/>
              <w:bottom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widowControl/>
              <w:suppressAutoHyphens w:val="true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b/>
                <w:sz w:val="20"/>
                <w:szCs w:val="20"/>
              </w:rPr>
            </w:pPr>
            <w:r>
              <w:rPr>
                <w:rFonts w:eastAsia="" w:cs="Arial" w:ascii="Cambria" w:hAnsi="Cambria" w:asciiTheme="majorHAnsi" w:hAnsiTheme="majorHAnsi"/>
                <w:b/>
                <w:kern w:val="0"/>
                <w:sz w:val="20"/>
                <w:szCs w:val="20"/>
                <w:lang w:val="sk-SK" w:eastAsia="sk-SK" w:bidi="ar-SA"/>
              </w:rPr>
              <w:t>Druh majetku</w:t>
            </w:r>
          </w:p>
        </w:tc>
        <w:tc>
          <w:tcPr>
            <w:tcW w:w="2263" w:type="dxa"/>
            <w:tcBorders>
              <w:top w:val="single" w:sz="12" w:space="0" w:color="000000"/>
              <w:start w:val="single" w:sz="12" w:space="0" w:color="000000"/>
              <w:bottom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widowControl/>
              <w:suppressAutoHyphens w:val="true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b/>
                <w:sz w:val="20"/>
                <w:szCs w:val="20"/>
              </w:rPr>
            </w:pPr>
            <w:r>
              <w:rPr>
                <w:rFonts w:eastAsia="" w:cs="Arial" w:ascii="Cambria" w:hAnsi="Cambria" w:asciiTheme="majorHAnsi" w:hAnsiTheme="majorHAnsi"/>
                <w:b/>
                <w:kern w:val="0"/>
                <w:sz w:val="20"/>
                <w:szCs w:val="20"/>
                <w:lang w:val="sk-SK" w:eastAsia="sk-SK" w:bidi="ar-SA"/>
              </w:rPr>
              <w:t>Doba odpisovania</w:t>
            </w:r>
          </w:p>
        </w:tc>
        <w:tc>
          <w:tcPr>
            <w:tcW w:w="2246" w:type="dxa"/>
            <w:tcBorders>
              <w:top w:val="single" w:sz="12" w:space="0" w:color="000000"/>
              <w:start w:val="single" w:sz="12" w:space="0" w:color="000000"/>
              <w:bottom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widowControl/>
              <w:suppressAutoHyphens w:val="true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b/>
                <w:sz w:val="20"/>
                <w:szCs w:val="20"/>
              </w:rPr>
            </w:pPr>
            <w:r>
              <w:rPr>
                <w:rFonts w:eastAsia="" w:cs="Arial" w:ascii="Cambria" w:hAnsi="Cambria" w:asciiTheme="majorHAnsi" w:hAnsiTheme="majorHAnsi"/>
                <w:b/>
                <w:kern w:val="0"/>
                <w:sz w:val="20"/>
                <w:szCs w:val="20"/>
                <w:lang w:val="sk-SK" w:eastAsia="sk-SK" w:bidi="ar-SA"/>
              </w:rPr>
              <w:t>Sadzba odpisov</w:t>
            </w:r>
          </w:p>
        </w:tc>
        <w:tc>
          <w:tcPr>
            <w:tcW w:w="2254" w:type="dxa"/>
            <w:tcBorders>
              <w:top w:val="single" w:sz="12" w:space="0" w:color="000000"/>
              <w:start w:val="single" w:sz="12" w:space="0" w:color="000000"/>
              <w:bottom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widowControl/>
              <w:suppressAutoHyphens w:val="true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b/>
                <w:sz w:val="20"/>
                <w:szCs w:val="20"/>
              </w:rPr>
            </w:pPr>
            <w:r>
              <w:rPr>
                <w:rFonts w:eastAsia="" w:cs="Arial" w:ascii="Cambria" w:hAnsi="Cambria" w:asciiTheme="majorHAnsi" w:hAnsiTheme="majorHAnsi"/>
                <w:b/>
                <w:kern w:val="0"/>
                <w:sz w:val="20"/>
                <w:szCs w:val="20"/>
                <w:lang w:val="sk-SK" w:eastAsia="sk-SK" w:bidi="ar-SA"/>
              </w:rPr>
              <w:t>Odpisová metóda</w:t>
            </w:r>
          </w:p>
        </w:tc>
      </w:tr>
      <w:tr>
        <w:trPr>
          <w:trHeight w:val="397" w:hRule="atLeast"/>
        </w:trPr>
        <w:tc>
          <w:tcPr>
            <w:tcW w:w="2171" w:type="dxa"/>
            <w:tcBorders>
              <w:top w:val="single" w:sz="12" w:space="0" w:color="000000"/>
              <w:start w:val="single" w:sz="12" w:space="0" w:color="000000"/>
              <w:bottom w:val="single" w:sz="12" w:space="0" w:color="000000"/>
              <w:end w:val="single" w:sz="6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40" w:before="0" w:after="0"/>
              <w:jc w:val="start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eastAsia="" w:cs="Arial" w:ascii="Cambria" w:hAnsi="Cambria" w:asciiTheme="majorHAnsi" w:hAnsiTheme="majorHAnsi"/>
                <w:kern w:val="0"/>
                <w:sz w:val="20"/>
                <w:szCs w:val="20"/>
                <w:lang w:val="sk-SK" w:eastAsia="sk-SK" w:bidi="ar-SA"/>
              </w:rPr>
              <w:t>Samost.hnut.veci</w:t>
            </w:r>
          </w:p>
        </w:tc>
        <w:tc>
          <w:tcPr>
            <w:tcW w:w="2263" w:type="dxa"/>
            <w:tcBorders>
              <w:top w:val="single" w:sz="12" w:space="0" w:color="000000"/>
              <w:start w:val="single" w:sz="6" w:space="0" w:color="000000"/>
              <w:bottom w:val="single" w:sz="12" w:space="0" w:color="000000"/>
              <w:end w:val="single" w:sz="6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eastAsia="" w:cs="Arial" w:ascii="Cambria" w:hAnsi="Cambria" w:asciiTheme="majorHAnsi" w:hAnsiTheme="majorHAnsi"/>
                <w:kern w:val="0"/>
                <w:sz w:val="20"/>
                <w:szCs w:val="20"/>
                <w:lang w:val="sk-SK" w:eastAsia="sk-SK" w:bidi="ar-SA"/>
              </w:rPr>
              <w:t>6 rokov</w:t>
            </w:r>
          </w:p>
        </w:tc>
        <w:tc>
          <w:tcPr>
            <w:tcW w:w="2246" w:type="dxa"/>
            <w:tcBorders>
              <w:top w:val="single" w:sz="12" w:space="0" w:color="000000"/>
              <w:start w:val="single" w:sz="6" w:space="0" w:color="000000"/>
              <w:bottom w:val="single" w:sz="12" w:space="0" w:color="000000"/>
              <w:end w:val="single" w:sz="6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eastAsia="" w:cs="Arial" w:ascii="Cambria" w:hAnsi="Cambria" w:asciiTheme="majorHAnsi" w:hAnsiTheme="majorHAnsi"/>
                <w:kern w:val="0"/>
                <w:sz w:val="20"/>
                <w:szCs w:val="20"/>
                <w:lang w:val="sk-SK" w:eastAsia="sk-SK" w:bidi="ar-SA"/>
              </w:rPr>
              <w:t>1/6</w:t>
            </w:r>
          </w:p>
        </w:tc>
        <w:tc>
          <w:tcPr>
            <w:tcW w:w="2254" w:type="dxa"/>
            <w:tcBorders>
              <w:top w:val="single" w:sz="12" w:space="0" w:color="000000"/>
              <w:start w:val="single" w:sz="6" w:space="0" w:color="000000"/>
              <w:bottom w:val="single" w:sz="12" w:space="0" w:color="000000"/>
              <w:end w:val="single" w:sz="1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eastAsia="" w:cs="Arial" w:ascii="Cambria" w:hAnsi="Cambria" w:asciiTheme="majorHAnsi" w:hAnsiTheme="majorHAnsi"/>
                <w:kern w:val="0"/>
                <w:sz w:val="20"/>
                <w:szCs w:val="20"/>
                <w:lang w:val="sk-SK" w:eastAsia="sk-SK" w:bidi="ar-SA"/>
              </w:rPr>
              <w:t>lineárna</w:t>
            </w:r>
          </w:p>
        </w:tc>
      </w:tr>
      <w:tr>
        <w:trPr>
          <w:trHeight w:val="397" w:hRule="atLeast"/>
        </w:trPr>
        <w:tc>
          <w:tcPr>
            <w:tcW w:w="2171" w:type="dxa"/>
            <w:tcBorders>
              <w:top w:val="single" w:sz="12" w:space="0" w:color="000000"/>
              <w:start w:val="single" w:sz="12" w:space="0" w:color="000000"/>
              <w:bottom w:val="single" w:sz="12" w:space="0" w:color="000000"/>
              <w:end w:val="single" w:sz="6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40" w:before="0" w:after="0"/>
              <w:jc w:val="start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eastAsia="" w:cs="Arial" w:ascii="Cambria" w:hAnsi="Cambria" w:asciiTheme="majorHAnsi" w:hAnsiTheme="majorHAnsi"/>
                <w:kern w:val="0"/>
                <w:sz w:val="20"/>
                <w:szCs w:val="20"/>
                <w:lang w:val="sk-SK" w:eastAsia="sk-SK" w:bidi="ar-SA"/>
              </w:rPr>
              <w:t>Samost.hnut.veci</w:t>
            </w:r>
          </w:p>
        </w:tc>
        <w:tc>
          <w:tcPr>
            <w:tcW w:w="2263" w:type="dxa"/>
            <w:tcBorders>
              <w:top w:val="single" w:sz="12" w:space="0" w:color="000000"/>
              <w:start w:val="single" w:sz="6" w:space="0" w:color="000000"/>
              <w:bottom w:val="single" w:sz="12" w:space="0" w:color="000000"/>
              <w:end w:val="single" w:sz="6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eastAsia="" w:cs="Arial" w:ascii="Cambria" w:hAnsi="Cambria" w:asciiTheme="majorHAnsi" w:hAnsiTheme="majorHAnsi"/>
                <w:kern w:val="0"/>
                <w:sz w:val="20"/>
                <w:szCs w:val="20"/>
                <w:lang w:val="sk-SK" w:eastAsia="sk-SK" w:bidi="ar-SA"/>
              </w:rPr>
              <w:t>4 roky</w:t>
            </w:r>
          </w:p>
        </w:tc>
        <w:tc>
          <w:tcPr>
            <w:tcW w:w="2246" w:type="dxa"/>
            <w:tcBorders>
              <w:top w:val="single" w:sz="12" w:space="0" w:color="000000"/>
              <w:start w:val="single" w:sz="6" w:space="0" w:color="000000"/>
              <w:bottom w:val="single" w:sz="12" w:space="0" w:color="000000"/>
              <w:end w:val="single" w:sz="6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eastAsia="" w:cs="Arial" w:ascii="Cambria" w:hAnsi="Cambria" w:asciiTheme="majorHAnsi" w:hAnsiTheme="majorHAnsi"/>
                <w:kern w:val="0"/>
                <w:sz w:val="20"/>
                <w:szCs w:val="20"/>
                <w:lang w:val="sk-SK" w:eastAsia="sk-SK" w:bidi="ar-SA"/>
              </w:rPr>
              <w:t>1/4</w:t>
            </w:r>
          </w:p>
        </w:tc>
        <w:tc>
          <w:tcPr>
            <w:tcW w:w="2254" w:type="dxa"/>
            <w:tcBorders>
              <w:top w:val="single" w:sz="12" w:space="0" w:color="000000"/>
              <w:start w:val="single" w:sz="6" w:space="0" w:color="000000"/>
              <w:bottom w:val="single" w:sz="12" w:space="0" w:color="000000"/>
              <w:end w:val="single" w:sz="1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eastAsia="" w:cs="Arial" w:ascii="Cambria" w:hAnsi="Cambria" w:asciiTheme="majorHAnsi" w:hAnsiTheme="majorHAnsi"/>
                <w:kern w:val="0"/>
                <w:sz w:val="20"/>
                <w:szCs w:val="20"/>
                <w:lang w:val="sk-SK" w:eastAsia="sk-SK" w:bidi="ar-SA"/>
              </w:rPr>
              <w:t>lineárna</w:t>
            </w:r>
          </w:p>
        </w:tc>
      </w:tr>
      <w:tr>
        <w:trPr>
          <w:trHeight w:val="397" w:hRule="atLeast"/>
        </w:trPr>
        <w:tc>
          <w:tcPr>
            <w:tcW w:w="2171" w:type="dxa"/>
            <w:tcBorders>
              <w:top w:val="single" w:sz="12" w:space="0" w:color="000000"/>
              <w:start w:val="single" w:sz="12" w:space="0" w:color="000000"/>
              <w:bottom w:val="single" w:sz="12" w:space="0" w:color="000000"/>
              <w:end w:val="single" w:sz="6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40" w:before="0" w:after="0"/>
              <w:jc w:val="start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eastAsia="" w:cs="Arial" w:ascii="Cambria" w:hAnsi="Cambria" w:asciiTheme="majorHAnsi" w:hAnsiTheme="majorHAnsi"/>
                <w:kern w:val="0"/>
                <w:sz w:val="20"/>
                <w:szCs w:val="20"/>
                <w:lang w:val="sk-SK" w:eastAsia="sk-SK" w:bidi="ar-SA"/>
              </w:rPr>
              <w:t>Stavby</w:t>
            </w:r>
          </w:p>
        </w:tc>
        <w:tc>
          <w:tcPr>
            <w:tcW w:w="2263" w:type="dxa"/>
            <w:tcBorders>
              <w:top w:val="single" w:sz="12" w:space="0" w:color="000000"/>
              <w:start w:val="single" w:sz="6" w:space="0" w:color="000000"/>
              <w:bottom w:val="single" w:sz="12" w:space="0" w:color="000000"/>
              <w:end w:val="single" w:sz="6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eastAsia="" w:cs="Arial" w:ascii="Cambria" w:hAnsi="Cambria" w:asciiTheme="majorHAnsi" w:hAnsiTheme="majorHAnsi"/>
                <w:kern w:val="0"/>
                <w:sz w:val="20"/>
                <w:szCs w:val="20"/>
                <w:lang w:val="sk-SK" w:eastAsia="sk-SK" w:bidi="ar-SA"/>
              </w:rPr>
              <w:t>40 rokov</w:t>
            </w:r>
          </w:p>
        </w:tc>
        <w:tc>
          <w:tcPr>
            <w:tcW w:w="2246" w:type="dxa"/>
            <w:tcBorders>
              <w:top w:val="single" w:sz="12" w:space="0" w:color="000000"/>
              <w:start w:val="single" w:sz="6" w:space="0" w:color="000000"/>
              <w:bottom w:val="single" w:sz="12" w:space="0" w:color="000000"/>
              <w:end w:val="single" w:sz="6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eastAsia="" w:cs="Arial" w:ascii="Cambria" w:hAnsi="Cambria" w:asciiTheme="majorHAnsi" w:hAnsiTheme="majorHAnsi"/>
                <w:kern w:val="0"/>
                <w:sz w:val="20"/>
                <w:szCs w:val="20"/>
                <w:lang w:val="sk-SK" w:eastAsia="sk-SK" w:bidi="ar-SA"/>
              </w:rPr>
              <w:t>1/40</w:t>
            </w:r>
          </w:p>
        </w:tc>
        <w:tc>
          <w:tcPr>
            <w:tcW w:w="2254" w:type="dxa"/>
            <w:tcBorders>
              <w:top w:val="single" w:sz="12" w:space="0" w:color="000000"/>
              <w:start w:val="single" w:sz="6" w:space="0" w:color="000000"/>
              <w:bottom w:val="single" w:sz="12" w:space="0" w:color="000000"/>
              <w:end w:val="single" w:sz="1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eastAsia="" w:cs="Arial" w:ascii="Cambria" w:hAnsi="Cambria" w:asciiTheme="majorHAnsi" w:hAnsiTheme="majorHAnsi"/>
                <w:kern w:val="0"/>
                <w:sz w:val="20"/>
                <w:szCs w:val="20"/>
                <w:lang w:val="sk-SK" w:eastAsia="sk-SK" w:bidi="ar-SA"/>
              </w:rPr>
              <w:t>lineárna</w:t>
            </w:r>
          </w:p>
        </w:tc>
      </w:tr>
      <w:tr>
        <w:trPr>
          <w:trHeight w:val="397" w:hRule="atLeast"/>
        </w:trPr>
        <w:tc>
          <w:tcPr>
            <w:tcW w:w="2171" w:type="dxa"/>
            <w:tcBorders>
              <w:top w:val="single" w:sz="12" w:space="0" w:color="000000"/>
              <w:start w:val="single" w:sz="12" w:space="0" w:color="000000"/>
              <w:bottom w:val="single" w:sz="12" w:space="0" w:color="000000"/>
              <w:end w:val="single" w:sz="6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40" w:before="0" w:after="0"/>
              <w:jc w:val="start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eastAsia="" w:cs="Arial" w:ascii="Cambria" w:hAnsi="Cambria" w:asciiTheme="majorHAnsi" w:hAnsiTheme="majorHAnsi"/>
                <w:kern w:val="0"/>
                <w:sz w:val="20"/>
                <w:szCs w:val="20"/>
                <w:lang w:val="sk-SK" w:eastAsia="sk-SK" w:bidi="ar-SA"/>
              </w:rPr>
              <w:t xml:space="preserve">Stavby </w:t>
            </w:r>
          </w:p>
        </w:tc>
        <w:tc>
          <w:tcPr>
            <w:tcW w:w="2263" w:type="dxa"/>
            <w:tcBorders>
              <w:top w:val="single" w:sz="12" w:space="0" w:color="000000"/>
              <w:start w:val="single" w:sz="6" w:space="0" w:color="000000"/>
              <w:bottom w:val="single" w:sz="12" w:space="0" w:color="000000"/>
              <w:end w:val="single" w:sz="6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eastAsia="" w:cs="Arial" w:ascii="Cambria" w:hAnsi="Cambria" w:asciiTheme="majorHAnsi" w:hAnsiTheme="majorHAnsi"/>
                <w:kern w:val="0"/>
                <w:sz w:val="20"/>
                <w:szCs w:val="20"/>
                <w:lang w:val="sk-SK" w:eastAsia="sk-SK" w:bidi="ar-SA"/>
              </w:rPr>
              <w:t>20 rokov</w:t>
            </w:r>
          </w:p>
        </w:tc>
        <w:tc>
          <w:tcPr>
            <w:tcW w:w="2246" w:type="dxa"/>
            <w:tcBorders>
              <w:top w:val="single" w:sz="12" w:space="0" w:color="000000"/>
              <w:start w:val="single" w:sz="6" w:space="0" w:color="000000"/>
              <w:bottom w:val="single" w:sz="12" w:space="0" w:color="000000"/>
              <w:end w:val="single" w:sz="6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eastAsia="" w:cs="Arial" w:ascii="Cambria" w:hAnsi="Cambria" w:asciiTheme="majorHAnsi" w:hAnsiTheme="majorHAnsi"/>
                <w:kern w:val="0"/>
                <w:sz w:val="20"/>
                <w:szCs w:val="20"/>
                <w:lang w:val="sk-SK" w:eastAsia="sk-SK" w:bidi="ar-SA"/>
              </w:rPr>
              <w:t>1/20</w:t>
            </w:r>
          </w:p>
        </w:tc>
        <w:tc>
          <w:tcPr>
            <w:tcW w:w="2254" w:type="dxa"/>
            <w:tcBorders>
              <w:top w:val="single" w:sz="12" w:space="0" w:color="000000"/>
              <w:start w:val="single" w:sz="6" w:space="0" w:color="000000"/>
              <w:bottom w:val="single" w:sz="12" w:space="0" w:color="000000"/>
              <w:end w:val="single" w:sz="1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eastAsia="" w:cs="Arial" w:ascii="Cambria" w:hAnsi="Cambria" w:asciiTheme="majorHAnsi" w:hAnsiTheme="majorHAnsi"/>
                <w:kern w:val="0"/>
                <w:sz w:val="20"/>
                <w:szCs w:val="20"/>
                <w:lang w:val="sk-SK" w:eastAsia="sk-SK" w:bidi="ar-SA"/>
              </w:rPr>
              <w:t>lineárna</w:t>
            </w:r>
          </w:p>
        </w:tc>
      </w:tr>
      <w:tr>
        <w:trPr>
          <w:trHeight w:val="397" w:hRule="atLeast"/>
        </w:trPr>
        <w:tc>
          <w:tcPr>
            <w:tcW w:w="2171" w:type="dxa"/>
            <w:tcBorders>
              <w:top w:val="single" w:sz="12" w:space="0" w:color="000000"/>
              <w:start w:val="single" w:sz="12" w:space="0" w:color="000000"/>
              <w:bottom w:val="single" w:sz="12" w:space="0" w:color="000000"/>
              <w:end w:val="single" w:sz="6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40" w:before="0" w:after="0"/>
              <w:jc w:val="start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eastAsia="" w:cs="Arial" w:ascii="Cambria" w:hAnsi="Cambria" w:asciiTheme="majorHAnsi" w:hAnsiTheme="majorHAnsi"/>
                <w:kern w:val="0"/>
                <w:sz w:val="20"/>
                <w:szCs w:val="20"/>
                <w:lang w:val="sk-SK" w:eastAsia="sk-SK" w:bidi="ar-SA"/>
              </w:rPr>
              <w:t>Softvér</w:t>
            </w:r>
          </w:p>
        </w:tc>
        <w:tc>
          <w:tcPr>
            <w:tcW w:w="2263" w:type="dxa"/>
            <w:tcBorders>
              <w:top w:val="single" w:sz="12" w:space="0" w:color="000000"/>
              <w:start w:val="single" w:sz="6" w:space="0" w:color="000000"/>
              <w:bottom w:val="single" w:sz="12" w:space="0" w:color="000000"/>
              <w:end w:val="single" w:sz="6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eastAsia="" w:cs="Arial" w:ascii="Cambria" w:hAnsi="Cambria" w:asciiTheme="majorHAnsi" w:hAnsiTheme="majorHAnsi"/>
                <w:kern w:val="0"/>
                <w:sz w:val="20"/>
                <w:szCs w:val="20"/>
                <w:lang w:val="sk-SK" w:eastAsia="sk-SK" w:bidi="ar-SA"/>
              </w:rPr>
              <w:t>4 roky</w:t>
            </w:r>
          </w:p>
        </w:tc>
        <w:tc>
          <w:tcPr>
            <w:tcW w:w="2246" w:type="dxa"/>
            <w:tcBorders>
              <w:top w:val="single" w:sz="12" w:space="0" w:color="000000"/>
              <w:start w:val="single" w:sz="6" w:space="0" w:color="000000"/>
              <w:bottom w:val="single" w:sz="12" w:space="0" w:color="000000"/>
              <w:end w:val="single" w:sz="6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eastAsia="" w:cs="Arial" w:ascii="Cambria" w:hAnsi="Cambria" w:asciiTheme="majorHAnsi" w:hAnsiTheme="majorHAnsi"/>
                <w:kern w:val="0"/>
                <w:sz w:val="20"/>
                <w:szCs w:val="20"/>
                <w:lang w:val="sk-SK" w:eastAsia="sk-SK" w:bidi="ar-SA"/>
              </w:rPr>
              <w:t>1/4</w:t>
            </w:r>
          </w:p>
        </w:tc>
        <w:tc>
          <w:tcPr>
            <w:tcW w:w="2254" w:type="dxa"/>
            <w:tcBorders>
              <w:top w:val="single" w:sz="12" w:space="0" w:color="000000"/>
              <w:start w:val="single" w:sz="6" w:space="0" w:color="000000"/>
              <w:bottom w:val="single" w:sz="12" w:space="0" w:color="000000"/>
              <w:end w:val="single" w:sz="1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eastAsia="" w:cs="Arial" w:ascii="Cambria" w:hAnsi="Cambria" w:asciiTheme="majorHAnsi" w:hAnsiTheme="majorHAnsi"/>
                <w:kern w:val="0"/>
                <w:sz w:val="20"/>
                <w:szCs w:val="20"/>
                <w:lang w:val="sk-SK" w:eastAsia="sk-SK" w:bidi="ar-SA"/>
              </w:rPr>
              <w:t>lineárna</w:t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ascii="Cambria" w:hAnsi="Cambria" w:cs="Arial" w:asciiTheme="majorHAnsi" w:hAnsiTheme="majorHAnsi"/>
          <w:sz w:val="20"/>
          <w:szCs w:val="20"/>
        </w:rPr>
      </w:pPr>
      <w:r>
        <w:rPr>
          <w:rFonts w:cs="Arial" w:ascii="Cambria" w:hAnsi="Cambria"/>
          <w:sz w:val="20"/>
          <w:szCs w:val="20"/>
        </w:rPr>
      </w:r>
    </w:p>
    <w:p>
      <w:pPr>
        <w:pStyle w:val="Normal"/>
        <w:spacing w:lineRule="auto" w:line="240" w:before="0" w:after="0"/>
        <w:jc w:val="both"/>
        <w:rPr>
          <w:rFonts w:ascii="Cambria" w:hAnsi="Cambria" w:cs="Arial" w:asciiTheme="majorHAnsi" w:hAnsiTheme="majorHAnsi"/>
          <w:sz w:val="20"/>
          <w:szCs w:val="20"/>
        </w:rPr>
      </w:pPr>
      <w:r>
        <w:rPr>
          <w:rFonts w:cs="Arial" w:ascii="Cambria" w:hAnsi="Cambria"/>
          <w:sz w:val="20"/>
          <w:szCs w:val="20"/>
        </w:rPr>
      </w:r>
    </w:p>
    <w:p>
      <w:pPr>
        <w:pStyle w:val="Normal"/>
        <w:spacing w:lineRule="auto" w:line="240" w:before="0" w:after="0"/>
        <w:jc w:val="both"/>
        <w:rPr>
          <w:rFonts w:ascii="Cambria" w:hAnsi="Cambria" w:eastAsia="MS Gothic" w:cs="Arial" w:asciiTheme="majorHAnsi" w:hAnsiTheme="majorHAnsi"/>
          <w:b/>
          <w:sz w:val="20"/>
          <w:szCs w:val="20"/>
        </w:rPr>
      </w:pPr>
      <w:sdt>
        <w:sdtPr>
          <w:id w:val="-1262520514"/>
        </w:sdtPr>
        <w:sdtContent>
          <w:r>
            <w:rPr>
              <w:rFonts w:eastAsia="MS Mincho" w:cs="MS Mincho" w:hint="eastAsia" w:ascii="MS Mincho" w:hAnsi="MS Mincho"/>
              <w:b/>
            </w:rPr>
          </w:r>
          <w:r>
            <w:rPr>
              <w:rFonts w:eastAsia="MS Mincho" w:cs="MS Mincho" w:hint="eastAsia" w:ascii="MS Mincho" w:hAnsi="MS Mincho"/>
              <w:b/>
            </w:rPr>
            <w:t>☐</w:t>
          </w:r>
        </w:sdtContent>
      </w:sdt>
      <w:r>
        <w:rPr>
          <w:rFonts w:eastAsia="MS Gothic" w:cs="Arial" w:ascii="Cambria" w:hAnsi="Cambria" w:asciiTheme="majorHAnsi" w:hAnsiTheme="majorHAnsi"/>
          <w:b/>
        </w:rPr>
        <w:tab/>
      </w:r>
      <w:r>
        <w:rPr>
          <w:rFonts w:eastAsia="MS Gothic" w:cs="Arial" w:ascii="Cambria" w:hAnsi="Cambria" w:asciiTheme="majorHAnsi" w:hAnsiTheme="majorHAnsi"/>
          <w:sz w:val="20"/>
          <w:szCs w:val="20"/>
        </w:rPr>
        <w:t xml:space="preserve">Odpisový plán účtovných odpisov </w:t>
      </w:r>
      <w:r>
        <w:rPr>
          <w:rFonts w:eastAsia="MS Gothic" w:cs="Arial" w:ascii="Cambria" w:hAnsi="Cambria" w:asciiTheme="majorHAnsi" w:hAnsiTheme="majorHAnsi"/>
          <w:b/>
          <w:sz w:val="20"/>
          <w:szCs w:val="20"/>
        </w:rPr>
        <w:t>dlhodobého nehmotného majetku</w:t>
      </w:r>
      <w:r>
        <w:rPr>
          <w:rFonts w:eastAsia="MS Gothic" w:cs="Arial" w:ascii="Cambria" w:hAnsi="Cambria" w:asciiTheme="majorHAnsi" w:hAnsiTheme="majorHAnsi"/>
          <w:sz w:val="20"/>
          <w:szCs w:val="20"/>
        </w:rPr>
        <w:t xml:space="preserve"> zostavený účtovnou jednotkou vychádza z predpokladanej doby použiteľnosti dlhodobého nehmotného majetku a/alebo iných objektívnych predpokladov (uviesť)</w:t>
      </w:r>
      <w:r>
        <w:rPr>
          <w:rFonts w:eastAsia="MS Gothic" w:cs="Arial" w:ascii="Cambria" w:hAnsi="Cambria" w:asciiTheme="majorHAnsi" w:hAnsiTheme="majorHAnsi"/>
          <w:b/>
          <w:sz w:val="20"/>
          <w:szCs w:val="20"/>
        </w:rPr>
        <w:t>:</w:t>
      </w:r>
    </w:p>
    <w:p>
      <w:pPr>
        <w:pStyle w:val="Normal"/>
        <w:spacing w:lineRule="auto" w:line="240" w:before="0" w:after="0"/>
        <w:jc w:val="both"/>
        <w:rPr>
          <w:rFonts w:ascii="Cambria" w:hAnsi="Cambria" w:eastAsia="MS Gothic" w:cs="Arial" w:asciiTheme="majorHAnsi" w:hAnsiTheme="majorHAnsi"/>
          <w:b/>
          <w:sz w:val="20"/>
          <w:szCs w:val="20"/>
        </w:rPr>
      </w:pPr>
      <w:r>
        <w:rPr>
          <w:rFonts w:eastAsia="MS Gothic" w:cs="Arial" w:ascii="Cambria" w:hAnsi="Cambria"/>
          <w:b/>
          <w:sz w:val="20"/>
          <w:szCs w:val="20"/>
        </w:rPr>
      </w:r>
    </w:p>
    <w:p>
      <w:pPr>
        <w:pStyle w:val="Normal"/>
        <w:spacing w:lineRule="auto" w:line="240" w:before="0" w:after="0"/>
        <w:jc w:val="both"/>
        <w:rPr>
          <w:rFonts w:ascii="Cambria" w:hAnsi="Cambria" w:eastAsia="MS Gothic" w:cs="Arial" w:asciiTheme="majorHAnsi" w:hAnsiTheme="majorHAnsi"/>
          <w:sz w:val="20"/>
          <w:szCs w:val="20"/>
        </w:rPr>
      </w:pPr>
      <w:sdt>
        <w:sdtPr>
          <w:id w:val="1514113284"/>
        </w:sdtPr>
        <w:sdtContent>
          <w:r>
            <w:rPr>
              <w:rFonts w:eastAsia="MS Mincho" w:cs="MS Mincho" w:hint="eastAsia" w:ascii="MS Mincho" w:hAnsi="MS Mincho"/>
              <w:b/>
            </w:rPr>
          </w:r>
          <w:r>
            <w:rPr>
              <w:rFonts w:eastAsia="MS Mincho" w:cs="MS Mincho" w:hint="eastAsia" w:ascii="MS Mincho" w:hAnsi="MS Mincho"/>
              <w:b/>
            </w:rPr>
            <w:t>☐</w:t>
          </w:r>
        </w:sdtContent>
      </w:sdt>
      <w:r>
        <w:rPr>
          <w:rFonts w:eastAsia="MS Gothic" w:cs="Arial" w:ascii="Cambria" w:hAnsi="Cambria" w:asciiTheme="majorHAnsi" w:hAnsiTheme="majorHAnsi"/>
          <w:b/>
        </w:rPr>
        <w:tab/>
      </w:r>
      <w:r>
        <w:rPr>
          <w:rFonts w:eastAsia="MS Gothic" w:cs="Arial" w:ascii="Cambria" w:hAnsi="Cambria" w:asciiTheme="majorHAnsi" w:hAnsiTheme="majorHAnsi"/>
          <w:sz w:val="20"/>
          <w:szCs w:val="20"/>
        </w:rPr>
        <w:t>Odpisový plán bol ovplyvnený týmito rozhodnutiami:</w:t>
      </w:r>
    </w:p>
    <w:p>
      <w:pPr>
        <w:pStyle w:val="Normal"/>
        <w:spacing w:lineRule="auto" w:line="240" w:before="0" w:after="0"/>
        <w:jc w:val="both"/>
        <w:rPr>
          <w:rFonts w:ascii="Cambria" w:hAnsi="Cambria" w:eastAsia="MS Gothic" w:cs="Arial" w:asciiTheme="majorHAnsi" w:hAnsiTheme="majorHAnsi"/>
          <w:b/>
          <w:sz w:val="20"/>
          <w:szCs w:val="20"/>
        </w:rPr>
      </w:pPr>
      <w:r>
        <w:rPr>
          <w:rFonts w:eastAsia="MS Gothic" w:cs="Arial" w:ascii="Cambria" w:hAnsi="Cambria" w:asciiTheme="majorHAnsi" w:hAnsiTheme="majorHAnsi"/>
          <w:sz w:val="20"/>
          <w:szCs w:val="20"/>
        </w:rPr>
        <w:t xml:space="preserve"> </w:t>
      </w:r>
    </w:p>
    <w:p>
      <w:pPr>
        <w:pStyle w:val="Normal"/>
        <w:spacing w:lineRule="auto" w:line="240" w:before="0" w:after="0"/>
        <w:jc w:val="both"/>
        <w:rPr>
          <w:rFonts w:ascii="Cambria" w:hAnsi="Cambria" w:eastAsia="MS Gothic" w:cs="Arial" w:asciiTheme="majorHAnsi" w:hAnsiTheme="majorHAnsi"/>
          <w:sz w:val="20"/>
          <w:szCs w:val="20"/>
        </w:rPr>
      </w:pPr>
      <w:sdt>
        <w:sdtPr>
          <w:id w:val="-1529326073"/>
        </w:sdtPr>
        <w:sdtContent>
          <w:r>
            <w:rPr>
              <w:rFonts w:eastAsia="MS Mincho" w:cs="MS Mincho" w:hint="eastAsia" w:ascii="MS Mincho" w:hAnsi="MS Mincho"/>
              <w:b/>
            </w:rPr>
          </w:r>
          <w:r>
            <w:rPr>
              <w:rFonts w:eastAsia="MS Mincho" w:cs="MS Mincho" w:hint="eastAsia" w:ascii="MS Mincho" w:hAnsi="MS Mincho"/>
              <w:b/>
            </w:rPr>
            <w:t>☐</w:t>
          </w:r>
        </w:sdtContent>
      </w:sdt>
      <w:r>
        <w:rPr>
          <w:rFonts w:eastAsia="MS Gothic" w:cs="Arial" w:ascii="Cambria" w:hAnsi="Cambria" w:asciiTheme="majorHAnsi" w:hAnsiTheme="majorHAnsi"/>
          <w:b/>
        </w:rPr>
        <w:tab/>
      </w:r>
      <w:r>
        <w:rPr>
          <w:rFonts w:eastAsia="MS Gothic" w:cs="Arial" w:ascii="Cambria" w:hAnsi="Cambria" w:asciiTheme="majorHAnsi" w:hAnsiTheme="majorHAnsi"/>
          <w:sz w:val="20"/>
          <w:szCs w:val="20"/>
        </w:rPr>
        <w:t xml:space="preserve">Odpisový plán účtovných odpisov </w:t>
      </w:r>
      <w:r>
        <w:rPr>
          <w:rFonts w:eastAsia="MS Gothic" w:cs="Arial" w:ascii="Cambria" w:hAnsi="Cambria" w:asciiTheme="majorHAnsi" w:hAnsiTheme="majorHAnsi"/>
          <w:b/>
          <w:sz w:val="20"/>
          <w:szCs w:val="20"/>
        </w:rPr>
        <w:t>dlhodobého hmotného majetku</w:t>
      </w:r>
      <w:r>
        <w:rPr>
          <w:rFonts w:eastAsia="MS Gothic" w:cs="Arial" w:ascii="Cambria" w:hAnsi="Cambria" w:asciiTheme="majorHAnsi" w:hAnsiTheme="majorHAnsi"/>
          <w:sz w:val="20"/>
          <w:szCs w:val="20"/>
        </w:rPr>
        <w:t xml:space="preserve"> zostavený účtovnou jednotkou interným predpisom vychádzal z predpokladaného opotrebenia zaraďovaného majetku zodpovedajúceho miere opotrebenia v bežných podmienkach jeho používania. Odpisové sadzby pre účtovné a daňové odpisy  </w:t>
      </w:r>
      <w:r>
        <w:rPr>
          <w:rFonts w:eastAsia="MS Gothic" w:cs="Arial" w:ascii="Cambria" w:hAnsi="Cambria" w:asciiTheme="majorHAnsi" w:hAnsiTheme="majorHAnsi"/>
          <w:b/>
          <w:sz w:val="20"/>
          <w:szCs w:val="20"/>
        </w:rPr>
        <w:t xml:space="preserve">sa </w:t>
      </w:r>
      <w:r>
        <w:rPr>
          <w:rFonts w:eastAsia="MS Gothic" w:cs="Arial" w:ascii="Cambria" w:hAnsi="Cambria" w:asciiTheme="majorHAnsi" w:hAnsiTheme="majorHAnsi"/>
          <w:b/>
          <w:sz w:val="20"/>
          <w:szCs w:val="20"/>
        </w:rPr>
        <w:t>ne</w:t>
      </w:r>
      <w:r>
        <w:rPr>
          <w:rFonts w:eastAsia="MS Gothic" w:cs="Arial" w:ascii="Cambria" w:hAnsi="Cambria" w:asciiTheme="majorHAnsi" w:hAnsiTheme="majorHAnsi"/>
          <w:b/>
          <w:sz w:val="20"/>
          <w:szCs w:val="20"/>
        </w:rPr>
        <w:t>rovnajú</w:t>
      </w:r>
      <w:r>
        <w:rPr>
          <w:rFonts w:eastAsia="MS Gothic" w:cs="Arial" w:ascii="Cambria" w:hAnsi="Cambria" w:asciiTheme="majorHAnsi" w:hAnsiTheme="majorHAnsi"/>
          <w:sz w:val="20"/>
          <w:szCs w:val="20"/>
        </w:rPr>
        <w:t>.</w:t>
      </w:r>
    </w:p>
    <w:p>
      <w:pPr>
        <w:pStyle w:val="Normal"/>
        <w:spacing w:lineRule="auto" w:line="240" w:before="0" w:after="0"/>
        <w:jc w:val="both"/>
        <w:rPr>
          <w:rFonts w:ascii="Cambria" w:hAnsi="Cambria" w:eastAsia="MS Gothic" w:cs="Arial" w:asciiTheme="majorHAnsi" w:hAnsiTheme="majorHAnsi"/>
          <w:b/>
          <w:sz w:val="20"/>
          <w:szCs w:val="20"/>
        </w:rPr>
      </w:pPr>
      <w:r>
        <w:rPr>
          <w:rFonts w:eastAsia="MS Gothic" w:cs="Arial" w:ascii="Cambria" w:hAnsi="Cambria"/>
          <w:b/>
          <w:sz w:val="20"/>
          <w:szCs w:val="20"/>
        </w:rPr>
      </w:r>
    </w:p>
    <w:p>
      <w:pPr>
        <w:pStyle w:val="Normal"/>
        <w:spacing w:lineRule="auto" w:line="240" w:before="0" w:after="0"/>
        <w:jc w:val="both"/>
        <w:rPr>
          <w:rFonts w:ascii="Cambria" w:hAnsi="Cambria" w:eastAsia="MS Gothic" w:cs="Arial" w:asciiTheme="majorHAnsi" w:hAnsiTheme="majorHAnsi"/>
          <w:sz w:val="20"/>
          <w:szCs w:val="20"/>
        </w:rPr>
      </w:pPr>
      <w:sdt>
        <w:sdtPr>
          <w:id w:val="-1799293422"/>
        </w:sdtPr>
        <w:sdtContent>
          <w:r>
            <w:rPr>
              <w:rFonts w:eastAsia="MS Mincho" w:cs="MS Mincho" w:ascii="MS Mincho" w:hAnsi="MS Mincho"/>
              <w:b/>
              <w:sz w:val="28"/>
              <w:szCs w:val="28"/>
            </w:rPr>
          </w:r>
          <w:r>
            <w:rPr>
              <w:rFonts w:eastAsia="MS Mincho" w:cs="MS Mincho" w:ascii="MS Mincho" w:hAnsi="MS Mincho"/>
              <w:b/>
              <w:sz w:val="28"/>
              <w:szCs w:val="28"/>
            </w:rPr>
            <w:t>x</w:t>
          </w:r>
        </w:sdtContent>
      </w:sdt>
      <w:r>
        <w:rPr>
          <w:rFonts w:eastAsia="MS Gothic" w:cs="Arial" w:ascii="Cambria" w:hAnsi="Cambria" w:asciiTheme="majorHAnsi" w:hAnsiTheme="majorHAnsi"/>
          <w:b/>
        </w:rPr>
        <w:tab/>
      </w:r>
      <w:r>
        <w:rPr>
          <w:rFonts w:eastAsia="MS Gothic" w:cs="Arial" w:ascii="Cambria" w:hAnsi="Cambria" w:asciiTheme="majorHAnsi" w:hAnsiTheme="majorHAnsi"/>
          <w:sz w:val="20"/>
          <w:szCs w:val="20"/>
        </w:rPr>
        <w:t xml:space="preserve">Odpisový plán účtovných odpisov </w:t>
      </w:r>
      <w:r>
        <w:rPr>
          <w:rFonts w:eastAsia="MS Gothic" w:cs="Arial" w:ascii="Cambria" w:hAnsi="Cambria" w:asciiTheme="majorHAnsi" w:hAnsiTheme="majorHAnsi"/>
          <w:b/>
          <w:sz w:val="20"/>
          <w:szCs w:val="20"/>
        </w:rPr>
        <w:t>dlhodobého hmotného majetku</w:t>
      </w:r>
      <w:r>
        <w:rPr>
          <w:rFonts w:eastAsia="MS Gothic" w:cs="Arial" w:ascii="Cambria" w:hAnsi="Cambria" w:asciiTheme="majorHAnsi" w:hAnsiTheme="majorHAnsi"/>
          <w:sz w:val="20"/>
          <w:szCs w:val="20"/>
        </w:rPr>
        <w:t xml:space="preserve"> bol zostavený účtovnou jednotkou interným predpisom tak, že za základ odhadu miery opotrebenia dlhodobého hmotného majetku vzal metódy používané pri vyčísľovaní daňových odpisov. Odpisové sadzby pre účtovné a daňové odpisy </w:t>
      </w:r>
      <w:r>
        <w:rPr>
          <w:rFonts w:eastAsia="MS Gothic" w:cs="Arial" w:ascii="Cambria" w:hAnsi="Cambria" w:asciiTheme="majorHAnsi" w:hAnsiTheme="majorHAnsi"/>
          <w:b/>
          <w:sz w:val="20"/>
          <w:szCs w:val="20"/>
        </w:rPr>
        <w:t>sa rovnajú</w:t>
      </w:r>
      <w:r>
        <w:rPr>
          <w:rFonts w:eastAsia="MS Gothic" w:cs="Arial" w:ascii="Cambria" w:hAnsi="Cambria" w:asciiTheme="majorHAnsi" w:hAnsiTheme="majorHAnsi"/>
          <w:sz w:val="20"/>
          <w:szCs w:val="20"/>
        </w:rPr>
        <w:t>. Ročný účtovný odpis sa môže odlišovať od daňového podľa počtu mesiacov od zaradenia majetku do konca roka.</w:t>
      </w:r>
    </w:p>
    <w:p>
      <w:pPr>
        <w:pStyle w:val="Normal"/>
        <w:spacing w:lineRule="auto" w:line="240" w:before="0" w:after="0"/>
        <w:jc w:val="both"/>
        <w:rPr>
          <w:rFonts w:ascii="Cambria" w:hAnsi="Cambria" w:eastAsia="MS Gothic" w:cs="Arial" w:asciiTheme="majorHAnsi" w:hAnsiTheme="majorHAnsi"/>
          <w:b/>
          <w:sz w:val="20"/>
          <w:szCs w:val="20"/>
        </w:rPr>
      </w:pPr>
      <w:r>
        <w:rPr>
          <w:rFonts w:eastAsia="MS Gothic" w:cs="Arial" w:ascii="Cambria" w:hAnsi="Cambria"/>
          <w:b/>
          <w:sz w:val="20"/>
          <w:szCs w:val="20"/>
        </w:rPr>
      </w:r>
    </w:p>
    <w:p>
      <w:pPr>
        <w:pStyle w:val="Normal"/>
        <w:spacing w:lineRule="auto" w:line="240" w:before="0" w:after="0"/>
        <w:jc w:val="both"/>
        <w:rPr>
          <w:rFonts w:ascii="Cambria" w:hAnsi="Cambria" w:eastAsia="MS Gothic" w:cs="Arial" w:asciiTheme="majorHAnsi" w:hAnsiTheme="majorHAnsi"/>
          <w:b/>
          <w:sz w:val="20"/>
          <w:szCs w:val="20"/>
        </w:rPr>
      </w:pPr>
      <w:r>
        <w:rPr>
          <w:rFonts w:eastAsia="MS Gothic" w:cs="Arial" w:ascii="Cambria" w:hAnsi="Cambria" w:asciiTheme="majorHAnsi" w:hAnsiTheme="majorHAnsi"/>
          <w:b/>
          <w:sz w:val="20"/>
          <w:szCs w:val="20"/>
        </w:rPr>
        <w:t xml:space="preserve">Dodatočné informácie k tvorbe odpisového plánu: </w:t>
      </w:r>
    </w:p>
    <w:p>
      <w:pPr>
        <w:pStyle w:val="Normal"/>
        <w:spacing w:lineRule="auto" w:line="240" w:before="0" w:after="0"/>
        <w:jc w:val="both"/>
        <w:rPr>
          <w:rFonts w:ascii="Cambria" w:hAnsi="Cambria" w:eastAsia="MS Gothic" w:cs="Arial" w:asciiTheme="majorHAnsi" w:hAnsiTheme="majorHAnsi"/>
          <w:b/>
          <w:sz w:val="20"/>
          <w:szCs w:val="20"/>
        </w:rPr>
      </w:pPr>
      <w:r>
        <w:rPr>
          <w:rFonts w:eastAsia="MS Gothic" w:cs="Arial" w:ascii="Cambria" w:hAnsi="Cambria"/>
          <w:b/>
          <w:sz w:val="20"/>
          <w:szCs w:val="20"/>
        </w:rPr>
      </w:r>
    </w:p>
    <w:p>
      <w:pPr>
        <w:pStyle w:val="Normal"/>
        <w:spacing w:lineRule="auto" w:line="240" w:before="0" w:after="0"/>
        <w:jc w:val="both"/>
        <w:rPr>
          <w:rFonts w:ascii="Cambria" w:hAnsi="Cambria" w:eastAsia="MS Gothic" w:cs="Arial" w:asciiTheme="majorHAnsi" w:hAnsiTheme="majorHAnsi"/>
          <w:b/>
          <w:sz w:val="20"/>
          <w:szCs w:val="20"/>
        </w:rPr>
      </w:pPr>
      <w:r>
        <w:rPr>
          <w:rFonts w:eastAsia="MS Gothic" w:cs="Arial" w:ascii="Cambria" w:hAnsi="Cambria"/>
          <w:b/>
          <w:sz w:val="20"/>
          <w:szCs w:val="20"/>
        </w:rPr>
      </w:r>
    </w:p>
    <w:p>
      <w:pPr>
        <w:pStyle w:val="Normal"/>
        <w:spacing w:lineRule="auto" w:line="240" w:before="0" w:after="0"/>
        <w:jc w:val="both"/>
        <w:rPr>
          <w:rFonts w:ascii="Cambria" w:hAnsi="Cambria" w:eastAsia="MS Gothic" w:cs="Arial" w:asciiTheme="majorHAnsi" w:hAnsiTheme="majorHAnsi"/>
          <w:sz w:val="20"/>
          <w:szCs w:val="20"/>
        </w:rPr>
      </w:pPr>
      <w:r>
        <w:rPr>
          <w:rFonts w:eastAsia="MS Gothic" w:cs="Arial" w:ascii="Cambria" w:hAnsi="Cambria"/>
          <w:sz w:val="20"/>
          <w:szCs w:val="20"/>
        </w:rPr>
      </w:r>
    </w:p>
    <w:p>
      <w:pPr>
        <w:pStyle w:val="ListParagraph"/>
        <w:spacing w:lineRule="auto" w:line="240" w:before="0" w:after="0"/>
        <w:ind w:start="0"/>
        <w:contextualSpacing/>
        <w:jc w:val="both"/>
        <w:rPr>
          <w:rFonts w:ascii="Cambria" w:hAnsi="Cambria" w:cs="Arial" w:asciiTheme="majorHAnsi" w:hAnsiTheme="majorHAnsi"/>
          <w:b/>
        </w:rPr>
      </w:pPr>
      <w:r>
        <w:rPr>
          <w:rFonts w:cs="Arial" w:ascii="Cambria" w:hAnsi="Cambria" w:asciiTheme="majorHAnsi" w:hAnsiTheme="majorHAnsi"/>
          <w:b/>
        </w:rPr>
        <w:t>III. 4 h) Dotácie poskytnuté na obstaranie majetku:</w:t>
      </w:r>
    </w:p>
    <w:p>
      <w:pPr>
        <w:pStyle w:val="ListParagraph"/>
        <w:spacing w:lineRule="auto" w:line="240" w:before="0" w:after="0"/>
        <w:ind w:start="0"/>
        <w:contextualSpacing/>
        <w:jc w:val="both"/>
        <w:rPr>
          <w:rFonts w:ascii="Cambria" w:hAnsi="Cambria" w:cs="Arial" w:asciiTheme="majorHAnsi" w:hAnsiTheme="majorHAnsi"/>
          <w:i/>
          <w:sz w:val="24"/>
          <w:szCs w:val="24"/>
        </w:rPr>
      </w:pPr>
      <w:r>
        <w:rPr>
          <w:rFonts w:cs="Arial" w:ascii="Cambria" w:hAnsi="Cambria"/>
          <w:i/>
          <w:sz w:val="24"/>
          <w:szCs w:val="24"/>
        </w:rPr>
      </w:r>
    </w:p>
    <w:p>
      <w:pPr>
        <w:pStyle w:val="ListParagraph"/>
        <w:spacing w:lineRule="auto" w:line="240" w:before="0" w:after="0"/>
        <w:ind w:start="0"/>
        <w:contextualSpacing/>
        <w:jc w:val="both"/>
        <w:rPr>
          <w:rFonts w:ascii="Cambria" w:hAnsi="Cambria" w:cs="Arial" w:asciiTheme="majorHAnsi" w:hAnsiTheme="majorHAnsi"/>
        </w:rPr>
      </w:pPr>
      <w:r>
        <w:rPr>
          <w:rFonts w:cs="Arial" w:ascii="Cambria" w:hAnsi="Cambria" w:asciiTheme="majorHAnsi" w:hAnsiTheme="majorHAnsi"/>
          <w:i/>
          <w:sz w:val="24"/>
          <w:szCs w:val="24"/>
        </w:rPr>
        <w:t>Pre danú oblasť nemá účtovná jednotka obsahovú náplň</w:t>
      </w:r>
    </w:p>
    <w:p>
      <w:pPr>
        <w:pStyle w:val="Normal"/>
        <w:spacing w:lineRule="auto" w:line="240" w:before="240" w:after="200"/>
        <w:ind w:hanging="426" w:start="426"/>
        <w:jc w:val="both"/>
        <w:rPr>
          <w:rFonts w:ascii="Cambria" w:hAnsi="Cambria" w:cs="Arial" w:asciiTheme="majorHAnsi" w:hAnsiTheme="majorHAnsi"/>
          <w:b/>
        </w:rPr>
      </w:pPr>
      <w:r>
        <w:rPr>
          <w:rFonts w:cs="Arial" w:ascii="Cambria" w:hAnsi="Cambria" w:asciiTheme="majorHAnsi" w:hAnsiTheme="majorHAnsi"/>
          <w:b/>
        </w:rPr>
        <w:t>III.5  Oprava významných a nevýznamných chýb minulých účtovných období vykonaných v bežnom účtovnom období:</w:t>
      </w:r>
    </w:p>
    <w:p>
      <w:pPr>
        <w:pStyle w:val="ListParagraph"/>
        <w:spacing w:lineRule="auto" w:line="240" w:before="0" w:after="0"/>
        <w:ind w:start="0"/>
        <w:contextualSpacing/>
        <w:jc w:val="both"/>
        <w:rPr>
          <w:rFonts w:ascii="Cambria" w:hAnsi="Cambria" w:cs="Arial" w:asciiTheme="majorHAnsi" w:hAnsiTheme="majorHAnsi"/>
        </w:rPr>
      </w:pPr>
      <w:r>
        <w:rPr>
          <w:rFonts w:cs="Arial" w:ascii="Cambria" w:hAnsi="Cambria" w:asciiTheme="majorHAnsi" w:hAnsiTheme="majorHAnsi"/>
          <w:i/>
          <w:sz w:val="24"/>
          <w:szCs w:val="24"/>
        </w:rPr>
        <w:t>Pre danú oblasť nemá účtovná jednotka obsahovú náplň.</w:t>
      </w:r>
    </w:p>
    <w:p>
      <w:pPr>
        <w:pStyle w:val="Normal"/>
        <w:spacing w:lineRule="auto" w:line="240" w:before="0" w:after="0"/>
        <w:jc w:val="both"/>
        <w:rPr>
          <w:rFonts w:ascii="Cambria" w:hAnsi="Cambria" w:eastAsia="MS Gothic" w:cs="Arial" w:asciiTheme="majorHAnsi" w:hAnsiTheme="majorHAnsi"/>
          <w:i/>
          <w:sz w:val="20"/>
          <w:szCs w:val="20"/>
        </w:rPr>
      </w:pPr>
      <w:r>
        <w:rPr>
          <w:rFonts w:eastAsia="MS Gothic" w:cs="Arial" w:ascii="Cambria" w:hAnsi="Cambria"/>
          <w:i/>
          <w:sz w:val="20"/>
          <w:szCs w:val="20"/>
        </w:rPr>
      </w:r>
    </w:p>
    <w:p>
      <w:pPr>
        <w:pStyle w:val="Normal"/>
        <w:jc w:val="both"/>
        <w:rPr>
          <w:rFonts w:ascii="Cambria" w:hAnsi="Cambria" w:cs="Arial" w:asciiTheme="majorHAnsi" w:hAnsiTheme="majorHAnsi"/>
          <w:b/>
          <w:sz w:val="24"/>
          <w:szCs w:val="24"/>
        </w:rPr>
      </w:pPr>
      <w:r>
        <w:rPr>
          <w:rFonts w:cs="Arial" w:ascii="Cambria" w:hAnsi="Cambria" w:asciiTheme="majorHAnsi" w:hAnsiTheme="majorHAnsi"/>
          <w:b/>
          <w:sz w:val="24"/>
          <w:szCs w:val="24"/>
        </w:rPr>
        <w:t>Článok IV - Informácie, ktoré vysvetľujú a dopĺňajú súvahu a výkaz ziskov a strát</w:t>
      </w:r>
    </w:p>
    <w:p>
      <w:pPr>
        <w:pStyle w:val="Normal"/>
        <w:spacing w:lineRule="auto" w:line="240" w:before="240" w:after="200"/>
        <w:ind w:hanging="426" w:start="426"/>
        <w:jc w:val="both"/>
        <w:rPr>
          <w:rFonts w:ascii="Cambria" w:hAnsi="Cambria" w:cs="Arial" w:asciiTheme="majorHAnsi" w:hAnsiTheme="majorHAnsi"/>
          <w:b/>
        </w:rPr>
      </w:pPr>
      <w:r>
        <w:rPr>
          <w:rFonts w:cs="Arial" w:ascii="Cambria" w:hAnsi="Cambria" w:asciiTheme="majorHAnsi" w:hAnsiTheme="majorHAnsi"/>
          <w:b/>
        </w:rPr>
        <w:t>IV.1</w:t>
        <w:tab/>
        <w:t xml:space="preserve"> Informácie ku goodwillu alebo zápornému goodwillu</w:t>
      </w:r>
    </w:p>
    <w:p>
      <w:pPr>
        <w:pStyle w:val="ListParagraph"/>
        <w:spacing w:lineRule="auto" w:line="240" w:before="0" w:after="0"/>
        <w:ind w:start="0"/>
        <w:contextualSpacing/>
        <w:jc w:val="both"/>
        <w:rPr>
          <w:rFonts w:ascii="Cambria" w:hAnsi="Cambria" w:cs="Arial" w:asciiTheme="majorHAnsi" w:hAnsiTheme="majorHAnsi"/>
          <w:i/>
          <w:sz w:val="24"/>
          <w:szCs w:val="24"/>
        </w:rPr>
      </w:pPr>
      <w:r>
        <w:rPr>
          <w:rFonts w:cs="Arial" w:ascii="Cambria" w:hAnsi="Cambria" w:asciiTheme="majorHAnsi" w:hAnsiTheme="majorHAnsi"/>
          <w:i/>
          <w:sz w:val="24"/>
          <w:szCs w:val="24"/>
        </w:rPr>
        <w:t>Pre danú oblasť nemá účtovná jednotka obsahovú náplň.</w:t>
      </w:r>
    </w:p>
    <w:p>
      <w:pPr>
        <w:pStyle w:val="ListParagraph"/>
        <w:spacing w:lineRule="auto" w:line="240" w:before="0" w:after="0"/>
        <w:ind w:start="0"/>
        <w:contextualSpacing/>
        <w:jc w:val="both"/>
        <w:rPr>
          <w:rFonts w:ascii="Cambria" w:hAnsi="Cambria" w:cs="Arial" w:asciiTheme="majorHAnsi" w:hAnsiTheme="majorHAnsi"/>
        </w:rPr>
      </w:pPr>
      <w:r>
        <w:rPr>
          <w:rFonts w:cs="Arial" w:ascii="Cambria" w:hAnsi="Cambria"/>
        </w:rPr>
      </w:r>
    </w:p>
    <w:p>
      <w:pPr>
        <w:pStyle w:val="ListParagraph"/>
        <w:spacing w:lineRule="auto" w:line="240" w:before="0" w:after="0"/>
        <w:ind w:start="0"/>
        <w:contextualSpacing/>
        <w:jc w:val="both"/>
        <w:rPr>
          <w:rFonts w:ascii="Cambria" w:hAnsi="Cambria" w:eastAsia="MS Gothic" w:cs="Arial" w:asciiTheme="majorHAnsi" w:hAnsiTheme="majorHAnsi"/>
          <w:b/>
        </w:rPr>
      </w:pPr>
      <w:r>
        <w:rPr>
          <w:rFonts w:eastAsia="MS Gothic" w:cs="Arial" w:ascii="Cambria" w:hAnsi="Cambria" w:asciiTheme="majorHAnsi" w:hAnsiTheme="majorHAnsi"/>
          <w:b/>
        </w:rPr>
        <w:t>IV. 2  Informácie o významných položkách majetku a záväzkov zabezpečených derivátmi</w:t>
      </w:r>
    </w:p>
    <w:p>
      <w:pPr>
        <w:pStyle w:val="ListParagraph"/>
        <w:spacing w:lineRule="auto" w:line="240" w:before="0" w:after="0"/>
        <w:ind w:start="0"/>
        <w:contextualSpacing/>
        <w:jc w:val="both"/>
        <w:rPr>
          <w:rFonts w:ascii="Cambria" w:hAnsi="Cambria" w:cs="Arial" w:asciiTheme="majorHAnsi" w:hAnsiTheme="majorHAnsi"/>
        </w:rPr>
      </w:pPr>
      <w:r>
        <w:rPr>
          <w:rFonts w:cs="Arial" w:ascii="Cambria" w:hAnsi="Cambria" w:asciiTheme="majorHAnsi" w:hAnsiTheme="majorHAnsi"/>
          <w:i/>
          <w:sz w:val="24"/>
          <w:szCs w:val="24"/>
        </w:rPr>
        <w:t>Pre danú oblasť nemá účtovná jednotka obsahovú náplň.</w:t>
      </w:r>
    </w:p>
    <w:p>
      <w:pPr>
        <w:pStyle w:val="ListParagraph"/>
        <w:spacing w:lineRule="auto" w:line="240" w:before="0" w:after="0"/>
        <w:ind w:start="0"/>
        <w:contextualSpacing/>
        <w:jc w:val="both"/>
        <w:rPr>
          <w:rFonts w:ascii="Cambria" w:hAnsi="Cambria" w:eastAsia="MS Gothic" w:cs="Arial" w:asciiTheme="majorHAnsi" w:hAnsiTheme="majorHAnsi"/>
          <w:b/>
        </w:rPr>
      </w:pPr>
      <w:r>
        <w:rPr>
          <w:rFonts w:eastAsia="MS Gothic" w:cs="Arial" w:ascii="Cambria" w:hAnsi="Cambria"/>
          <w:b/>
        </w:rPr>
      </w:r>
    </w:p>
    <w:p>
      <w:pPr>
        <w:pStyle w:val="Normal"/>
        <w:spacing w:lineRule="auto" w:line="240" w:before="0" w:after="0"/>
        <w:jc w:val="both"/>
        <w:rPr>
          <w:rFonts w:ascii="Cambria" w:hAnsi="Cambria" w:eastAsia="MS Gothic" w:cs="Arial" w:asciiTheme="majorHAnsi" w:hAnsiTheme="majorHAnsi"/>
          <w:b/>
        </w:rPr>
      </w:pPr>
      <w:r>
        <w:rPr>
          <w:rFonts w:eastAsia="MS Gothic" w:cs="Arial" w:ascii="Cambria" w:hAnsi="Cambria" w:asciiTheme="majorHAnsi" w:hAnsiTheme="majorHAnsi"/>
          <w:b/>
        </w:rPr>
        <w:t>IV. 3 a) Záväzky so zostatkovou dobou splatnosti dlhšou ako 5 rokov:</w:t>
      </w:r>
    </w:p>
    <w:p>
      <w:pPr>
        <w:pStyle w:val="Normal"/>
        <w:spacing w:lineRule="auto" w:line="240" w:before="0" w:after="0"/>
        <w:jc w:val="both"/>
        <w:rPr>
          <w:rFonts w:ascii="Cambria" w:hAnsi="Cambria" w:eastAsia="MS Gothic" w:cs="Arial" w:asciiTheme="majorHAnsi" w:hAnsiTheme="majorHAnsi"/>
          <w:b/>
          <w:sz w:val="20"/>
          <w:szCs w:val="20"/>
        </w:rPr>
      </w:pPr>
      <w:r>
        <w:rPr>
          <w:rFonts w:eastAsia="MS Gothic" w:cs="Arial" w:ascii="Cambria" w:hAnsi="Cambria"/>
          <w:b/>
          <w:sz w:val="20"/>
          <w:szCs w:val="20"/>
        </w:rPr>
      </w:r>
    </w:p>
    <w:p>
      <w:pPr>
        <w:pStyle w:val="ListParagraph"/>
        <w:spacing w:lineRule="auto" w:line="240" w:before="0" w:after="0"/>
        <w:ind w:start="0"/>
        <w:contextualSpacing/>
        <w:jc w:val="both"/>
        <w:rPr>
          <w:rFonts w:ascii="Cambria" w:hAnsi="Cambria" w:cs="Arial" w:asciiTheme="majorHAnsi" w:hAnsiTheme="majorHAnsi"/>
          <w:iCs/>
          <w:sz w:val="20"/>
          <w:szCs w:val="20"/>
        </w:rPr>
      </w:pPr>
      <w:r>
        <w:rPr>
          <w:rFonts w:cs="Arial" w:ascii="Cambria" w:hAnsi="Cambria" w:asciiTheme="majorHAnsi" w:hAnsiTheme="majorHAnsi"/>
          <w:iCs/>
          <w:sz w:val="20"/>
          <w:szCs w:val="20"/>
        </w:rPr>
        <w:t xml:space="preserve">Termínovaný úver VÚB splatný 25.11.2032, celková výška úveru 315 000,00 EUR </w:t>
      </w:r>
    </w:p>
    <w:p>
      <w:pPr>
        <w:pStyle w:val="Normal"/>
        <w:spacing w:lineRule="auto" w:line="240" w:before="0" w:after="0"/>
        <w:jc w:val="both"/>
        <w:rPr>
          <w:rFonts w:ascii="Cambria" w:hAnsi="Cambria" w:eastAsia="MS Gothic" w:cs="Arial" w:asciiTheme="majorHAnsi" w:hAnsiTheme="majorHAnsi"/>
          <w:b/>
          <w:sz w:val="20"/>
          <w:szCs w:val="20"/>
        </w:rPr>
      </w:pPr>
      <w:r>
        <w:rPr>
          <w:rFonts w:eastAsia="MS Gothic" w:cs="Arial" w:ascii="Cambria" w:hAnsi="Cambria"/>
          <w:b/>
          <w:sz w:val="20"/>
          <w:szCs w:val="20"/>
        </w:rPr>
      </w:r>
    </w:p>
    <w:p>
      <w:pPr>
        <w:pStyle w:val="Normal"/>
        <w:spacing w:lineRule="auto" w:line="240" w:before="0" w:after="0"/>
        <w:jc w:val="both"/>
        <w:rPr>
          <w:rFonts w:ascii="Cambria" w:hAnsi="Cambria" w:eastAsia="MS Gothic" w:cs="Arial" w:asciiTheme="majorHAnsi" w:hAnsiTheme="majorHAnsi"/>
          <w:b/>
        </w:rPr>
      </w:pPr>
      <w:r>
        <w:rPr>
          <w:rFonts w:eastAsia="MS Gothic" w:cs="Arial" w:ascii="Cambria" w:hAnsi="Cambria" w:asciiTheme="majorHAnsi" w:hAnsiTheme="majorHAnsi"/>
          <w:b/>
        </w:rPr>
        <w:t>IV. 3 b) Zabezpečené záväzky, opis a spôsob ich zabezpečenia</w:t>
      </w:r>
    </w:p>
    <w:p>
      <w:pPr>
        <w:pStyle w:val="ListParagraph"/>
        <w:spacing w:lineRule="auto" w:line="240" w:before="0" w:after="0"/>
        <w:ind w:start="0"/>
        <w:contextualSpacing/>
        <w:jc w:val="both"/>
        <w:rPr>
          <w:rFonts w:ascii="Cambria" w:hAnsi="Cambria" w:cs="Arial" w:asciiTheme="majorHAnsi" w:hAnsiTheme="majorHAnsi"/>
          <w:b/>
          <w:sz w:val="20"/>
          <w:szCs w:val="20"/>
        </w:rPr>
      </w:pPr>
      <w:r>
        <w:rPr>
          <w:rFonts w:cs="Arial" w:ascii="Cambria" w:hAnsi="Cambria"/>
          <w:b/>
          <w:sz w:val="20"/>
          <w:szCs w:val="20"/>
        </w:rPr>
      </w:r>
    </w:p>
    <w:p>
      <w:pPr>
        <w:pStyle w:val="ListParagraph"/>
        <w:spacing w:lineRule="auto" w:line="240" w:before="0" w:after="0"/>
        <w:ind w:start="0"/>
        <w:contextualSpacing/>
        <w:jc w:val="both"/>
        <w:rPr>
          <w:rFonts w:ascii="Cambria" w:hAnsi="Cambria" w:cs="Arial" w:asciiTheme="majorHAnsi" w:hAnsiTheme="majorHAnsi"/>
          <w:i/>
          <w:sz w:val="24"/>
          <w:szCs w:val="24"/>
        </w:rPr>
      </w:pPr>
      <w:r>
        <w:rPr>
          <w:rFonts w:cs="Arial" w:ascii="Cambria" w:hAnsi="Cambria" w:asciiTheme="majorHAnsi" w:hAnsiTheme="majorHAnsi"/>
          <w:i/>
          <w:sz w:val="24"/>
          <w:szCs w:val="24"/>
        </w:rPr>
        <w:t>Pre danú oblasť nemá účtovná jednotka obsahovú náplň.</w:t>
      </w:r>
    </w:p>
    <w:p>
      <w:pPr>
        <w:pStyle w:val="ListParagraph"/>
        <w:spacing w:lineRule="auto" w:line="240" w:before="0" w:after="0"/>
        <w:ind w:start="0"/>
        <w:contextualSpacing/>
        <w:jc w:val="both"/>
        <w:rPr>
          <w:rFonts w:ascii="Cambria" w:hAnsi="Cambria" w:cs="Arial" w:asciiTheme="majorHAnsi" w:hAnsiTheme="majorHAnsi"/>
        </w:rPr>
      </w:pPr>
      <w:r>
        <w:rPr>
          <w:rFonts w:cs="Arial" w:ascii="Cambria" w:hAnsi="Cambria"/>
        </w:rPr>
      </w:r>
    </w:p>
    <w:p>
      <w:pPr>
        <w:pStyle w:val="ListParagraph"/>
        <w:spacing w:lineRule="auto" w:line="240" w:before="240" w:after="200"/>
        <w:ind w:start="0" w:end="-141"/>
        <w:contextualSpacing/>
        <w:jc w:val="both"/>
        <w:rPr>
          <w:rFonts w:ascii="Cambria" w:hAnsi="Cambria" w:eastAsia="MS Gothic" w:cs="Arial" w:asciiTheme="majorHAnsi" w:hAnsiTheme="majorHAnsi"/>
          <w:b/>
        </w:rPr>
      </w:pPr>
      <w:r>
        <w:rPr>
          <w:rFonts w:eastAsia="MS Gothic" w:cs="Arial" w:ascii="Cambria" w:hAnsi="Cambria" w:asciiTheme="majorHAnsi" w:hAnsiTheme="majorHAnsi"/>
          <w:b/>
        </w:rPr>
        <w:t>IV. 4 a) - c) Informácie o vlastných akciách:</w:t>
      </w:r>
    </w:p>
    <w:p>
      <w:pPr>
        <w:pStyle w:val="ListParagraph"/>
        <w:spacing w:lineRule="auto" w:line="240" w:before="0" w:after="0"/>
        <w:ind w:start="0"/>
        <w:contextualSpacing/>
        <w:jc w:val="both"/>
        <w:rPr>
          <w:rFonts w:ascii="Cambria" w:hAnsi="Cambria" w:eastAsia="MS Gothic" w:cs="Arial" w:asciiTheme="majorHAnsi" w:hAnsiTheme="majorHAnsi"/>
          <w:b/>
          <w:sz w:val="20"/>
          <w:szCs w:val="20"/>
        </w:rPr>
      </w:pPr>
      <w:r>
        <w:rPr>
          <w:rFonts w:eastAsia="MS Gothic" w:cs="Arial" w:ascii="Cambria" w:hAnsi="Cambria"/>
          <w:b/>
          <w:sz w:val="20"/>
          <w:szCs w:val="20"/>
        </w:rPr>
      </w:r>
    </w:p>
    <w:p>
      <w:pPr>
        <w:pStyle w:val="ListParagraph"/>
        <w:spacing w:lineRule="auto" w:line="240" w:before="0" w:after="0"/>
        <w:ind w:start="0"/>
        <w:contextualSpacing/>
        <w:jc w:val="both"/>
        <w:rPr>
          <w:rFonts w:ascii="Cambria" w:hAnsi="Cambria" w:cs="Arial" w:asciiTheme="majorHAnsi" w:hAnsiTheme="majorHAnsi"/>
          <w:i/>
          <w:sz w:val="24"/>
          <w:szCs w:val="24"/>
        </w:rPr>
      </w:pPr>
      <w:r>
        <w:rPr>
          <w:rFonts w:cs="Arial" w:ascii="Cambria" w:hAnsi="Cambria" w:asciiTheme="majorHAnsi" w:hAnsiTheme="majorHAnsi"/>
          <w:i/>
          <w:sz w:val="24"/>
          <w:szCs w:val="24"/>
        </w:rPr>
        <w:t>Pre danú oblasť nemá účtovná jednotka obsahovú náplň.</w:t>
      </w:r>
    </w:p>
    <w:p>
      <w:pPr>
        <w:pStyle w:val="ListParagraph"/>
        <w:spacing w:lineRule="auto" w:line="240" w:before="0" w:after="0"/>
        <w:ind w:start="0"/>
        <w:contextualSpacing/>
        <w:jc w:val="both"/>
        <w:rPr>
          <w:rFonts w:ascii="Cambria" w:hAnsi="Cambria" w:cs="Arial" w:asciiTheme="majorHAnsi" w:hAnsiTheme="majorHAnsi"/>
          <w:i/>
          <w:sz w:val="24"/>
          <w:szCs w:val="24"/>
        </w:rPr>
      </w:pPr>
      <w:r>
        <w:rPr>
          <w:rFonts w:cs="Arial" w:ascii="Cambria" w:hAnsi="Cambria"/>
          <w:i/>
          <w:sz w:val="24"/>
          <w:szCs w:val="24"/>
        </w:rPr>
      </w:r>
    </w:p>
    <w:p>
      <w:pPr>
        <w:pStyle w:val="Normal"/>
        <w:spacing w:lineRule="auto" w:line="240"/>
        <w:ind w:hanging="993" w:start="993"/>
        <w:jc w:val="both"/>
        <w:rPr>
          <w:rFonts w:ascii="Cambria" w:hAnsi="Cambria" w:eastAsia="MS Gothic" w:cs="Times New Roman" w:asciiTheme="majorHAnsi" w:hAnsiTheme="majorHAnsi"/>
          <w:b/>
        </w:rPr>
      </w:pPr>
      <w:r>
        <w:rPr>
          <w:rFonts w:eastAsia="MS Gothic" w:cs="Times New Roman" w:ascii="Cambria" w:hAnsi="Cambria" w:asciiTheme="majorHAnsi" w:hAnsiTheme="majorHAnsi"/>
          <w:b/>
        </w:rPr>
        <w:t>IV. 5</w:t>
        <w:tab/>
        <w:t>Informácie o výnosoch a nákladoch, ktoré majú výnimočný rozsah alebo výskyt</w:t>
      </w:r>
    </w:p>
    <w:p>
      <w:pPr>
        <w:pStyle w:val="ListParagraph"/>
        <w:spacing w:lineRule="auto" w:line="240" w:before="0" w:after="0"/>
        <w:ind w:start="0"/>
        <w:contextualSpacing/>
        <w:jc w:val="both"/>
        <w:rPr>
          <w:rFonts w:ascii="Cambria" w:hAnsi="Cambria" w:cs="Arial" w:asciiTheme="majorHAnsi" w:hAnsiTheme="majorHAnsi"/>
          <w:i/>
          <w:sz w:val="24"/>
          <w:szCs w:val="24"/>
        </w:rPr>
      </w:pPr>
      <w:r>
        <w:rPr>
          <w:rFonts w:cs="Arial" w:ascii="Cambria" w:hAnsi="Cambria" w:asciiTheme="majorHAnsi" w:hAnsiTheme="majorHAnsi"/>
          <w:i/>
          <w:sz w:val="24"/>
          <w:szCs w:val="24"/>
        </w:rPr>
        <w:t>Pre danú oblasť nemá účtovná jednotka obsahovú náplň.</w:t>
      </w:r>
    </w:p>
    <w:p>
      <w:pPr>
        <w:pStyle w:val="Normal"/>
        <w:spacing w:lineRule="auto" w:line="240" w:before="0" w:after="0"/>
        <w:jc w:val="both"/>
        <w:rPr>
          <w:rFonts w:ascii="Cambria" w:hAnsi="Cambria" w:eastAsia="MS Gothic" w:cs="Arial" w:asciiTheme="majorHAnsi" w:hAnsiTheme="majorHAnsi"/>
          <w:b/>
          <w:sz w:val="20"/>
          <w:szCs w:val="20"/>
        </w:rPr>
      </w:pPr>
      <w:r>
        <w:rPr>
          <w:rFonts w:eastAsia="MS Gothic" w:cs="Arial" w:ascii="Cambria" w:hAnsi="Cambria"/>
          <w:b/>
          <w:sz w:val="20"/>
          <w:szCs w:val="20"/>
        </w:rPr>
      </w:r>
    </w:p>
    <w:p>
      <w:pPr>
        <w:pStyle w:val="Normal"/>
        <w:rPr>
          <w:rFonts w:ascii="Cambria" w:hAnsi="Cambria" w:cs="Arial" w:asciiTheme="majorHAnsi" w:hAnsiTheme="majorHAnsi"/>
          <w:b/>
          <w:sz w:val="24"/>
          <w:szCs w:val="24"/>
        </w:rPr>
      </w:pPr>
      <w:r>
        <w:rPr>
          <w:rFonts w:cs="Arial" w:ascii="Cambria" w:hAnsi="Cambria" w:asciiTheme="majorHAnsi" w:hAnsiTheme="majorHAnsi"/>
          <w:b/>
          <w:sz w:val="24"/>
          <w:szCs w:val="24"/>
        </w:rPr>
        <w:t>Článok V - Informácie o iných aktívach a iných pasívach</w:t>
      </w:r>
    </w:p>
    <w:p>
      <w:pPr>
        <w:pStyle w:val="ListParagraph"/>
        <w:spacing w:lineRule="auto" w:line="240" w:before="0" w:after="0"/>
        <w:ind w:start="0"/>
        <w:contextualSpacing/>
        <w:jc w:val="both"/>
        <w:rPr>
          <w:rFonts w:ascii="Cambria" w:hAnsi="Cambria" w:eastAsia="MS Gothic" w:cs="Arial" w:asciiTheme="majorHAnsi" w:hAnsiTheme="majorHAnsi"/>
          <w:b/>
        </w:rPr>
      </w:pPr>
      <w:r>
        <w:rPr>
          <w:rFonts w:eastAsia="MS Gothic" w:cs="Arial" w:ascii="Cambria" w:hAnsi="Cambria" w:asciiTheme="majorHAnsi" w:hAnsiTheme="majorHAnsi"/>
          <w:b/>
        </w:rPr>
        <w:t>V. 1 a) Informácie o podmienenom majetku</w:t>
      </w:r>
    </w:p>
    <w:p>
      <w:pPr>
        <w:pStyle w:val="ListParagraph"/>
        <w:spacing w:lineRule="auto" w:line="240" w:before="0" w:after="0"/>
        <w:ind w:start="0"/>
        <w:contextualSpacing/>
        <w:jc w:val="both"/>
        <w:rPr>
          <w:rFonts w:ascii="Cambria" w:hAnsi="Cambria" w:eastAsia="MS Gothic" w:cs="Arial" w:asciiTheme="majorHAnsi" w:hAnsiTheme="majorHAnsi"/>
          <w:b/>
        </w:rPr>
      </w:pPr>
      <w:r>
        <w:rPr>
          <w:rFonts w:eastAsia="MS Gothic" w:cs="Arial" w:ascii="Cambria" w:hAnsi="Cambria"/>
          <w:b/>
        </w:rPr>
      </w:r>
    </w:p>
    <w:p>
      <w:pPr>
        <w:pStyle w:val="ListParagraph"/>
        <w:spacing w:lineRule="auto" w:line="240" w:before="0" w:after="0"/>
        <w:ind w:start="0"/>
        <w:contextualSpacing/>
        <w:jc w:val="both"/>
        <w:rPr>
          <w:rFonts w:ascii="Cambria" w:hAnsi="Cambria" w:cs="Arial" w:asciiTheme="majorHAnsi" w:hAnsiTheme="majorHAnsi"/>
          <w:i/>
          <w:sz w:val="24"/>
          <w:szCs w:val="24"/>
        </w:rPr>
      </w:pPr>
      <w:r>
        <w:rPr>
          <w:rFonts w:cs="Arial" w:ascii="Cambria" w:hAnsi="Cambria" w:asciiTheme="majorHAnsi" w:hAnsiTheme="majorHAnsi"/>
          <w:i/>
          <w:sz w:val="24"/>
          <w:szCs w:val="24"/>
        </w:rPr>
        <w:t>Pre danú oblasť nemá účtovná jednotka obsahovú náplň.</w:t>
      </w:r>
    </w:p>
    <w:p>
      <w:pPr>
        <w:pStyle w:val="Normal"/>
        <w:spacing w:lineRule="auto" w:line="240" w:before="240" w:after="200"/>
        <w:jc w:val="both"/>
        <w:rPr>
          <w:rFonts w:ascii="Cambria" w:hAnsi="Cambria" w:eastAsia="MS Gothic" w:cs="Arial" w:asciiTheme="majorHAnsi" w:hAnsiTheme="majorHAnsi"/>
          <w:b/>
        </w:rPr>
      </w:pPr>
      <w:r>
        <w:rPr>
          <w:rFonts w:eastAsia="MS Gothic" w:cs="Arial" w:ascii="Cambria" w:hAnsi="Cambria" w:asciiTheme="majorHAnsi" w:hAnsiTheme="majorHAnsi"/>
          <w:b/>
        </w:rPr>
        <w:t>V. 1 b) Informácie o podmienených záväzkoch:</w:t>
      </w:r>
    </w:p>
    <w:p>
      <w:pPr>
        <w:pStyle w:val="ListParagraph"/>
        <w:spacing w:lineRule="auto" w:line="240" w:before="0" w:after="0"/>
        <w:ind w:start="0"/>
        <w:contextualSpacing/>
        <w:jc w:val="both"/>
        <w:rPr>
          <w:rFonts w:ascii="Cambria" w:hAnsi="Cambria" w:cs="Arial" w:asciiTheme="majorHAnsi" w:hAnsiTheme="majorHAnsi"/>
          <w:i/>
          <w:sz w:val="24"/>
          <w:szCs w:val="24"/>
        </w:rPr>
      </w:pPr>
      <w:r>
        <w:rPr>
          <w:rFonts w:cs="Arial" w:ascii="Cambria" w:hAnsi="Cambria" w:asciiTheme="majorHAnsi" w:hAnsiTheme="majorHAnsi"/>
          <w:i/>
          <w:sz w:val="24"/>
          <w:szCs w:val="24"/>
        </w:rPr>
        <w:t>Pre danú oblasť nemá účtovná jednotka obsahovú náplň.</w:t>
      </w:r>
    </w:p>
    <w:p>
      <w:pPr>
        <w:pStyle w:val="Normal"/>
        <w:spacing w:lineRule="auto" w:line="240" w:before="240" w:after="200"/>
        <w:ind w:end="-141"/>
        <w:jc w:val="both"/>
        <w:rPr>
          <w:rFonts w:ascii="Cambria" w:hAnsi="Cambria" w:eastAsia="MS Gothic" w:cs="Arial" w:asciiTheme="majorHAnsi" w:hAnsiTheme="majorHAnsi"/>
          <w:b/>
        </w:rPr>
      </w:pPr>
      <w:r>
        <w:rPr>
          <w:rFonts w:eastAsia="MS Gothic" w:cs="Arial" w:ascii="Cambria" w:hAnsi="Cambria" w:asciiTheme="majorHAnsi" w:hAnsiTheme="majorHAnsi"/>
          <w:b/>
        </w:rPr>
        <w:t xml:space="preserve"> </w:t>
      </w:r>
      <w:r>
        <w:rPr>
          <w:rFonts w:eastAsia="MS Gothic" w:cs="Arial" w:ascii="Cambria" w:hAnsi="Cambria" w:asciiTheme="majorHAnsi" w:hAnsiTheme="majorHAnsi"/>
          <w:b/>
        </w:rPr>
        <w:t>V. 2  Ostatné významné finančné povinnosti nevykázané v účtovných výkazoch</w:t>
      </w:r>
    </w:p>
    <w:p>
      <w:pPr>
        <w:pStyle w:val="ListParagraph"/>
        <w:spacing w:lineRule="auto" w:line="240" w:before="0" w:after="0"/>
        <w:ind w:start="0"/>
        <w:contextualSpacing/>
        <w:jc w:val="both"/>
        <w:rPr>
          <w:rFonts w:ascii="Cambria" w:hAnsi="Cambria" w:cs="Arial" w:asciiTheme="majorHAnsi" w:hAnsiTheme="majorHAnsi"/>
          <w:i/>
          <w:sz w:val="24"/>
          <w:szCs w:val="24"/>
        </w:rPr>
      </w:pPr>
      <w:r>
        <w:rPr>
          <w:rFonts w:cs="Arial" w:ascii="Cambria" w:hAnsi="Cambria" w:asciiTheme="majorHAnsi" w:hAnsiTheme="majorHAnsi"/>
          <w:i/>
          <w:sz w:val="24"/>
          <w:szCs w:val="24"/>
        </w:rPr>
        <w:t>Pre danú oblasť nemá účtovná jednotka obsahovú náplň.</w:t>
      </w:r>
    </w:p>
    <w:p>
      <w:pPr>
        <w:pStyle w:val="ListParagraph"/>
        <w:spacing w:lineRule="auto" w:line="240" w:before="0" w:after="0"/>
        <w:ind w:start="0"/>
        <w:contextualSpacing/>
        <w:jc w:val="both"/>
        <w:rPr>
          <w:rFonts w:ascii="Cambria" w:hAnsi="Cambria" w:eastAsia="MS Gothic" w:cs="Arial" w:asciiTheme="majorHAnsi" w:hAnsiTheme="majorHAnsi"/>
          <w:b/>
          <w:sz w:val="20"/>
          <w:szCs w:val="20"/>
        </w:rPr>
      </w:pPr>
      <w:r>
        <w:rPr>
          <w:rFonts w:eastAsia="MS Gothic" w:cs="Arial" w:ascii="Cambria" w:hAnsi="Cambria"/>
          <w:b/>
          <w:sz w:val="20"/>
          <w:szCs w:val="20"/>
        </w:rPr>
      </w:r>
    </w:p>
    <w:p>
      <w:pPr>
        <w:pStyle w:val="ListParagraph"/>
        <w:spacing w:lineRule="auto" w:line="240" w:before="0" w:after="0"/>
        <w:ind w:start="0"/>
        <w:contextualSpacing/>
        <w:jc w:val="both"/>
        <w:rPr>
          <w:rFonts w:ascii="Cambria" w:hAnsi="Cambria" w:eastAsia="MS Gothic" w:cs="Arial" w:asciiTheme="majorHAnsi" w:hAnsiTheme="majorHAnsi"/>
          <w:b/>
        </w:rPr>
      </w:pPr>
      <w:r>
        <w:rPr>
          <w:rFonts w:eastAsia="MS Gothic" w:cs="Arial" w:ascii="Cambria" w:hAnsi="Cambria" w:asciiTheme="majorHAnsi" w:hAnsiTheme="majorHAnsi"/>
          <w:b/>
        </w:rPr>
        <w:t>V. 3  Informácie o údajoch na podsúvahových účtoch</w:t>
      </w:r>
    </w:p>
    <w:p>
      <w:pPr>
        <w:pStyle w:val="ListParagraph"/>
        <w:spacing w:lineRule="auto" w:line="240" w:before="0" w:after="0"/>
        <w:ind w:start="0"/>
        <w:contextualSpacing/>
        <w:jc w:val="both"/>
        <w:rPr>
          <w:rFonts w:ascii="Cambria" w:hAnsi="Cambria" w:eastAsia="MS Gothic" w:cs="Arial" w:asciiTheme="majorHAnsi" w:hAnsiTheme="majorHAnsi"/>
          <w:b/>
          <w:sz w:val="20"/>
          <w:szCs w:val="20"/>
        </w:rPr>
      </w:pPr>
      <w:r>
        <w:rPr>
          <w:rFonts w:eastAsia="MS Gothic" w:cs="Arial" w:ascii="Cambria" w:hAnsi="Cambria"/>
          <w:b/>
          <w:sz w:val="20"/>
          <w:szCs w:val="20"/>
        </w:rPr>
      </w:r>
    </w:p>
    <w:p>
      <w:pPr>
        <w:pStyle w:val="ListParagraph"/>
        <w:spacing w:lineRule="auto" w:line="240" w:before="0" w:after="0"/>
        <w:ind w:start="0"/>
        <w:contextualSpacing/>
        <w:jc w:val="both"/>
        <w:rPr>
          <w:rFonts w:ascii="Cambria" w:hAnsi="Cambria" w:cs="Arial" w:asciiTheme="majorHAnsi" w:hAnsiTheme="majorHAnsi"/>
          <w:i/>
          <w:sz w:val="24"/>
          <w:szCs w:val="24"/>
        </w:rPr>
      </w:pPr>
      <w:r>
        <w:rPr>
          <w:rFonts w:eastAsia="MS Gothic" w:cs="Arial" w:ascii="Cambria" w:hAnsi="Cambria" w:asciiTheme="majorHAnsi" w:hAnsiTheme="majorHAnsi"/>
          <w:b/>
          <w:sz w:val="20"/>
          <w:szCs w:val="20"/>
        </w:rPr>
        <w:t xml:space="preserve"> </w:t>
      </w:r>
      <w:r>
        <w:rPr>
          <w:rFonts w:cs="Arial" w:ascii="Cambria" w:hAnsi="Cambria" w:asciiTheme="majorHAnsi" w:hAnsiTheme="majorHAnsi"/>
          <w:i/>
          <w:sz w:val="24"/>
          <w:szCs w:val="24"/>
        </w:rPr>
        <w:t>Pre danú oblasť nemá účtovná jednotka obsahovú náplň.</w:t>
      </w:r>
    </w:p>
    <w:p>
      <w:pPr>
        <w:pStyle w:val="Normal"/>
        <w:spacing w:lineRule="auto" w:line="240" w:before="0" w:after="0"/>
        <w:jc w:val="both"/>
        <w:rPr>
          <w:rFonts w:ascii="Cambria" w:hAnsi="Cambria" w:eastAsia="MS Gothic" w:cs="Arial" w:asciiTheme="majorHAnsi" w:hAnsiTheme="majorHAnsi"/>
          <w:b/>
          <w:sz w:val="20"/>
          <w:szCs w:val="20"/>
        </w:rPr>
      </w:pPr>
      <w:r>
        <w:rPr>
          <w:rFonts w:eastAsia="MS Gothic" w:cs="Arial" w:ascii="Cambria" w:hAnsi="Cambria"/>
          <w:b/>
          <w:sz w:val="20"/>
          <w:szCs w:val="20"/>
        </w:rPr>
      </w:r>
    </w:p>
    <w:p>
      <w:pPr>
        <w:pStyle w:val="Normal"/>
        <w:jc w:val="both"/>
        <w:rPr>
          <w:rFonts w:ascii="Cambria" w:hAnsi="Cambria" w:cs="Arial" w:asciiTheme="majorHAnsi" w:hAnsiTheme="majorHAnsi"/>
          <w:b/>
          <w:sz w:val="24"/>
          <w:szCs w:val="24"/>
        </w:rPr>
      </w:pPr>
      <w:r>
        <w:rPr>
          <w:rFonts w:cs="Arial" w:ascii="Cambria" w:hAnsi="Cambria" w:asciiTheme="majorHAnsi" w:hAnsiTheme="majorHAnsi"/>
          <w:b/>
          <w:sz w:val="24"/>
          <w:szCs w:val="24"/>
        </w:rPr>
        <w:t>Článok VI - Udalosti, ktoré nastali po dni, ku ktorému sa zostavuje účtovná závierka</w:t>
      </w:r>
    </w:p>
    <w:p>
      <w:pPr>
        <w:pStyle w:val="Normal"/>
        <w:spacing w:lineRule="auto" w:line="240" w:before="240" w:after="200"/>
        <w:jc w:val="both"/>
        <w:rPr>
          <w:rFonts w:ascii="Cambria" w:hAnsi="Cambria" w:eastAsia="MS Gothic" w:cs="Arial" w:asciiTheme="majorHAnsi" w:hAnsiTheme="majorHAnsi"/>
          <w:b/>
          <w:i/>
          <w:sz w:val="20"/>
          <w:szCs w:val="20"/>
        </w:rPr>
      </w:pPr>
      <w:r>
        <w:rPr>
          <w:rFonts w:cs="Arial" w:ascii="Cambria" w:hAnsi="Cambria" w:asciiTheme="majorHAnsi" w:hAnsiTheme="majorHAnsi"/>
          <w:b/>
          <w:sz w:val="24"/>
          <w:szCs w:val="24"/>
        </w:rPr>
        <w:t xml:space="preserve"> </w:t>
      </w:r>
      <w:r>
        <w:rPr>
          <w:rFonts w:eastAsia="MS Gothic" w:cs="Arial" w:ascii="Cambria" w:hAnsi="Cambria" w:asciiTheme="majorHAnsi" w:hAnsiTheme="majorHAnsi"/>
          <w:b/>
          <w:i/>
          <w:sz w:val="20"/>
          <w:szCs w:val="20"/>
        </w:rPr>
        <w:t>V období medzi dňom, ku ktorému sa zostavuje účtovná závierka a dňom jej zostavenia nenastali žiadne udalosti, ktoré by mali významný vplyv na verné zobrazenie skutočností, ktoré sú predmetom účtovníctva.</w:t>
      </w:r>
    </w:p>
    <w:p>
      <w:pPr>
        <w:pStyle w:val="Normal"/>
        <w:spacing w:lineRule="auto" w:line="240" w:before="240" w:after="200"/>
        <w:jc w:val="both"/>
        <w:rPr>
          <w:rFonts w:ascii="Cambria" w:hAnsi="Cambria" w:eastAsia="MS Gothic" w:cs="Arial" w:asciiTheme="majorHAnsi" w:hAnsiTheme="majorHAnsi"/>
          <w:b/>
          <w:sz w:val="20"/>
          <w:szCs w:val="20"/>
        </w:rPr>
      </w:pPr>
      <w:r>
        <w:rPr>
          <w:rFonts w:cs="Arial" w:ascii="Cambria" w:hAnsi="Cambria" w:asciiTheme="majorHAnsi" w:hAnsiTheme="majorHAnsi"/>
          <w:b/>
          <w:sz w:val="24"/>
          <w:szCs w:val="24"/>
        </w:rPr>
        <w:t>Článok VII - Ostatné informácie</w:t>
      </w:r>
    </w:p>
    <w:p>
      <w:pPr>
        <w:pStyle w:val="Normal"/>
        <w:jc w:val="both"/>
        <w:rPr>
          <w:rFonts w:ascii="Cambria" w:hAnsi="Cambria" w:cs="Arial" w:asciiTheme="majorHAnsi" w:hAnsiTheme="majorHAnsi"/>
          <w:b/>
        </w:rPr>
      </w:pPr>
      <w:r>
        <w:rPr>
          <w:rFonts w:cs="Arial" w:ascii="Cambria" w:hAnsi="Cambria" w:asciiTheme="majorHAnsi" w:hAnsiTheme="majorHAnsi"/>
          <w:b/>
        </w:rPr>
        <w:t xml:space="preserve">VII. 1 a) – c)  </w:t>
      </w:r>
      <w:r>
        <w:rPr>
          <w:rFonts w:eastAsia="MS Gothic" w:cs="Arial" w:ascii="Cambria" w:hAnsi="Cambria" w:asciiTheme="majorHAnsi" w:hAnsiTheme="majorHAnsi"/>
          <w:b/>
        </w:rPr>
        <w:t xml:space="preserve">Informácie </w:t>
      </w:r>
      <w:r>
        <w:rPr>
          <w:rFonts w:cs="Arial" w:ascii="Cambria" w:hAnsi="Cambria" w:asciiTheme="majorHAnsi" w:hAnsiTheme="majorHAnsi"/>
          <w:b/>
        </w:rPr>
        <w:t>o výlučných právach alebo osobitných právach udelených účtovnej jednotke</w:t>
      </w:r>
    </w:p>
    <w:p>
      <w:pPr>
        <w:pStyle w:val="ListParagraph"/>
        <w:spacing w:lineRule="auto" w:line="240" w:before="0" w:after="0"/>
        <w:ind w:start="0"/>
        <w:contextualSpacing/>
        <w:jc w:val="both"/>
        <w:rPr>
          <w:rFonts w:ascii="Cambria" w:hAnsi="Cambria" w:cs="Arial" w:asciiTheme="majorHAnsi" w:hAnsiTheme="majorHAnsi"/>
          <w:i/>
          <w:sz w:val="24"/>
          <w:szCs w:val="24"/>
        </w:rPr>
      </w:pPr>
      <w:r>
        <w:rPr>
          <w:rFonts w:cs="Arial" w:ascii="Cambria" w:hAnsi="Cambria" w:asciiTheme="majorHAnsi" w:hAnsiTheme="majorHAnsi"/>
          <w:sz w:val="20"/>
          <w:szCs w:val="20"/>
        </w:rPr>
        <w:t xml:space="preserve"> </w:t>
      </w:r>
      <w:r>
        <w:rPr>
          <w:rFonts w:cs="Arial" w:ascii="Cambria" w:hAnsi="Cambria" w:asciiTheme="majorHAnsi" w:hAnsiTheme="majorHAnsi"/>
          <w:i/>
          <w:sz w:val="24"/>
          <w:szCs w:val="24"/>
        </w:rPr>
        <w:t>Daná oblasť sa účtovnej jednotky netýka.</w:t>
      </w:r>
    </w:p>
    <w:p>
      <w:pPr>
        <w:pStyle w:val="Normal"/>
        <w:spacing w:lineRule="auto" w:line="240" w:before="240" w:after="200"/>
        <w:jc w:val="both"/>
        <w:rPr>
          <w:rFonts w:ascii="Cambria" w:hAnsi="Cambria" w:eastAsia="MS Gothic" w:cs="Arial" w:asciiTheme="majorHAnsi" w:hAnsiTheme="majorHAnsi"/>
          <w:b/>
        </w:rPr>
      </w:pPr>
      <w:r>
        <w:rPr>
          <w:rFonts w:eastAsia="MS Gothic" w:cs="Arial" w:ascii="Cambria" w:hAnsi="Cambria" w:asciiTheme="majorHAnsi" w:hAnsiTheme="majorHAnsi"/>
          <w:b/>
        </w:rPr>
        <w:t>VII. 2 a) a b) Informácie týkajúce sa účtovnej jednotky, na ktorú sa vzťahuje § 23d ods. 6 ZoÚ, jej činnosť   je zaradená do kategórie priemyselnej výroby a jej čistý obrat za</w:t>
      </w:r>
      <w:r>
        <w:rPr>
          <w:rFonts w:cs="Arial" w:ascii="Cambria" w:hAnsi="Cambria" w:asciiTheme="majorHAnsi" w:hAnsiTheme="majorHAnsi"/>
        </w:rPr>
        <w:t xml:space="preserve"> </w:t>
      </w:r>
      <w:r>
        <w:rPr>
          <w:rFonts w:eastAsia="MS Gothic" w:cs="Arial" w:ascii="Cambria" w:hAnsi="Cambria" w:asciiTheme="majorHAnsi" w:hAnsiTheme="majorHAnsi"/>
          <w:b/>
        </w:rPr>
        <w:t>bezprostredne predchádzajúce účtovné obdobie bol väčší ako 250 000 000 €:</w:t>
      </w:r>
    </w:p>
    <w:p>
      <w:pPr>
        <w:pStyle w:val="ListParagraph"/>
        <w:spacing w:lineRule="auto" w:line="240" w:before="0" w:after="0"/>
        <w:ind w:start="0"/>
        <w:contextualSpacing/>
        <w:jc w:val="both"/>
        <w:rPr>
          <w:rFonts w:ascii="Cambria" w:hAnsi="Cambria" w:cs="Arial" w:asciiTheme="majorHAnsi" w:hAnsiTheme="majorHAnsi"/>
          <w:i/>
          <w:sz w:val="24"/>
          <w:szCs w:val="24"/>
        </w:rPr>
      </w:pPr>
      <w:r>
        <w:rPr>
          <w:rFonts w:cs="Arial" w:ascii="Cambria" w:hAnsi="Cambria" w:asciiTheme="majorHAnsi" w:hAnsiTheme="majorHAnsi"/>
          <w:i/>
          <w:sz w:val="24"/>
          <w:szCs w:val="24"/>
        </w:rPr>
        <w:t>Daná oblasť sa účtovnej jednotky netýka.</w:t>
      </w:r>
    </w:p>
    <w:p>
      <w:pPr>
        <w:pStyle w:val="Normal"/>
        <w:spacing w:lineRule="auto" w:line="240" w:before="0" w:after="0"/>
        <w:jc w:val="both"/>
        <w:rPr>
          <w:rFonts w:ascii="Cambria" w:hAnsi="Cambria" w:eastAsia="MS Gothic" w:cs="Arial" w:asciiTheme="majorHAnsi" w:hAnsiTheme="majorHAnsi"/>
          <w:b/>
          <w:sz w:val="20"/>
          <w:szCs w:val="20"/>
        </w:rPr>
      </w:pPr>
      <w:r>
        <w:rPr>
          <w:rFonts w:eastAsia="MS Gothic" w:cs="Arial" w:ascii="Cambria" w:hAnsi="Cambria"/>
          <w:b/>
          <w:sz w:val="20"/>
          <w:szCs w:val="20"/>
        </w:rPr>
      </w:r>
    </w:p>
    <w:p>
      <w:pPr>
        <w:pStyle w:val="Normal"/>
        <w:spacing w:lineRule="auto" w:line="240" w:before="0" w:after="0"/>
        <w:jc w:val="both"/>
        <w:rPr>
          <w:rFonts w:ascii="Cambria" w:hAnsi="Cambria" w:eastAsia="MS Gothic" w:cs="Arial" w:asciiTheme="majorHAnsi" w:hAnsiTheme="majorHAnsi"/>
          <w:b/>
        </w:rPr>
      </w:pPr>
      <w:r>
        <w:rPr>
          <w:rFonts w:eastAsia="MS Gothic" w:cs="Arial" w:ascii="Cambria" w:hAnsi="Cambria" w:asciiTheme="majorHAnsi" w:hAnsiTheme="majorHAnsi"/>
          <w:b/>
        </w:rPr>
        <w:t>VII. 2 c) – g)  I</w:t>
      </w:r>
      <w:r>
        <w:rPr>
          <w:rFonts w:eastAsia="MS Gothic" w:cs="Arial" w:ascii="Cambria" w:hAnsi="Cambria" w:asciiTheme="majorHAnsi" w:hAnsiTheme="majorHAnsi"/>
          <w:b/>
          <w:sz w:val="20"/>
          <w:szCs w:val="20"/>
        </w:rPr>
        <w:t>nformácie týkajúce sa účtovnej jednotky, na ktorú sa vzťahuje § 23d ods. 6 ZoÚ, jej činnosť je zaradená do kategórie priemyselnej výroby a jej čistý obrat za</w:t>
      </w:r>
      <w:r>
        <w:rPr>
          <w:rFonts w:cs="Arial" w:ascii="Cambria" w:hAnsi="Cambria" w:asciiTheme="majorHAnsi" w:hAnsiTheme="majorHAnsi"/>
          <w:sz w:val="20"/>
          <w:szCs w:val="20"/>
        </w:rPr>
        <w:t xml:space="preserve"> </w:t>
      </w:r>
      <w:r>
        <w:rPr>
          <w:rFonts w:eastAsia="MS Gothic" w:cs="Arial" w:ascii="Cambria" w:hAnsi="Cambria" w:asciiTheme="majorHAnsi" w:hAnsiTheme="majorHAnsi"/>
          <w:b/>
          <w:sz w:val="20"/>
          <w:szCs w:val="20"/>
        </w:rPr>
        <w:t>bezprostredne predchádzajúce účtovné obdobie bol väčší ako 250 000 000 €:</w:t>
      </w:r>
    </w:p>
    <w:p>
      <w:pPr>
        <w:pStyle w:val="Normal"/>
        <w:spacing w:lineRule="auto" w:line="240" w:before="0" w:after="0"/>
        <w:jc w:val="both"/>
        <w:rPr>
          <w:rFonts w:ascii="Cambria" w:hAnsi="Cambria" w:eastAsia="MS Gothic" w:cs="Arial" w:asciiTheme="majorHAnsi" w:hAnsiTheme="majorHAnsi"/>
          <w:b/>
          <w:sz w:val="20"/>
          <w:szCs w:val="20"/>
        </w:rPr>
      </w:pPr>
      <w:r>
        <w:rPr>
          <w:rFonts w:eastAsia="MS Gothic" w:cs="Arial" w:ascii="Cambria" w:hAnsi="Cambria"/>
          <w:b/>
          <w:sz w:val="20"/>
          <w:szCs w:val="20"/>
        </w:rPr>
      </w:r>
    </w:p>
    <w:p>
      <w:pPr>
        <w:pStyle w:val="ListParagraph"/>
        <w:spacing w:lineRule="auto" w:line="240" w:before="0" w:after="0"/>
        <w:ind w:start="0"/>
        <w:contextualSpacing/>
        <w:jc w:val="both"/>
        <w:rPr>
          <w:rFonts w:ascii="Cambria" w:hAnsi="Cambria" w:cs="Arial" w:asciiTheme="majorHAnsi" w:hAnsiTheme="majorHAnsi"/>
          <w:i/>
          <w:sz w:val="24"/>
          <w:szCs w:val="24"/>
        </w:rPr>
      </w:pPr>
      <w:r>
        <w:rPr>
          <w:rFonts w:cs="Arial" w:ascii="Cambria" w:hAnsi="Cambria" w:asciiTheme="majorHAnsi" w:hAnsiTheme="majorHAnsi"/>
          <w:i/>
          <w:sz w:val="24"/>
          <w:szCs w:val="24"/>
        </w:rPr>
        <w:t>Daná oblasť sa účtovnej jednotky netýka.</w:t>
      </w:r>
    </w:p>
    <w:p>
      <w:pPr>
        <w:pStyle w:val="ListParagraph"/>
        <w:spacing w:lineRule="auto" w:line="240" w:before="0" w:after="0"/>
        <w:ind w:start="0"/>
        <w:contextualSpacing/>
        <w:jc w:val="both"/>
        <w:rPr>
          <w:rFonts w:ascii="Cambria" w:hAnsi="Cambria" w:eastAsia="MS Gothic" w:cs="Arial" w:asciiTheme="majorHAnsi" w:hAnsiTheme="majorHAnsi"/>
          <w:b/>
          <w:sz w:val="20"/>
          <w:szCs w:val="20"/>
        </w:rPr>
      </w:pPr>
      <w:r>
        <w:rPr>
          <w:rFonts w:eastAsia="MS Gothic" w:cs="Arial" w:ascii="Cambria" w:hAnsi="Cambria"/>
          <w:b/>
          <w:sz w:val="20"/>
          <w:szCs w:val="20"/>
        </w:rPr>
      </w:r>
    </w:p>
    <w:p>
      <w:pPr>
        <w:pStyle w:val="ListParagraph"/>
        <w:spacing w:lineRule="auto" w:line="240" w:before="0" w:after="0"/>
        <w:ind w:start="0"/>
        <w:contextualSpacing/>
        <w:jc w:val="both"/>
        <w:rPr>
          <w:rFonts w:ascii="Cambria" w:hAnsi="Cambria" w:eastAsia="MS Gothic" w:cs="Arial" w:asciiTheme="majorHAnsi" w:hAnsiTheme="majorHAnsi"/>
          <w:b/>
          <w:sz w:val="20"/>
          <w:szCs w:val="20"/>
        </w:rPr>
      </w:pPr>
      <w:r>
        <w:rPr>
          <w:rFonts w:eastAsia="MS Gothic" w:cs="Arial" w:ascii="Cambria" w:hAnsi="Cambria" w:asciiTheme="majorHAnsi" w:hAnsiTheme="majorHAnsi"/>
          <w:b/>
          <w:sz w:val="20"/>
          <w:szCs w:val="20"/>
        </w:rPr>
        <w:t>VII. 3  Informácie týkajúce sa účtovnej jednotky, na ktorú sa vzťahuje § 23d ods. 6 ZoÚ, jej činnosť je zaradená do kategórie priemyselnej výroby a jej čistý obrat za bezprostredne predchádzajúce účtovné obdobie bol väčší ako 250 000 000 € -  finančné vzťahy  medzi orgánom verejnej moci a účtovnou jednotkou:</w:t>
      </w:r>
    </w:p>
    <w:p>
      <w:pPr>
        <w:pStyle w:val="Normal"/>
        <w:spacing w:lineRule="auto" w:line="240" w:before="0" w:after="0"/>
        <w:jc w:val="both"/>
        <w:rPr>
          <w:rFonts w:ascii="Cambria" w:hAnsi="Cambria" w:eastAsia="MS Gothic" w:cs="Arial" w:asciiTheme="majorHAnsi" w:hAnsiTheme="majorHAnsi"/>
          <w:b/>
          <w:sz w:val="20"/>
          <w:szCs w:val="20"/>
        </w:rPr>
      </w:pPr>
      <w:r>
        <w:rPr>
          <w:rFonts w:eastAsia="MS Gothic" w:cs="Arial" w:ascii="Cambria" w:hAnsi="Cambria"/>
          <w:b/>
          <w:sz w:val="20"/>
          <w:szCs w:val="20"/>
        </w:rPr>
      </w:r>
    </w:p>
    <w:p>
      <w:pPr>
        <w:pStyle w:val="ListParagraph"/>
        <w:spacing w:lineRule="auto" w:line="240" w:before="0" w:after="0"/>
        <w:ind w:start="0"/>
        <w:contextualSpacing/>
        <w:jc w:val="both"/>
        <w:rPr>
          <w:rFonts w:ascii="Cambria" w:hAnsi="Cambria" w:cs="Arial" w:asciiTheme="majorHAnsi" w:hAnsiTheme="majorHAnsi"/>
          <w:i/>
          <w:sz w:val="24"/>
          <w:szCs w:val="24"/>
        </w:rPr>
      </w:pPr>
      <w:r>
        <w:rPr>
          <w:rFonts w:cs="Arial" w:ascii="Cambria" w:hAnsi="Cambria" w:asciiTheme="majorHAnsi" w:hAnsiTheme="majorHAnsi"/>
          <w:i/>
          <w:sz w:val="24"/>
          <w:szCs w:val="24"/>
        </w:rPr>
        <w:t>Daná oblasť sa účtovnej jednotky netýka.</w:t>
      </w:r>
    </w:p>
    <w:p>
      <w:pPr>
        <w:pStyle w:val="Normal"/>
        <w:spacing w:lineRule="auto" w:line="240" w:before="240" w:after="200"/>
        <w:jc w:val="both"/>
        <w:rPr>
          <w:rFonts w:ascii="Cambria" w:hAnsi="Cambria" w:eastAsia="MS Gothic" w:cs="Arial" w:asciiTheme="majorHAnsi" w:hAnsiTheme="majorHAnsi"/>
          <w:b/>
          <w:sz w:val="20"/>
          <w:szCs w:val="20"/>
        </w:rPr>
      </w:pPr>
      <w:r>
        <w:rPr>
          <w:rFonts w:eastAsia="MS Gothic" w:cs="Arial" w:ascii="Cambria" w:hAnsi="Cambria" w:asciiTheme="majorHAnsi" w:hAnsiTheme="majorHAnsi"/>
          <w:b/>
          <w:sz w:val="20"/>
          <w:szCs w:val="20"/>
        </w:rPr>
        <w:t>Miesto/Dátum/Podpis</w:t>
      </w:r>
    </w:p>
    <w:p>
      <w:pPr>
        <w:pStyle w:val="Normal"/>
        <w:spacing w:lineRule="auto" w:line="240" w:before="240" w:after="200"/>
        <w:jc w:val="both"/>
        <w:rPr>
          <w:rFonts w:ascii="Cambria" w:hAnsi="Cambria" w:eastAsia="MS Gothic" w:cs="Arial" w:asciiTheme="majorHAnsi" w:hAnsiTheme="majorHAnsi"/>
          <w:sz w:val="20"/>
          <w:szCs w:val="20"/>
        </w:rPr>
      </w:pPr>
      <w:bookmarkStart w:id="0" w:name="OLE_LINK1"/>
      <w:r>
        <w:rPr>
          <w:rFonts w:eastAsia="MS Gothic" w:cs="Arial" w:ascii="Cambria" w:hAnsi="Cambria" w:asciiTheme="majorHAnsi" w:hAnsiTheme="majorHAnsi"/>
          <w:sz w:val="20"/>
          <w:szCs w:val="20"/>
        </w:rPr>
        <w:t>V Šali, dňa 29.3.202</w:t>
      </w:r>
      <w:r>
        <w:rPr>
          <w:rFonts w:eastAsia="MS Gothic" w:cs="Arial" w:ascii="Cambria" w:hAnsi="Cambria" w:asciiTheme="majorHAnsi" w:hAnsiTheme="majorHAnsi"/>
          <w:sz w:val="20"/>
          <w:szCs w:val="20"/>
        </w:rPr>
        <w:t>6</w:t>
      </w:r>
      <w:r>
        <w:rPr>
          <w:rFonts w:eastAsia="MS Gothic" w:cs="Arial" w:ascii="Cambria" w:hAnsi="Cambria" w:asciiTheme="majorHAnsi" w:hAnsiTheme="majorHAnsi"/>
          <w:sz w:val="20"/>
          <w:szCs w:val="20"/>
        </w:rPr>
        <w:tab/>
        <w:tab/>
        <w:tab/>
        <w:tab/>
        <w:tab/>
        <w:t>Juraj Rehák, konateľ spoločnosti</w:t>
      </w:r>
      <w:bookmarkEnd w:id="0"/>
      <w:r>
        <w:rPr>
          <w:rFonts w:eastAsia="MS Gothic" w:cs="Arial" w:ascii="Cambria" w:hAnsi="Cambria" w:asciiTheme="majorHAnsi" w:hAnsiTheme="majorHAnsi"/>
          <w:b/>
          <w:i/>
          <w:sz w:val="20"/>
          <w:szCs w:val="20"/>
        </w:rPr>
        <w:t xml:space="preserve"> </w:t>
      </w:r>
    </w:p>
    <w:sectPr>
      <w:headerReference w:type="even" r:id="rId2"/>
      <w:headerReference w:type="default" r:id="rId3"/>
      <w:headerReference w:type="first" r:id="rId4"/>
      <w:footerReference w:type="even" r:id="rId5"/>
      <w:footerReference w:type="default" r:id="rId6"/>
      <w:footerReference w:type="first" r:id="rId7"/>
      <w:type w:val="nextPage"/>
      <w:pgSz w:w="11906" w:h="16838"/>
      <w:pgMar w:left="1417" w:right="1417" w:gutter="0" w:header="708" w:top="1417" w:footer="708" w:bottom="1417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 w:characterSet="windows-1252"/>
    <w:family w:val="roman"/>
    <w:pitch w:val="variable"/>
  </w:font>
  <w:font w:name="Symbol">
    <w:charset w:val="02"/>
    <w:family w:val="roman"/>
    <w:pitch w:val="variable"/>
  </w:font>
  <w:font w:name="Arial">
    <w:charset w:val="00" w:characterSet="windows-1252"/>
    <w:family w:val="swiss"/>
    <w:pitch w:val="variable"/>
  </w:font>
  <w:font w:name="Liberation Serif">
    <w:altName w:val="Times New Roman"/>
    <w:charset w:val="ee" w:characterSet="windows-1250"/>
    <w:family w:val="roman"/>
    <w:pitch w:val="variable"/>
  </w:font>
  <w:font w:name="Calibri">
    <w:charset w:val="ee" w:characterSet="windows-1250"/>
    <w:family w:val="roman"/>
    <w:pitch w:val="variable"/>
  </w:font>
  <w:font w:name="Cambria">
    <w:charset w:val="ee" w:characterSet="windows-1250"/>
    <w:family w:val="roman"/>
    <w:pitch w:val="variable"/>
  </w:font>
  <w:font w:name="Tahoma">
    <w:charset w:val="ee" w:characterSet="windows-1250"/>
    <w:family w:val="swiss"/>
    <w:pitch w:val="variable"/>
  </w:font>
  <w:font w:name="Arial">
    <w:charset w:val="ee" w:characterSet="windows-1250"/>
    <w:family w:val="swiss"/>
    <w:pitch w:val="variable"/>
  </w:font>
  <w:font w:name="Liberation Sans">
    <w:altName w:val="Arial"/>
    <w:charset w:val="ee" w:characterSet="windows-1250"/>
    <w:family w:val="swiss"/>
    <w:pitch w:val="variable"/>
  </w:font>
  <w:font w:name="MS Mincho">
    <w:charset w:val="ee" w:characterSet="windows-1250"/>
    <w:family w:val="roman"/>
    <w:pitch w:val="variable"/>
  </w:font>
  <w:font w:name="Courier New">
    <w:charset w:val="01"/>
    <w:family w:val="modern"/>
    <w:pitch w:val="fixed"/>
  </w:font>
  <w:font w:name="Wingdings">
    <w:charset w:val="02"/>
    <w:family w:val="auto"/>
    <w:pitch w:val="variable"/>
  </w:font>
  <w:font w:name="Cambria">
    <w:charset w:val="01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rPr/>
    </w:pPr>
    <w:r>
      <w:rPr/>
    </w:r>
  </w:p>
</w:ftr>
</file>

<file path=word/footer2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sdt>
    <w:sdtPr>
      <w:id w:val="-204801737"/>
      <w:docPartObj>
        <w:docPartGallery w:val="Page Numbers (Bottom of Page)"/>
        <w:docPartUnique w:val="true"/>
      </w:docPartObj>
    </w:sdtPr>
    <w:sdtContent>
      <w:p>
        <w:pPr>
          <w:pStyle w:val="Footer"/>
          <w:jc w:val="end"/>
          <w:rPr>
            <w:rFonts w:ascii="Cambria" w:hAnsi="Cambria" w:asciiTheme="majorHAnsi" w:hAnsiTheme="majorHAnsi"/>
          </w:rPr>
        </w:pPr>
        <w:r>
          <w:rPr>
            <w:rFonts w:ascii="Cambria" w:hAnsi="Cambria"/>
          </w:rPr>
          <w:fldChar w:fldCharType="begin"/>
        </w:r>
        <w:r>
          <w:rPr>
            <w:rFonts w:ascii="Cambria" w:hAnsi="Cambria"/>
          </w:rPr>
          <w:instrText xml:space="preserve"> PAGE </w:instrText>
        </w:r>
        <w:r>
          <w:rPr>
            <w:rFonts w:ascii="Cambria" w:hAnsi="Cambria"/>
          </w:rPr>
          <w:fldChar w:fldCharType="separate"/>
        </w:r>
        <w:r>
          <w:rPr>
            <w:rFonts w:ascii="Cambria" w:hAnsi="Cambria"/>
          </w:rPr>
          <w:t>6</w:t>
        </w:r>
        <w:r>
          <w:rPr>
            <w:rFonts w:ascii="Cambria" w:hAnsi="Cambria"/>
          </w:rPr>
          <w:fldChar w:fldCharType="end"/>
        </w:r>
      </w:p>
    </w:sdtContent>
  </w:sdt>
  <w:p>
    <w:pPr>
      <w:pStyle w:val="Footer"/>
      <w:rPr/>
    </w:pPr>
    <w:r>
      <w:rPr/>
    </w:r>
  </w:p>
</w:ftr>
</file>

<file path=word/footer3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sdt>
    <w:sdtPr>
      <w:id w:val="-204801737"/>
      <w:docPartObj>
        <w:docPartGallery w:val="Page Numbers (Bottom of Page)"/>
        <w:docPartUnique w:val="true"/>
      </w:docPartObj>
    </w:sdtPr>
    <w:sdtContent>
      <w:p>
        <w:pPr>
          <w:pStyle w:val="Footer"/>
          <w:jc w:val="end"/>
          <w:rPr>
            <w:rFonts w:ascii="Cambria" w:hAnsi="Cambria" w:asciiTheme="majorHAnsi" w:hAnsiTheme="majorHAnsi"/>
          </w:rPr>
        </w:pPr>
        <w:r>
          <w:rPr>
            <w:rFonts w:ascii="Cambria" w:hAnsi="Cambria"/>
          </w:rPr>
          <w:fldChar w:fldCharType="begin"/>
        </w:r>
        <w:r>
          <w:rPr>
            <w:rFonts w:ascii="Cambria" w:hAnsi="Cambria"/>
          </w:rPr>
          <w:instrText xml:space="preserve"> PAGE </w:instrText>
        </w:r>
        <w:r>
          <w:rPr>
            <w:rFonts w:ascii="Cambria" w:hAnsi="Cambria"/>
          </w:rPr>
          <w:fldChar w:fldCharType="separate"/>
        </w:r>
        <w:r>
          <w:rPr>
            <w:rFonts w:ascii="Cambria" w:hAnsi="Cambria"/>
          </w:rPr>
          <w:t>6</w:t>
        </w:r>
        <w:r>
          <w:rPr>
            <w:rFonts w:ascii="Cambria" w:hAnsi="Cambria"/>
          </w:rPr>
          <w:fldChar w:fldCharType="end"/>
        </w:r>
      </w:p>
    </w:sdtContent>
  </w:sdt>
  <w:p>
    <w:pPr>
      <w:pStyle w:val="Footer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rPr/>
    </w:pPr>
    <w:r>
      <w:rPr/>
    </w:r>
  </w:p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rPr>
        <w:rFonts w:ascii="Cambria" w:hAnsi="Cambria" w:asciiTheme="majorHAnsi" w:hAnsiTheme="majorHAnsi"/>
      </w:rPr>
    </w:pPr>
    <w:r>
      <w:rPr>
        <w:rFonts w:asciiTheme="majorHAnsi" w:hAnsiTheme="majorHAnsi" w:ascii="Cambria" w:hAnsi="Cambria"/>
      </w:rPr>
    </w:r>
  </w:p>
  <w:p>
    <w:pPr>
      <w:pStyle w:val="Header"/>
      <w:jc w:val="end"/>
      <w:rPr>
        <w:color w:themeColor="accent1" w:themeShade="bf" w:val="365F91"/>
        <w:sz w:val="36"/>
        <w:szCs w:val="36"/>
      </w:rPr>
    </w:pPr>
    <w:r>
      <mc:AlternateContent>
        <mc:Choice Requires="wpg">
          <w:drawing>
            <wp:anchor distT="5080" distB="30480" distL="0" distR="5080" simplePos="0" relativeHeight="7" behindDoc="1" locked="0" layoutInCell="0" allowOverlap="1" wp14:anchorId="0E9CFE11">
              <wp:simplePos x="0" y="0"/>
              <wp:positionH relativeFrom="page">
                <wp:align>left</wp:align>
              </wp:positionH>
              <wp:positionV relativeFrom="page">
                <wp:align>top</wp:align>
              </wp:positionV>
              <wp:extent cx="2908300" cy="911860"/>
              <wp:effectExtent l="0" t="5080" r="5080" b="30480"/>
              <wp:wrapNone/>
              <wp:docPr id="1" name="Group 63"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2908440" cy="911880"/>
                        <a:chOff x="0" y="0"/>
                        <a:chExt cx="2908440" cy="911880"/>
                      </a:xfrm>
                    </wpg:grpSpPr>
                    <wps:wsp>
                      <wps:cNvSpPr/>
                      <wps:spPr>
                        <a:xfrm flipV="1">
                          <a:off x="360720" y="0"/>
                          <a:ext cx="2547720" cy="853560"/>
                        </a:xfrm>
                        <a:prstGeom prst="line">
                          <a:avLst/>
                        </a:prstGeom>
                        <a:ln>
                          <a:solidFill>
                            <a:srgbClr val="95b3d7"/>
                          </a:solidFill>
                          <a:round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/>
                      </wps:style>
                      <wps:bodyPr/>
                    </wps:wsp>
                    <wps:wsp>
                      <wps:cNvPr id="2" name="Oval 62"/>
                      <wps:cNvSpPr/>
                      <wps:spPr>
                        <a:xfrm>
                          <a:off x="33120" y="79200"/>
                          <a:ext cx="720000" cy="803160"/>
                        </a:xfrm>
                        <a:prstGeom prst="ellipse">
                          <a:avLst/>
                        </a:prstGeom>
                        <a:gradFill rotWithShape="0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</a:gradFill>
                        <a:ln>
                          <a:noFill/>
                        </a:ln>
                        <a:scene3d>
                          <a:camera prst="perspectiveContrastingRightFacing"/>
                          <a:lightRig dir="t" rig="twoPt"/>
                        </a:scene3d>
                        <a:sp3d>
                          <a:bevelT prst="riblet" w="101600"/>
                        </a:sp3d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/>
                      </wps:style>
                      <wps:bodyPr/>
                    </wps:wsp>
                  </wpg:wgp>
                </a:graphicData>
              </a:graphic>
              <wp14:sizeRelH relativeFrom="margin">
                <wp14:pctWidth>50000</wp14:pctWidth>
              </wp14:sizeRelH>
              <wp14:sizeRelV relativeFrom="topMargin">
                <wp14:pctHeight>100000</wp14:pctHeight>
              </wp14:sizeRelV>
            </wp:anchor>
          </w:drawing>
        </mc:Choice>
        <mc:Fallback>
          <w:pict>
            <v:group id="shape_0" alt="Group 63" style="position:absolute;margin-left:2.6pt;margin-top:0.4pt;width:226.35pt;height:69.5pt" coordorigin="52,8" coordsize="4527,1390">
              <v:line id="shape_0" from="568,8" to="4579,1351" stroked="t" o:allowincell="f" style="position:absolute;flip:y;mso-position-horizontal:left;mso-position-horizontal-relative:page;mso-position-vertical:top;mso-position-vertical-relative:page">
                <v:stroke color="#95b3d7" weight="9360" joinstyle="round" endcap="flat"/>
                <v:fill o:detectmouseclick="t" on="false"/>
                <w10:wrap type="none"/>
              </v:line>
              <v:oval id="shape_0" fillcolor="#e8eef9" stroked="f" o:allowincell="f" style="position:absolute;left:52;top:132;width:1133;height:1264;mso-wrap-style:none;v-text-anchor:middle;rotation:355;mso-position-horizontal:left;mso-position-horizontal-relative:page;mso-position-vertical:top;mso-position-vertical-relative:page">
                <v:fill o:detectmouseclick="t" color2="#b6cef0"/>
                <v:stroke color="#3465a4" weight="25560" joinstyle="round" endcap="flat"/>
                <w10:wrap type="none"/>
              </v:oval>
            </v:group>
          </w:pict>
        </mc:Fallback>
      </mc:AlternateContent>
    </w:r>
    <w:sdt>
      <w:sdt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Content>
        <w:r>
          <w:rPr>
            <w:rFonts w:ascii="Cambria" w:hAnsi="Cambria" w:asciiTheme="majorHAnsi" w:hAnsiTheme="majorHAnsi"/>
            <w:sz w:val="36"/>
            <w:szCs w:val="36"/>
          </w:rPr>
        </w:r>
        <w:r>
          <w:rPr>
            <w:rFonts w:ascii="Cambria" w:hAnsi="Cambria" w:asciiTheme="majorHAnsi" w:hAnsiTheme="majorHAnsi"/>
            <w:sz w:val="36"/>
            <w:szCs w:val="36"/>
          </w:rPr>
          <w:t>Poznámky Úč PODV 3 - 01</w:t>
        </w:r>
      </w:sdtContent>
    </w:sdt>
  </w:p>
  <w:p>
    <w:pPr>
      <w:pStyle w:val="Header"/>
      <w:rPr>
        <w:rFonts w:ascii="Cambria" w:hAnsi="Cambria" w:asciiTheme="majorHAnsi" w:hAnsiTheme="majorHAnsi"/>
      </w:rPr>
    </w:pPr>
    <w:r>
      <w:rPr>
        <w:rFonts w:asciiTheme="majorHAnsi" w:hAnsiTheme="majorHAnsi" w:ascii="Cambria" w:hAnsi="Cambria"/>
      </w:rPr>
    </w:r>
  </w:p>
  <w:p>
    <w:pPr>
      <w:pStyle w:val="Header"/>
      <w:rPr>
        <w:rFonts w:ascii="Cambria" w:hAnsi="Cambria" w:asciiTheme="majorHAnsi" w:hAnsiTheme="majorHAnsi"/>
      </w:rPr>
    </w:pPr>
    <w:r>
      <w:rPr>
        <w:rFonts w:asciiTheme="majorHAnsi" w:hAnsiTheme="majorHAnsi" w:ascii="Cambria" w:hAnsi="Cambria"/>
      </w:rPr>
    </w:r>
  </w:p>
  <w:tbl>
    <w:tblPr>
      <w:tblStyle w:val="Mriekatabuky"/>
      <w:tblW w:w="7990" w:type="dxa"/>
      <w:jc w:val="end"/>
      <w:tblInd w:w="0" w:type="dxa"/>
      <w:tblLayout w:type="fixed"/>
      <w:tblCellMar>
        <w:top w:w="0" w:type="dxa"/>
        <w:start w:w="108" w:type="dxa"/>
        <w:bottom w:w="0" w:type="dxa"/>
        <w:end w:w="108" w:type="dxa"/>
      </w:tblCellMar>
      <w:tblLook w:firstRow="1" w:noVBand="1" w:lastRow="0" w:firstColumn="1" w:lastColumn="0" w:noHBand="0" w:val="04a0"/>
    </w:tblPr>
    <w:tblGrid>
      <w:gridCol w:w="624"/>
      <w:gridCol w:w="326"/>
      <w:gridCol w:w="326"/>
      <w:gridCol w:w="329"/>
      <w:gridCol w:w="330"/>
      <w:gridCol w:w="329"/>
      <w:gridCol w:w="327"/>
      <w:gridCol w:w="326"/>
      <w:gridCol w:w="326"/>
      <w:gridCol w:w="851"/>
      <w:gridCol w:w="624"/>
      <w:gridCol w:w="329"/>
      <w:gridCol w:w="327"/>
      <w:gridCol w:w="326"/>
      <w:gridCol w:w="326"/>
      <w:gridCol w:w="329"/>
      <w:gridCol w:w="327"/>
      <w:gridCol w:w="326"/>
      <w:gridCol w:w="326"/>
      <w:gridCol w:w="329"/>
      <w:gridCol w:w="327"/>
    </w:tblGrid>
    <w:tr>
      <w:trPr>
        <w:trHeight w:val="340" w:hRule="atLeast"/>
      </w:trPr>
      <w:tc>
        <w:tcPr>
          <w:tcW w:w="624" w:type="dxa"/>
          <w:tcBorders/>
          <w:vAlign w:val="center"/>
        </w:tcPr>
        <w:p>
          <w:pPr>
            <w:pStyle w:val="Header"/>
            <w:widowControl/>
            <w:suppressAutoHyphens w:val="true"/>
            <w:spacing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eastAsia="" w:cs="" w:ascii="Cambria" w:hAnsi="Cambria" w:asciiTheme="majorHAnsi" w:hAnsiTheme="majorHAnsi"/>
              <w:kern w:val="0"/>
              <w:sz w:val="20"/>
              <w:szCs w:val="20"/>
              <w:lang w:val="sk-SK" w:eastAsia="sk-SK" w:bidi="ar-SA"/>
            </w:rPr>
            <w:t>IČO:</w:t>
          </w:r>
        </w:p>
      </w:tc>
      <w:tc>
        <w:tcPr>
          <w:tcW w:w="326" w:type="dxa"/>
          <w:tcBorders/>
          <w:vAlign w:val="center"/>
        </w:tcPr>
        <w:p>
          <w:pPr>
            <w:pStyle w:val="Header"/>
            <w:widowControl/>
            <w:suppressAutoHyphens w:val="true"/>
            <w:spacing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eastAsia="" w:cs="" w:ascii="Cambria" w:hAnsi="Cambria" w:asciiTheme="majorHAnsi" w:hAnsiTheme="majorHAnsi"/>
              <w:kern w:val="0"/>
              <w:sz w:val="20"/>
              <w:szCs w:val="20"/>
              <w:lang w:val="sk-SK" w:eastAsia="sk-SK" w:bidi="ar-SA"/>
            </w:rPr>
            <w:t>3</w:t>
          </w:r>
        </w:p>
      </w:tc>
      <w:tc>
        <w:tcPr>
          <w:tcW w:w="326" w:type="dxa"/>
          <w:tcBorders/>
          <w:vAlign w:val="center"/>
        </w:tcPr>
        <w:p>
          <w:pPr>
            <w:pStyle w:val="Header"/>
            <w:widowControl/>
            <w:suppressAutoHyphens w:val="true"/>
            <w:spacing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eastAsia="" w:cs="" w:ascii="Cambria" w:hAnsi="Cambria" w:asciiTheme="majorHAnsi" w:hAnsiTheme="majorHAnsi"/>
              <w:kern w:val="0"/>
              <w:sz w:val="20"/>
              <w:szCs w:val="20"/>
              <w:lang w:val="sk-SK" w:eastAsia="sk-SK" w:bidi="ar-SA"/>
            </w:rPr>
            <w:t>6</w:t>
          </w:r>
        </w:p>
      </w:tc>
      <w:tc>
        <w:tcPr>
          <w:tcW w:w="329" w:type="dxa"/>
          <w:tcBorders/>
          <w:vAlign w:val="center"/>
        </w:tcPr>
        <w:p>
          <w:pPr>
            <w:pStyle w:val="Header"/>
            <w:widowControl/>
            <w:suppressAutoHyphens w:val="true"/>
            <w:spacing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eastAsia="" w:cs="" w:ascii="Cambria" w:hAnsi="Cambria" w:asciiTheme="majorHAnsi" w:hAnsiTheme="majorHAnsi"/>
              <w:kern w:val="0"/>
              <w:sz w:val="20"/>
              <w:szCs w:val="20"/>
              <w:lang w:val="sk-SK" w:eastAsia="sk-SK" w:bidi="ar-SA"/>
            </w:rPr>
            <w:t>2</w:t>
          </w:r>
        </w:p>
      </w:tc>
      <w:tc>
        <w:tcPr>
          <w:tcW w:w="330" w:type="dxa"/>
          <w:tcBorders/>
          <w:vAlign w:val="center"/>
        </w:tcPr>
        <w:p>
          <w:pPr>
            <w:pStyle w:val="Header"/>
            <w:widowControl/>
            <w:suppressAutoHyphens w:val="true"/>
            <w:spacing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eastAsia="" w:cs="" w:ascii="Cambria" w:hAnsi="Cambria" w:asciiTheme="majorHAnsi" w:hAnsiTheme="majorHAnsi"/>
              <w:kern w:val="0"/>
              <w:sz w:val="20"/>
              <w:szCs w:val="20"/>
              <w:lang w:val="sk-SK" w:eastAsia="sk-SK" w:bidi="ar-SA"/>
            </w:rPr>
            <w:t>8</w:t>
          </w:r>
        </w:p>
      </w:tc>
      <w:tc>
        <w:tcPr>
          <w:tcW w:w="329" w:type="dxa"/>
          <w:tcBorders/>
          <w:vAlign w:val="center"/>
        </w:tcPr>
        <w:p>
          <w:pPr>
            <w:pStyle w:val="Header"/>
            <w:widowControl/>
            <w:suppressAutoHyphens w:val="true"/>
            <w:spacing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eastAsia="" w:cs="" w:ascii="Cambria" w:hAnsi="Cambria" w:asciiTheme="majorHAnsi" w:hAnsiTheme="majorHAnsi"/>
              <w:kern w:val="0"/>
              <w:sz w:val="20"/>
              <w:szCs w:val="20"/>
              <w:lang w:val="sk-SK" w:eastAsia="sk-SK" w:bidi="ar-SA"/>
            </w:rPr>
            <w:t>3</w:t>
          </w:r>
        </w:p>
      </w:tc>
      <w:tc>
        <w:tcPr>
          <w:tcW w:w="327" w:type="dxa"/>
          <w:tcBorders/>
          <w:vAlign w:val="center"/>
        </w:tcPr>
        <w:p>
          <w:pPr>
            <w:pStyle w:val="Header"/>
            <w:widowControl/>
            <w:suppressAutoHyphens w:val="true"/>
            <w:spacing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eastAsia="" w:cs="" w:ascii="Cambria" w:hAnsi="Cambria" w:asciiTheme="majorHAnsi" w:hAnsiTheme="majorHAnsi"/>
              <w:kern w:val="0"/>
              <w:sz w:val="20"/>
              <w:szCs w:val="20"/>
              <w:lang w:val="sk-SK" w:eastAsia="sk-SK" w:bidi="ar-SA"/>
            </w:rPr>
            <w:t>3</w:t>
          </w:r>
        </w:p>
      </w:tc>
      <w:tc>
        <w:tcPr>
          <w:tcW w:w="326" w:type="dxa"/>
          <w:tcBorders/>
          <w:vAlign w:val="center"/>
        </w:tcPr>
        <w:p>
          <w:pPr>
            <w:pStyle w:val="Header"/>
            <w:widowControl/>
            <w:suppressAutoHyphens w:val="true"/>
            <w:spacing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eastAsia="" w:cs="" w:ascii="Cambria" w:hAnsi="Cambria" w:asciiTheme="majorHAnsi" w:hAnsiTheme="majorHAnsi"/>
              <w:kern w:val="0"/>
              <w:sz w:val="20"/>
              <w:szCs w:val="20"/>
              <w:lang w:val="sk-SK" w:eastAsia="sk-SK" w:bidi="ar-SA"/>
            </w:rPr>
            <w:t>7</w:t>
          </w:r>
        </w:p>
      </w:tc>
      <w:tc>
        <w:tcPr>
          <w:tcW w:w="326" w:type="dxa"/>
          <w:tcBorders/>
          <w:vAlign w:val="center"/>
        </w:tcPr>
        <w:p>
          <w:pPr>
            <w:pStyle w:val="Header"/>
            <w:widowControl/>
            <w:suppressAutoHyphens w:val="true"/>
            <w:spacing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eastAsia="" w:cs="" w:ascii="Cambria" w:hAnsi="Cambria" w:asciiTheme="majorHAnsi" w:hAnsiTheme="majorHAnsi"/>
              <w:kern w:val="0"/>
              <w:sz w:val="20"/>
              <w:szCs w:val="20"/>
              <w:lang w:val="sk-SK" w:eastAsia="sk-SK" w:bidi="ar-SA"/>
            </w:rPr>
            <w:t>1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>
          <w:pPr>
            <w:pStyle w:val="Header"/>
            <w:widowControl/>
            <w:suppressAutoHyphens w:val="true"/>
            <w:spacing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asciiTheme="majorHAnsi" w:hAnsiTheme="majorHAnsi" w:ascii="Cambria" w:hAnsi="Cambria"/>
              <w:sz w:val="20"/>
              <w:szCs w:val="20"/>
            </w:rPr>
          </w:r>
        </w:p>
      </w:tc>
      <w:tc>
        <w:tcPr>
          <w:tcW w:w="624" w:type="dxa"/>
          <w:tcBorders/>
          <w:vAlign w:val="center"/>
        </w:tcPr>
        <w:p>
          <w:pPr>
            <w:pStyle w:val="Header"/>
            <w:widowControl/>
            <w:suppressAutoHyphens w:val="true"/>
            <w:spacing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eastAsia="" w:cs="" w:ascii="Cambria" w:hAnsi="Cambria" w:asciiTheme="majorHAnsi" w:hAnsiTheme="majorHAnsi"/>
              <w:kern w:val="0"/>
              <w:sz w:val="20"/>
              <w:szCs w:val="20"/>
              <w:lang w:val="sk-SK" w:eastAsia="sk-SK" w:bidi="ar-SA"/>
            </w:rPr>
            <w:t>DIČ:</w:t>
          </w:r>
        </w:p>
      </w:tc>
      <w:tc>
        <w:tcPr>
          <w:tcW w:w="329" w:type="dxa"/>
          <w:tcBorders/>
          <w:vAlign w:val="center"/>
        </w:tcPr>
        <w:p>
          <w:pPr>
            <w:pStyle w:val="Header"/>
            <w:widowControl/>
            <w:suppressAutoHyphens w:val="true"/>
            <w:spacing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eastAsia="" w:cs="" w:ascii="Cambria" w:hAnsi="Cambria" w:asciiTheme="majorHAnsi" w:hAnsiTheme="majorHAnsi"/>
              <w:kern w:val="0"/>
              <w:sz w:val="20"/>
              <w:szCs w:val="20"/>
              <w:lang w:val="sk-SK" w:eastAsia="sk-SK" w:bidi="ar-SA"/>
            </w:rPr>
            <w:t>2</w:t>
          </w:r>
        </w:p>
      </w:tc>
      <w:tc>
        <w:tcPr>
          <w:tcW w:w="327" w:type="dxa"/>
          <w:tcBorders/>
          <w:vAlign w:val="center"/>
        </w:tcPr>
        <w:p>
          <w:pPr>
            <w:pStyle w:val="Header"/>
            <w:widowControl/>
            <w:suppressAutoHyphens w:val="true"/>
            <w:spacing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eastAsia="" w:cs="" w:ascii="Cambria" w:hAnsi="Cambria" w:asciiTheme="majorHAnsi" w:hAnsiTheme="majorHAnsi"/>
              <w:kern w:val="0"/>
              <w:sz w:val="20"/>
              <w:szCs w:val="20"/>
              <w:lang w:val="sk-SK" w:eastAsia="sk-SK" w:bidi="ar-SA"/>
            </w:rPr>
            <w:t>0</w:t>
          </w:r>
        </w:p>
      </w:tc>
      <w:tc>
        <w:tcPr>
          <w:tcW w:w="326" w:type="dxa"/>
          <w:tcBorders/>
          <w:vAlign w:val="center"/>
        </w:tcPr>
        <w:p>
          <w:pPr>
            <w:pStyle w:val="Header"/>
            <w:widowControl/>
            <w:suppressAutoHyphens w:val="true"/>
            <w:spacing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eastAsia="" w:cs="" w:ascii="Cambria" w:hAnsi="Cambria" w:asciiTheme="majorHAnsi" w:hAnsiTheme="majorHAnsi"/>
              <w:kern w:val="0"/>
              <w:sz w:val="20"/>
              <w:szCs w:val="20"/>
              <w:lang w:val="sk-SK" w:eastAsia="sk-SK" w:bidi="ar-SA"/>
            </w:rPr>
            <w:t>2</w:t>
          </w:r>
        </w:p>
      </w:tc>
      <w:tc>
        <w:tcPr>
          <w:tcW w:w="326" w:type="dxa"/>
          <w:tcBorders/>
          <w:vAlign w:val="center"/>
        </w:tcPr>
        <w:p>
          <w:pPr>
            <w:pStyle w:val="Header"/>
            <w:widowControl/>
            <w:suppressAutoHyphens w:val="true"/>
            <w:spacing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eastAsia="" w:cs="" w:ascii="Cambria" w:hAnsi="Cambria" w:asciiTheme="majorHAnsi" w:hAnsiTheme="majorHAnsi"/>
              <w:kern w:val="0"/>
              <w:sz w:val="20"/>
              <w:szCs w:val="20"/>
              <w:lang w:val="sk-SK" w:eastAsia="sk-SK" w:bidi="ar-SA"/>
            </w:rPr>
            <w:t>2</w:t>
          </w:r>
        </w:p>
      </w:tc>
      <w:tc>
        <w:tcPr>
          <w:tcW w:w="329" w:type="dxa"/>
          <w:tcBorders/>
          <w:vAlign w:val="center"/>
        </w:tcPr>
        <w:p>
          <w:pPr>
            <w:pStyle w:val="Header"/>
            <w:widowControl/>
            <w:suppressAutoHyphens w:val="true"/>
            <w:spacing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eastAsia="" w:cs="" w:ascii="Cambria" w:hAnsi="Cambria" w:asciiTheme="majorHAnsi" w:hAnsiTheme="majorHAnsi"/>
              <w:kern w:val="0"/>
              <w:sz w:val="20"/>
              <w:szCs w:val="20"/>
              <w:lang w:val="sk-SK" w:eastAsia="sk-SK" w:bidi="ar-SA"/>
            </w:rPr>
            <w:t>1</w:t>
          </w:r>
        </w:p>
      </w:tc>
      <w:tc>
        <w:tcPr>
          <w:tcW w:w="327" w:type="dxa"/>
          <w:tcBorders/>
          <w:vAlign w:val="center"/>
        </w:tcPr>
        <w:p>
          <w:pPr>
            <w:pStyle w:val="Header"/>
            <w:widowControl/>
            <w:suppressAutoHyphens w:val="true"/>
            <w:spacing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eastAsia="" w:cs="" w:ascii="Cambria" w:hAnsi="Cambria" w:asciiTheme="majorHAnsi" w:hAnsiTheme="majorHAnsi"/>
              <w:kern w:val="0"/>
              <w:sz w:val="20"/>
              <w:szCs w:val="20"/>
              <w:lang w:val="sk-SK" w:eastAsia="sk-SK" w:bidi="ar-SA"/>
            </w:rPr>
            <w:t>4</w:t>
          </w:r>
        </w:p>
      </w:tc>
      <w:tc>
        <w:tcPr>
          <w:tcW w:w="326" w:type="dxa"/>
          <w:tcBorders/>
          <w:vAlign w:val="center"/>
        </w:tcPr>
        <w:p>
          <w:pPr>
            <w:pStyle w:val="Header"/>
            <w:widowControl/>
            <w:suppressAutoHyphens w:val="true"/>
            <w:spacing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eastAsia="" w:cs="" w:ascii="Cambria" w:hAnsi="Cambria" w:asciiTheme="majorHAnsi" w:hAnsiTheme="majorHAnsi"/>
              <w:kern w:val="0"/>
              <w:sz w:val="20"/>
              <w:szCs w:val="20"/>
              <w:lang w:val="sk-SK" w:eastAsia="sk-SK" w:bidi="ar-SA"/>
            </w:rPr>
            <w:t>4</w:t>
          </w:r>
        </w:p>
      </w:tc>
      <w:tc>
        <w:tcPr>
          <w:tcW w:w="326" w:type="dxa"/>
          <w:tcBorders/>
          <w:vAlign w:val="center"/>
        </w:tcPr>
        <w:p>
          <w:pPr>
            <w:pStyle w:val="Header"/>
            <w:widowControl/>
            <w:suppressAutoHyphens w:val="true"/>
            <w:spacing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eastAsia="" w:cs="" w:ascii="Cambria" w:hAnsi="Cambria" w:asciiTheme="majorHAnsi" w:hAnsiTheme="majorHAnsi"/>
              <w:kern w:val="0"/>
              <w:sz w:val="20"/>
              <w:szCs w:val="20"/>
              <w:lang w:val="sk-SK" w:eastAsia="sk-SK" w:bidi="ar-SA"/>
            </w:rPr>
            <w:t>0</w:t>
          </w:r>
        </w:p>
      </w:tc>
      <w:tc>
        <w:tcPr>
          <w:tcW w:w="329" w:type="dxa"/>
          <w:tcBorders/>
          <w:vAlign w:val="center"/>
        </w:tcPr>
        <w:p>
          <w:pPr>
            <w:pStyle w:val="Header"/>
            <w:widowControl/>
            <w:suppressAutoHyphens w:val="true"/>
            <w:spacing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eastAsia="" w:cs="" w:ascii="Cambria" w:hAnsi="Cambria" w:asciiTheme="majorHAnsi" w:hAnsiTheme="majorHAnsi"/>
              <w:kern w:val="0"/>
              <w:sz w:val="20"/>
              <w:szCs w:val="20"/>
              <w:lang w:val="sk-SK" w:eastAsia="sk-SK" w:bidi="ar-SA"/>
            </w:rPr>
            <w:t>9</w:t>
          </w:r>
        </w:p>
      </w:tc>
      <w:tc>
        <w:tcPr>
          <w:tcW w:w="327" w:type="dxa"/>
          <w:tcBorders/>
          <w:vAlign w:val="center"/>
        </w:tcPr>
        <w:p>
          <w:pPr>
            <w:pStyle w:val="Header"/>
            <w:widowControl/>
            <w:suppressAutoHyphens w:val="true"/>
            <w:spacing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eastAsia="" w:cs="" w:ascii="Cambria" w:hAnsi="Cambria" w:asciiTheme="majorHAnsi" w:hAnsiTheme="majorHAnsi"/>
              <w:kern w:val="0"/>
              <w:sz w:val="20"/>
              <w:szCs w:val="20"/>
              <w:lang w:val="sk-SK" w:eastAsia="sk-SK" w:bidi="ar-SA"/>
            </w:rPr>
            <w:t>1</w:t>
          </w:r>
        </w:p>
      </w:tc>
    </w:tr>
  </w:tbl>
  <w:p>
    <w:pPr>
      <w:pStyle w:val="Header"/>
      <w:rPr>
        <w:rFonts w:ascii="Cambria" w:hAnsi="Cambria" w:asciiTheme="majorHAnsi" w:hAnsiTheme="majorHAnsi"/>
      </w:rPr>
    </w:pPr>
    <w:r>
      <w:rPr>
        <w:rFonts w:asciiTheme="majorHAnsi" w:hAnsiTheme="majorHAnsi" w:ascii="Cambria" w:hAnsi="Cambria"/>
      </w:rPr>
    </w:r>
  </w:p>
  <w:p>
    <w:pPr>
      <w:pStyle w:val="Header"/>
      <w:rPr>
        <w:rFonts w:ascii="Cambria" w:hAnsi="Cambria" w:asciiTheme="majorHAnsi" w:hAnsiTheme="majorHAnsi"/>
      </w:rPr>
    </w:pPr>
    <w:r>
      <w:rPr>
        <w:rFonts w:asciiTheme="majorHAnsi" w:hAnsiTheme="majorHAnsi" w:ascii="Cambria" w:hAnsi="Cambria"/>
      </w:rPr>
    </w:r>
  </w:p>
</w:hdr>
</file>

<file path=word/header3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rPr>
        <w:rFonts w:ascii="Cambria" w:hAnsi="Cambria" w:asciiTheme="majorHAnsi" w:hAnsiTheme="majorHAnsi"/>
      </w:rPr>
    </w:pPr>
    <w:r>
      <w:rPr>
        <w:rFonts w:asciiTheme="majorHAnsi" w:hAnsiTheme="majorHAnsi" w:ascii="Cambria" w:hAnsi="Cambria"/>
      </w:rPr>
    </w:r>
  </w:p>
  <w:p>
    <w:pPr>
      <w:pStyle w:val="Header"/>
      <w:jc w:val="end"/>
      <w:rPr>
        <w:color w:themeColor="accent1" w:themeShade="bf" w:val="365F91"/>
        <w:sz w:val="36"/>
        <w:szCs w:val="36"/>
      </w:rPr>
    </w:pPr>
    <w:r>
      <mc:AlternateContent>
        <mc:Choice Requires="wpg">
          <w:drawing>
            <wp:anchor distT="5080" distB="30480" distL="0" distR="5080" simplePos="0" relativeHeight="7" behindDoc="1" locked="0" layoutInCell="0" allowOverlap="1" wp14:anchorId="0E9CFE11">
              <wp:simplePos x="0" y="0"/>
              <wp:positionH relativeFrom="page">
                <wp:align>left</wp:align>
              </wp:positionH>
              <wp:positionV relativeFrom="page">
                <wp:align>top</wp:align>
              </wp:positionV>
              <wp:extent cx="2908300" cy="911860"/>
              <wp:effectExtent l="0" t="5080" r="5080" b="30480"/>
              <wp:wrapNone/>
              <wp:docPr id="3" name="Group 63"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2908440" cy="911880"/>
                        <a:chOff x="0" y="0"/>
                        <a:chExt cx="2908440" cy="911880"/>
                      </a:xfrm>
                    </wpg:grpSpPr>
                    <wps:wsp>
                      <wps:cNvSpPr/>
                      <wps:spPr>
                        <a:xfrm flipV="1">
                          <a:off x="360720" y="0"/>
                          <a:ext cx="2547720" cy="853560"/>
                        </a:xfrm>
                        <a:prstGeom prst="line">
                          <a:avLst/>
                        </a:prstGeom>
                        <a:ln>
                          <a:solidFill>
                            <a:srgbClr val="95b3d7"/>
                          </a:solidFill>
                          <a:round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/>
                      </wps:style>
                      <wps:bodyPr/>
                    </wps:wsp>
                    <wps:wsp>
                      <wps:cNvPr id="4" name="Oval 62"/>
                      <wps:cNvSpPr/>
                      <wps:spPr>
                        <a:xfrm>
                          <a:off x="33120" y="79200"/>
                          <a:ext cx="720000" cy="803160"/>
                        </a:xfrm>
                        <a:prstGeom prst="ellipse">
                          <a:avLst/>
                        </a:prstGeom>
                        <a:gradFill rotWithShape="0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</a:gradFill>
                        <a:ln>
                          <a:noFill/>
                        </a:ln>
                        <a:scene3d>
                          <a:camera prst="perspectiveContrastingRightFacing"/>
                          <a:lightRig dir="t" rig="twoPt"/>
                        </a:scene3d>
                        <a:sp3d>
                          <a:bevelT prst="riblet" w="101600"/>
                        </a:sp3d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/>
                      </wps:style>
                      <wps:bodyPr/>
                    </wps:wsp>
                  </wpg:wgp>
                </a:graphicData>
              </a:graphic>
              <wp14:sizeRelH relativeFrom="margin">
                <wp14:pctWidth>50000</wp14:pctWidth>
              </wp14:sizeRelH>
              <wp14:sizeRelV relativeFrom="topMargin">
                <wp14:pctHeight>100000</wp14:pctHeight>
              </wp14:sizeRelV>
            </wp:anchor>
          </w:drawing>
        </mc:Choice>
        <mc:Fallback>
          <w:pict>
            <v:group id="shape_0" alt="Group 63" style="position:absolute;margin-left:2.6pt;margin-top:0.4pt;width:226.35pt;height:69.5pt" coordorigin="52,8" coordsize="4527,1390">
              <v:line id="shape_0" from="568,8" to="4579,1351" stroked="t" o:allowincell="f" style="position:absolute;flip:y;mso-position-horizontal:left;mso-position-horizontal-relative:page;mso-position-vertical:top;mso-position-vertical-relative:page">
                <v:stroke color="#95b3d7" weight="9360" joinstyle="round" endcap="flat"/>
                <v:fill o:detectmouseclick="t" on="false"/>
                <w10:wrap type="none"/>
              </v:line>
              <v:oval id="shape_0" fillcolor="#e8eef9" stroked="f" o:allowincell="f" style="position:absolute;left:52;top:132;width:1133;height:1264;mso-wrap-style:none;v-text-anchor:middle;rotation:355;mso-position-horizontal:left;mso-position-horizontal-relative:page;mso-position-vertical:top;mso-position-vertical-relative:page">
                <v:fill o:detectmouseclick="t" color2="#b6cef0"/>
                <v:stroke color="#3465a4" weight="25560" joinstyle="round" endcap="flat"/>
                <w10:wrap type="none"/>
              </v:oval>
            </v:group>
          </w:pict>
        </mc:Fallback>
      </mc:AlternateContent>
    </w:r>
    <w:sdt>
      <w:sdt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Content>
        <w:r>
          <w:rPr>
            <w:rFonts w:ascii="Cambria" w:hAnsi="Cambria" w:asciiTheme="majorHAnsi" w:hAnsiTheme="majorHAnsi"/>
            <w:sz w:val="36"/>
            <w:szCs w:val="36"/>
          </w:rPr>
        </w:r>
        <w:r>
          <w:rPr>
            <w:rFonts w:ascii="Cambria" w:hAnsi="Cambria" w:asciiTheme="majorHAnsi" w:hAnsiTheme="majorHAnsi"/>
            <w:sz w:val="36"/>
            <w:szCs w:val="36"/>
          </w:rPr>
          <w:t>Poznámky Úč PODV 3 - 01</w:t>
        </w:r>
      </w:sdtContent>
    </w:sdt>
  </w:p>
  <w:p>
    <w:pPr>
      <w:pStyle w:val="Header"/>
      <w:rPr>
        <w:rFonts w:ascii="Cambria" w:hAnsi="Cambria" w:asciiTheme="majorHAnsi" w:hAnsiTheme="majorHAnsi"/>
      </w:rPr>
    </w:pPr>
    <w:r>
      <w:rPr>
        <w:rFonts w:asciiTheme="majorHAnsi" w:hAnsiTheme="majorHAnsi" w:ascii="Cambria" w:hAnsi="Cambria"/>
      </w:rPr>
    </w:r>
  </w:p>
  <w:p>
    <w:pPr>
      <w:pStyle w:val="Header"/>
      <w:rPr>
        <w:rFonts w:ascii="Cambria" w:hAnsi="Cambria" w:asciiTheme="majorHAnsi" w:hAnsiTheme="majorHAnsi"/>
      </w:rPr>
    </w:pPr>
    <w:r>
      <w:rPr>
        <w:rFonts w:asciiTheme="majorHAnsi" w:hAnsiTheme="majorHAnsi" w:ascii="Cambria" w:hAnsi="Cambria"/>
      </w:rPr>
    </w:r>
  </w:p>
  <w:tbl>
    <w:tblPr>
      <w:tblStyle w:val="Mriekatabuky"/>
      <w:tblW w:w="7990" w:type="dxa"/>
      <w:jc w:val="end"/>
      <w:tblInd w:w="0" w:type="dxa"/>
      <w:tblLayout w:type="fixed"/>
      <w:tblCellMar>
        <w:top w:w="0" w:type="dxa"/>
        <w:start w:w="108" w:type="dxa"/>
        <w:bottom w:w="0" w:type="dxa"/>
        <w:end w:w="108" w:type="dxa"/>
      </w:tblCellMar>
      <w:tblLook w:firstRow="1" w:noVBand="1" w:lastRow="0" w:firstColumn="1" w:lastColumn="0" w:noHBand="0" w:val="04a0"/>
    </w:tblPr>
    <w:tblGrid>
      <w:gridCol w:w="624"/>
      <w:gridCol w:w="326"/>
      <w:gridCol w:w="326"/>
      <w:gridCol w:w="329"/>
      <w:gridCol w:w="330"/>
      <w:gridCol w:w="329"/>
      <w:gridCol w:w="327"/>
      <w:gridCol w:w="326"/>
      <w:gridCol w:w="326"/>
      <w:gridCol w:w="851"/>
      <w:gridCol w:w="624"/>
      <w:gridCol w:w="329"/>
      <w:gridCol w:w="327"/>
      <w:gridCol w:w="326"/>
      <w:gridCol w:w="326"/>
      <w:gridCol w:w="329"/>
      <w:gridCol w:w="327"/>
      <w:gridCol w:w="326"/>
      <w:gridCol w:w="326"/>
      <w:gridCol w:w="329"/>
      <w:gridCol w:w="327"/>
    </w:tblGrid>
    <w:tr>
      <w:trPr>
        <w:trHeight w:val="340" w:hRule="atLeast"/>
      </w:trPr>
      <w:tc>
        <w:tcPr>
          <w:tcW w:w="624" w:type="dxa"/>
          <w:tcBorders/>
          <w:vAlign w:val="center"/>
        </w:tcPr>
        <w:p>
          <w:pPr>
            <w:pStyle w:val="Header"/>
            <w:widowControl/>
            <w:suppressAutoHyphens w:val="true"/>
            <w:spacing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eastAsia="" w:cs="" w:ascii="Cambria" w:hAnsi="Cambria" w:asciiTheme="majorHAnsi" w:hAnsiTheme="majorHAnsi"/>
              <w:kern w:val="0"/>
              <w:sz w:val="20"/>
              <w:szCs w:val="20"/>
              <w:lang w:val="sk-SK" w:eastAsia="sk-SK" w:bidi="ar-SA"/>
            </w:rPr>
            <w:t>IČO:</w:t>
          </w:r>
        </w:p>
      </w:tc>
      <w:tc>
        <w:tcPr>
          <w:tcW w:w="326" w:type="dxa"/>
          <w:tcBorders/>
          <w:vAlign w:val="center"/>
        </w:tcPr>
        <w:p>
          <w:pPr>
            <w:pStyle w:val="Header"/>
            <w:widowControl/>
            <w:suppressAutoHyphens w:val="true"/>
            <w:spacing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eastAsia="" w:cs="" w:ascii="Cambria" w:hAnsi="Cambria" w:asciiTheme="majorHAnsi" w:hAnsiTheme="majorHAnsi"/>
              <w:kern w:val="0"/>
              <w:sz w:val="20"/>
              <w:szCs w:val="20"/>
              <w:lang w:val="sk-SK" w:eastAsia="sk-SK" w:bidi="ar-SA"/>
            </w:rPr>
            <w:t>3</w:t>
          </w:r>
        </w:p>
      </w:tc>
      <w:tc>
        <w:tcPr>
          <w:tcW w:w="326" w:type="dxa"/>
          <w:tcBorders/>
          <w:vAlign w:val="center"/>
        </w:tcPr>
        <w:p>
          <w:pPr>
            <w:pStyle w:val="Header"/>
            <w:widowControl/>
            <w:suppressAutoHyphens w:val="true"/>
            <w:spacing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eastAsia="" w:cs="" w:ascii="Cambria" w:hAnsi="Cambria" w:asciiTheme="majorHAnsi" w:hAnsiTheme="majorHAnsi"/>
              <w:kern w:val="0"/>
              <w:sz w:val="20"/>
              <w:szCs w:val="20"/>
              <w:lang w:val="sk-SK" w:eastAsia="sk-SK" w:bidi="ar-SA"/>
            </w:rPr>
            <w:t>6</w:t>
          </w:r>
        </w:p>
      </w:tc>
      <w:tc>
        <w:tcPr>
          <w:tcW w:w="329" w:type="dxa"/>
          <w:tcBorders/>
          <w:vAlign w:val="center"/>
        </w:tcPr>
        <w:p>
          <w:pPr>
            <w:pStyle w:val="Header"/>
            <w:widowControl/>
            <w:suppressAutoHyphens w:val="true"/>
            <w:spacing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eastAsia="" w:cs="" w:ascii="Cambria" w:hAnsi="Cambria" w:asciiTheme="majorHAnsi" w:hAnsiTheme="majorHAnsi"/>
              <w:kern w:val="0"/>
              <w:sz w:val="20"/>
              <w:szCs w:val="20"/>
              <w:lang w:val="sk-SK" w:eastAsia="sk-SK" w:bidi="ar-SA"/>
            </w:rPr>
            <w:t>2</w:t>
          </w:r>
        </w:p>
      </w:tc>
      <w:tc>
        <w:tcPr>
          <w:tcW w:w="330" w:type="dxa"/>
          <w:tcBorders/>
          <w:vAlign w:val="center"/>
        </w:tcPr>
        <w:p>
          <w:pPr>
            <w:pStyle w:val="Header"/>
            <w:widowControl/>
            <w:suppressAutoHyphens w:val="true"/>
            <w:spacing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eastAsia="" w:cs="" w:ascii="Cambria" w:hAnsi="Cambria" w:asciiTheme="majorHAnsi" w:hAnsiTheme="majorHAnsi"/>
              <w:kern w:val="0"/>
              <w:sz w:val="20"/>
              <w:szCs w:val="20"/>
              <w:lang w:val="sk-SK" w:eastAsia="sk-SK" w:bidi="ar-SA"/>
            </w:rPr>
            <w:t>8</w:t>
          </w:r>
        </w:p>
      </w:tc>
      <w:tc>
        <w:tcPr>
          <w:tcW w:w="329" w:type="dxa"/>
          <w:tcBorders/>
          <w:vAlign w:val="center"/>
        </w:tcPr>
        <w:p>
          <w:pPr>
            <w:pStyle w:val="Header"/>
            <w:widowControl/>
            <w:suppressAutoHyphens w:val="true"/>
            <w:spacing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eastAsia="" w:cs="" w:ascii="Cambria" w:hAnsi="Cambria" w:asciiTheme="majorHAnsi" w:hAnsiTheme="majorHAnsi"/>
              <w:kern w:val="0"/>
              <w:sz w:val="20"/>
              <w:szCs w:val="20"/>
              <w:lang w:val="sk-SK" w:eastAsia="sk-SK" w:bidi="ar-SA"/>
            </w:rPr>
            <w:t>3</w:t>
          </w:r>
        </w:p>
      </w:tc>
      <w:tc>
        <w:tcPr>
          <w:tcW w:w="327" w:type="dxa"/>
          <w:tcBorders/>
          <w:vAlign w:val="center"/>
        </w:tcPr>
        <w:p>
          <w:pPr>
            <w:pStyle w:val="Header"/>
            <w:widowControl/>
            <w:suppressAutoHyphens w:val="true"/>
            <w:spacing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eastAsia="" w:cs="" w:ascii="Cambria" w:hAnsi="Cambria" w:asciiTheme="majorHAnsi" w:hAnsiTheme="majorHAnsi"/>
              <w:kern w:val="0"/>
              <w:sz w:val="20"/>
              <w:szCs w:val="20"/>
              <w:lang w:val="sk-SK" w:eastAsia="sk-SK" w:bidi="ar-SA"/>
            </w:rPr>
            <w:t>3</w:t>
          </w:r>
        </w:p>
      </w:tc>
      <w:tc>
        <w:tcPr>
          <w:tcW w:w="326" w:type="dxa"/>
          <w:tcBorders/>
          <w:vAlign w:val="center"/>
        </w:tcPr>
        <w:p>
          <w:pPr>
            <w:pStyle w:val="Header"/>
            <w:widowControl/>
            <w:suppressAutoHyphens w:val="true"/>
            <w:spacing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eastAsia="" w:cs="" w:ascii="Cambria" w:hAnsi="Cambria" w:asciiTheme="majorHAnsi" w:hAnsiTheme="majorHAnsi"/>
              <w:kern w:val="0"/>
              <w:sz w:val="20"/>
              <w:szCs w:val="20"/>
              <w:lang w:val="sk-SK" w:eastAsia="sk-SK" w:bidi="ar-SA"/>
            </w:rPr>
            <w:t>7</w:t>
          </w:r>
        </w:p>
      </w:tc>
      <w:tc>
        <w:tcPr>
          <w:tcW w:w="326" w:type="dxa"/>
          <w:tcBorders/>
          <w:vAlign w:val="center"/>
        </w:tcPr>
        <w:p>
          <w:pPr>
            <w:pStyle w:val="Header"/>
            <w:widowControl/>
            <w:suppressAutoHyphens w:val="true"/>
            <w:spacing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eastAsia="" w:cs="" w:ascii="Cambria" w:hAnsi="Cambria" w:asciiTheme="majorHAnsi" w:hAnsiTheme="majorHAnsi"/>
              <w:kern w:val="0"/>
              <w:sz w:val="20"/>
              <w:szCs w:val="20"/>
              <w:lang w:val="sk-SK" w:eastAsia="sk-SK" w:bidi="ar-SA"/>
            </w:rPr>
            <w:t>1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>
          <w:pPr>
            <w:pStyle w:val="Header"/>
            <w:widowControl/>
            <w:suppressAutoHyphens w:val="true"/>
            <w:spacing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asciiTheme="majorHAnsi" w:hAnsiTheme="majorHAnsi" w:ascii="Cambria" w:hAnsi="Cambria"/>
              <w:sz w:val="20"/>
              <w:szCs w:val="20"/>
            </w:rPr>
          </w:r>
        </w:p>
      </w:tc>
      <w:tc>
        <w:tcPr>
          <w:tcW w:w="624" w:type="dxa"/>
          <w:tcBorders/>
          <w:vAlign w:val="center"/>
        </w:tcPr>
        <w:p>
          <w:pPr>
            <w:pStyle w:val="Header"/>
            <w:widowControl/>
            <w:suppressAutoHyphens w:val="true"/>
            <w:spacing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eastAsia="" w:cs="" w:ascii="Cambria" w:hAnsi="Cambria" w:asciiTheme="majorHAnsi" w:hAnsiTheme="majorHAnsi"/>
              <w:kern w:val="0"/>
              <w:sz w:val="20"/>
              <w:szCs w:val="20"/>
              <w:lang w:val="sk-SK" w:eastAsia="sk-SK" w:bidi="ar-SA"/>
            </w:rPr>
            <w:t>DIČ:</w:t>
          </w:r>
        </w:p>
      </w:tc>
      <w:tc>
        <w:tcPr>
          <w:tcW w:w="329" w:type="dxa"/>
          <w:tcBorders/>
          <w:vAlign w:val="center"/>
        </w:tcPr>
        <w:p>
          <w:pPr>
            <w:pStyle w:val="Header"/>
            <w:widowControl/>
            <w:suppressAutoHyphens w:val="true"/>
            <w:spacing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eastAsia="" w:cs="" w:ascii="Cambria" w:hAnsi="Cambria" w:asciiTheme="majorHAnsi" w:hAnsiTheme="majorHAnsi"/>
              <w:kern w:val="0"/>
              <w:sz w:val="20"/>
              <w:szCs w:val="20"/>
              <w:lang w:val="sk-SK" w:eastAsia="sk-SK" w:bidi="ar-SA"/>
            </w:rPr>
            <w:t>2</w:t>
          </w:r>
        </w:p>
      </w:tc>
      <w:tc>
        <w:tcPr>
          <w:tcW w:w="327" w:type="dxa"/>
          <w:tcBorders/>
          <w:vAlign w:val="center"/>
        </w:tcPr>
        <w:p>
          <w:pPr>
            <w:pStyle w:val="Header"/>
            <w:widowControl/>
            <w:suppressAutoHyphens w:val="true"/>
            <w:spacing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eastAsia="" w:cs="" w:ascii="Cambria" w:hAnsi="Cambria" w:asciiTheme="majorHAnsi" w:hAnsiTheme="majorHAnsi"/>
              <w:kern w:val="0"/>
              <w:sz w:val="20"/>
              <w:szCs w:val="20"/>
              <w:lang w:val="sk-SK" w:eastAsia="sk-SK" w:bidi="ar-SA"/>
            </w:rPr>
            <w:t>0</w:t>
          </w:r>
        </w:p>
      </w:tc>
      <w:tc>
        <w:tcPr>
          <w:tcW w:w="326" w:type="dxa"/>
          <w:tcBorders/>
          <w:vAlign w:val="center"/>
        </w:tcPr>
        <w:p>
          <w:pPr>
            <w:pStyle w:val="Header"/>
            <w:widowControl/>
            <w:suppressAutoHyphens w:val="true"/>
            <w:spacing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eastAsia="" w:cs="" w:ascii="Cambria" w:hAnsi="Cambria" w:asciiTheme="majorHAnsi" w:hAnsiTheme="majorHAnsi"/>
              <w:kern w:val="0"/>
              <w:sz w:val="20"/>
              <w:szCs w:val="20"/>
              <w:lang w:val="sk-SK" w:eastAsia="sk-SK" w:bidi="ar-SA"/>
            </w:rPr>
            <w:t>2</w:t>
          </w:r>
        </w:p>
      </w:tc>
      <w:tc>
        <w:tcPr>
          <w:tcW w:w="326" w:type="dxa"/>
          <w:tcBorders/>
          <w:vAlign w:val="center"/>
        </w:tcPr>
        <w:p>
          <w:pPr>
            <w:pStyle w:val="Header"/>
            <w:widowControl/>
            <w:suppressAutoHyphens w:val="true"/>
            <w:spacing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eastAsia="" w:cs="" w:ascii="Cambria" w:hAnsi="Cambria" w:asciiTheme="majorHAnsi" w:hAnsiTheme="majorHAnsi"/>
              <w:kern w:val="0"/>
              <w:sz w:val="20"/>
              <w:szCs w:val="20"/>
              <w:lang w:val="sk-SK" w:eastAsia="sk-SK" w:bidi="ar-SA"/>
            </w:rPr>
            <w:t>2</w:t>
          </w:r>
        </w:p>
      </w:tc>
      <w:tc>
        <w:tcPr>
          <w:tcW w:w="329" w:type="dxa"/>
          <w:tcBorders/>
          <w:vAlign w:val="center"/>
        </w:tcPr>
        <w:p>
          <w:pPr>
            <w:pStyle w:val="Header"/>
            <w:widowControl/>
            <w:suppressAutoHyphens w:val="true"/>
            <w:spacing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eastAsia="" w:cs="" w:ascii="Cambria" w:hAnsi="Cambria" w:asciiTheme="majorHAnsi" w:hAnsiTheme="majorHAnsi"/>
              <w:kern w:val="0"/>
              <w:sz w:val="20"/>
              <w:szCs w:val="20"/>
              <w:lang w:val="sk-SK" w:eastAsia="sk-SK" w:bidi="ar-SA"/>
            </w:rPr>
            <w:t>1</w:t>
          </w:r>
        </w:p>
      </w:tc>
      <w:tc>
        <w:tcPr>
          <w:tcW w:w="327" w:type="dxa"/>
          <w:tcBorders/>
          <w:vAlign w:val="center"/>
        </w:tcPr>
        <w:p>
          <w:pPr>
            <w:pStyle w:val="Header"/>
            <w:widowControl/>
            <w:suppressAutoHyphens w:val="true"/>
            <w:spacing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eastAsia="" w:cs="" w:ascii="Cambria" w:hAnsi="Cambria" w:asciiTheme="majorHAnsi" w:hAnsiTheme="majorHAnsi"/>
              <w:kern w:val="0"/>
              <w:sz w:val="20"/>
              <w:szCs w:val="20"/>
              <w:lang w:val="sk-SK" w:eastAsia="sk-SK" w:bidi="ar-SA"/>
            </w:rPr>
            <w:t>4</w:t>
          </w:r>
        </w:p>
      </w:tc>
      <w:tc>
        <w:tcPr>
          <w:tcW w:w="326" w:type="dxa"/>
          <w:tcBorders/>
          <w:vAlign w:val="center"/>
        </w:tcPr>
        <w:p>
          <w:pPr>
            <w:pStyle w:val="Header"/>
            <w:widowControl/>
            <w:suppressAutoHyphens w:val="true"/>
            <w:spacing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eastAsia="" w:cs="" w:ascii="Cambria" w:hAnsi="Cambria" w:asciiTheme="majorHAnsi" w:hAnsiTheme="majorHAnsi"/>
              <w:kern w:val="0"/>
              <w:sz w:val="20"/>
              <w:szCs w:val="20"/>
              <w:lang w:val="sk-SK" w:eastAsia="sk-SK" w:bidi="ar-SA"/>
            </w:rPr>
            <w:t>4</w:t>
          </w:r>
        </w:p>
      </w:tc>
      <w:tc>
        <w:tcPr>
          <w:tcW w:w="326" w:type="dxa"/>
          <w:tcBorders/>
          <w:vAlign w:val="center"/>
        </w:tcPr>
        <w:p>
          <w:pPr>
            <w:pStyle w:val="Header"/>
            <w:widowControl/>
            <w:suppressAutoHyphens w:val="true"/>
            <w:spacing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eastAsia="" w:cs="" w:ascii="Cambria" w:hAnsi="Cambria" w:asciiTheme="majorHAnsi" w:hAnsiTheme="majorHAnsi"/>
              <w:kern w:val="0"/>
              <w:sz w:val="20"/>
              <w:szCs w:val="20"/>
              <w:lang w:val="sk-SK" w:eastAsia="sk-SK" w:bidi="ar-SA"/>
            </w:rPr>
            <w:t>0</w:t>
          </w:r>
        </w:p>
      </w:tc>
      <w:tc>
        <w:tcPr>
          <w:tcW w:w="329" w:type="dxa"/>
          <w:tcBorders/>
          <w:vAlign w:val="center"/>
        </w:tcPr>
        <w:p>
          <w:pPr>
            <w:pStyle w:val="Header"/>
            <w:widowControl/>
            <w:suppressAutoHyphens w:val="true"/>
            <w:spacing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eastAsia="" w:cs="" w:ascii="Cambria" w:hAnsi="Cambria" w:asciiTheme="majorHAnsi" w:hAnsiTheme="majorHAnsi"/>
              <w:kern w:val="0"/>
              <w:sz w:val="20"/>
              <w:szCs w:val="20"/>
              <w:lang w:val="sk-SK" w:eastAsia="sk-SK" w:bidi="ar-SA"/>
            </w:rPr>
            <w:t>9</w:t>
          </w:r>
        </w:p>
      </w:tc>
      <w:tc>
        <w:tcPr>
          <w:tcW w:w="327" w:type="dxa"/>
          <w:tcBorders/>
          <w:vAlign w:val="center"/>
        </w:tcPr>
        <w:p>
          <w:pPr>
            <w:pStyle w:val="Header"/>
            <w:widowControl/>
            <w:suppressAutoHyphens w:val="true"/>
            <w:spacing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eastAsia="" w:cs="" w:ascii="Cambria" w:hAnsi="Cambria" w:asciiTheme="majorHAnsi" w:hAnsiTheme="majorHAnsi"/>
              <w:kern w:val="0"/>
              <w:sz w:val="20"/>
              <w:szCs w:val="20"/>
              <w:lang w:val="sk-SK" w:eastAsia="sk-SK" w:bidi="ar-SA"/>
            </w:rPr>
            <w:t>1</w:t>
          </w:r>
        </w:p>
      </w:tc>
    </w:tr>
  </w:tbl>
  <w:p>
    <w:pPr>
      <w:pStyle w:val="Header"/>
      <w:rPr>
        <w:rFonts w:ascii="Cambria" w:hAnsi="Cambria" w:asciiTheme="majorHAnsi" w:hAnsiTheme="majorHAnsi"/>
      </w:rPr>
    </w:pPr>
    <w:r>
      <w:rPr>
        <w:rFonts w:asciiTheme="majorHAnsi" w:hAnsiTheme="majorHAnsi" w:ascii="Cambria" w:hAnsi="Cambria"/>
      </w:rPr>
    </w:r>
  </w:p>
  <w:p>
    <w:pPr>
      <w:pStyle w:val="Header"/>
      <w:rPr>
        <w:rFonts w:ascii="Cambria" w:hAnsi="Cambria" w:asciiTheme="majorHAnsi" w:hAnsiTheme="majorHAnsi"/>
      </w:rPr>
    </w:pPr>
    <w:r>
      <w:rPr>
        <w:rFonts w:asciiTheme="majorHAnsi" w:hAnsiTheme="majorHAnsi" w:ascii="Cambria" w:hAnsi="Cambria"/>
      </w:rPr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bullet"/>
      <w:lvlText w:val=""/>
      <w:lvlJc w:val="start"/>
      <w:pPr>
        <w:tabs>
          <w:tab w:val="num" w:pos="0"/>
        </w:tabs>
        <w:ind w:star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start"/>
      <w:pPr>
        <w:tabs>
          <w:tab w:val="num" w:pos="0"/>
        </w:tabs>
        <w:ind w:star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start"/>
      <w:pPr>
        <w:tabs>
          <w:tab w:val="num" w:pos="0"/>
        </w:tabs>
        <w:ind w:star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start"/>
      <w:pPr>
        <w:tabs>
          <w:tab w:val="num" w:pos="0"/>
        </w:tabs>
        <w:ind w:star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start"/>
      <w:pPr>
        <w:tabs>
          <w:tab w:val="num" w:pos="0"/>
        </w:tabs>
        <w:ind w:star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start"/>
      <w:pPr>
        <w:tabs>
          <w:tab w:val="num" w:pos="0"/>
        </w:tabs>
        <w:ind w:star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start"/>
      <w:pPr>
        <w:tabs>
          <w:tab w:val="num" w:pos="0"/>
        </w:tabs>
        <w:ind w:star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start"/>
      <w:pPr>
        <w:tabs>
          <w:tab w:val="num" w:pos="0"/>
        </w:tabs>
        <w:ind w:star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start"/>
      <w:pPr>
        <w:tabs>
          <w:tab w:val="num" w:pos="0"/>
        </w:tabs>
        <w:ind w:start="6480" w:hanging="360"/>
      </w:pPr>
      <w:rPr>
        <w:rFonts w:ascii="Wingdings" w:hAnsi="Wingdings" w:cs="Wingdings" w:hint="default"/>
      </w:rPr>
    </w:lvl>
  </w:abstractNum>
  <w:abstractNum w:abstractNumId="2">
    <w:lvl w:ilvl="0">
      <w:start w:val="15"/>
      <w:numFmt w:val="bullet"/>
      <w:lvlText w:val="-"/>
      <w:lvlJc w:val="start"/>
      <w:pPr>
        <w:tabs>
          <w:tab w:val="num" w:pos="0"/>
        </w:tabs>
        <w:ind w:start="720" w:hanging="360"/>
      </w:pPr>
      <w:rPr>
        <w:rFonts w:ascii="Cambria" w:hAnsi="Cambria" w:cs="Cambria" w:hint="default"/>
      </w:rPr>
    </w:lvl>
    <w:lvl w:ilvl="1">
      <w:start w:val="1"/>
      <w:numFmt w:val="bullet"/>
      <w:lvlText w:val="o"/>
      <w:lvlJc w:val="start"/>
      <w:pPr>
        <w:tabs>
          <w:tab w:val="num" w:pos="0"/>
        </w:tabs>
        <w:ind w:star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start"/>
      <w:pPr>
        <w:tabs>
          <w:tab w:val="num" w:pos="0"/>
        </w:tabs>
        <w:ind w:star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start"/>
      <w:pPr>
        <w:tabs>
          <w:tab w:val="num" w:pos="0"/>
        </w:tabs>
        <w:ind w:star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start"/>
      <w:pPr>
        <w:tabs>
          <w:tab w:val="num" w:pos="0"/>
        </w:tabs>
        <w:ind w:star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start"/>
      <w:pPr>
        <w:tabs>
          <w:tab w:val="num" w:pos="0"/>
        </w:tabs>
        <w:ind w:star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start"/>
      <w:pPr>
        <w:tabs>
          <w:tab w:val="num" w:pos="0"/>
        </w:tabs>
        <w:ind w:star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start"/>
      <w:pPr>
        <w:tabs>
          <w:tab w:val="num" w:pos="0"/>
        </w:tabs>
        <w:ind w:star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start"/>
      <w:pPr>
        <w:tabs>
          <w:tab w:val="num" w:pos="0"/>
        </w:tabs>
        <w:ind w:start="6480" w:hanging="360"/>
      </w:pPr>
      <w:rPr>
        <w:rFonts w:ascii="Wingdings" w:hAnsi="Wingdings" w:cs="Wingdings" w:hint="default"/>
      </w:rPr>
    </w:lvl>
  </w:abstractNum>
  <w:abstractNum w:abstractNumId="3">
    <w:lvl w:ilvl="0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1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2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3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4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5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6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7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8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</w:abstractNum>
  <w:num w:numId="1">
    <w:abstractNumId w:val="1"/>
  </w:num>
  <w:num w:numId="2">
    <w:abstractNumId w:val="2"/>
  </w:num>
  <w:num w:numId="3">
    <w:abstractNumId w:val="3"/>
  </w:num>
</w:numbering>
</file>

<file path=word/settings.xml><?xml version="1.0" encoding="utf-8"?>
<w:settings xmlns:w="http://schemas.openxmlformats.org/wordprocessingml/2006/main">
  <w:zoom w:percent="100"/>
  <w:defaultTabStop w:val="708"/>
  <w:autoHyphenation w:val="true"/>
  <w:hyphenationZone w:val="0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" w:cs="" w:asciiTheme="minorHAnsi" w:cstheme="minorBidi" w:eastAsiaTheme="minorEastAsia" w:hAnsiTheme="minorHAnsi"/>
        <w:sz w:val="22"/>
        <w:szCs w:val="22"/>
        <w:lang w:val="sk-SK" w:eastAsia="sk-SK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pPr>
      <w:widowControl/>
      <w:suppressAutoHyphens w:val="true"/>
      <w:bidi w:val="0"/>
      <w:spacing w:lineRule="auto" w:line="276" w:before="0" w:after="200"/>
      <w:jc w:val="start"/>
    </w:pPr>
    <w:rPr>
      <w:rFonts w:ascii="Calibri" w:hAnsi="Calibri" w:eastAsia="" w:cs="" w:asciiTheme="minorHAnsi" w:cstheme="minorBidi" w:eastAsiaTheme="minorEastAsia" w:hAnsiTheme="minorHAnsi"/>
      <w:color w:val="auto"/>
      <w:kern w:val="0"/>
      <w:sz w:val="22"/>
      <w:szCs w:val="22"/>
      <w:lang w:val="sk-SK" w:eastAsia="sk-SK" w:bidi="ar-SA"/>
    </w:rPr>
  </w:style>
  <w:style w:type="paragraph" w:styleId="Heading1">
    <w:name w:val="heading 1"/>
    <w:basedOn w:val="Normal"/>
    <w:next w:val="Normal"/>
    <w:link w:val="Nadpis1Char"/>
    <w:uiPriority w:val="9"/>
    <w:qFormat/>
    <w:rsid w:val="00cc0c09"/>
    <w:pPr>
      <w:keepNext w:val="true"/>
      <w:keepLines/>
      <w:spacing w:before="480" w:after="0"/>
      <w:outlineLvl w:val="0"/>
    </w:pPr>
    <w:rPr>
      <w:rFonts w:ascii="Cambria" w:hAnsi="Cambria" w:eastAsia="" w:cs="" w:asciiTheme="majorHAnsi" w:cstheme="majorBidi" w:eastAsiaTheme="majorEastAsia" w:hAnsiTheme="majorHAnsi"/>
      <w:b/>
      <w:bCs/>
      <w:color w:themeColor="accent1" w:themeShade="bf" w:val="365F91"/>
      <w:sz w:val="28"/>
      <w:szCs w:val="28"/>
    </w:rPr>
  </w:style>
  <w:style w:type="paragraph" w:styleId="Heading2">
    <w:name w:val="heading 2"/>
    <w:basedOn w:val="Normal"/>
    <w:next w:val="Normal"/>
    <w:link w:val="Nadpis2Char"/>
    <w:uiPriority w:val="9"/>
    <w:unhideWhenUsed/>
    <w:qFormat/>
    <w:rsid w:val="00567bed"/>
    <w:pPr>
      <w:keepNext w:val="true"/>
      <w:keepLines/>
      <w:spacing w:before="200" w:after="0"/>
      <w:outlineLvl w:val="1"/>
    </w:pPr>
    <w:rPr>
      <w:rFonts w:ascii="Cambria" w:hAnsi="Cambria" w:eastAsia="" w:cs="" w:asciiTheme="majorHAnsi" w:cstheme="majorBidi" w:eastAsiaTheme="majorEastAsia" w:hAnsiTheme="majorHAnsi"/>
      <w:b/>
      <w:bCs/>
      <w:color w:themeColor="accent1" w:val="4F81BD"/>
      <w:sz w:val="26"/>
      <w:szCs w:val="26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HlavikaChar" w:customStyle="1">
    <w:name w:val="Hlavička Char"/>
    <w:basedOn w:val="DefaultParagraphFont"/>
    <w:uiPriority w:val="99"/>
    <w:qFormat/>
    <w:rsid w:val="00f0301d"/>
    <w:rPr/>
  </w:style>
  <w:style w:type="character" w:styleId="PtaChar" w:customStyle="1">
    <w:name w:val="Päta Char"/>
    <w:basedOn w:val="DefaultParagraphFont"/>
    <w:uiPriority w:val="99"/>
    <w:qFormat/>
    <w:rsid w:val="00f0301d"/>
    <w:rPr/>
  </w:style>
  <w:style w:type="character" w:styleId="TextbublinyChar" w:customStyle="1">
    <w:name w:val="Text bubliny Char"/>
    <w:basedOn w:val="DefaultParagraphFont"/>
    <w:link w:val="BalloonText"/>
    <w:uiPriority w:val="99"/>
    <w:semiHidden/>
    <w:qFormat/>
    <w:rsid w:val="00f0301d"/>
    <w:rPr>
      <w:rFonts w:ascii="Tahoma" w:hAnsi="Tahoma" w:cs="Tahoma"/>
      <w:sz w:val="16"/>
      <w:szCs w:val="16"/>
    </w:rPr>
  </w:style>
  <w:style w:type="character" w:styleId="PlaceholderText">
    <w:name w:val="Placeholder Text"/>
    <w:basedOn w:val="DefaultParagraphFont"/>
    <w:uiPriority w:val="99"/>
    <w:semiHidden/>
    <w:qFormat/>
    <w:rsid w:val="006a748c"/>
    <w:rPr>
      <w:color w:val="808080"/>
    </w:rPr>
  </w:style>
  <w:style w:type="character" w:styleId="Nadpis1Char" w:customStyle="1">
    <w:name w:val="Nadpis 1 Char"/>
    <w:basedOn w:val="DefaultParagraphFont"/>
    <w:uiPriority w:val="9"/>
    <w:qFormat/>
    <w:rsid w:val="00cc0c09"/>
    <w:rPr>
      <w:rFonts w:ascii="Cambria" w:hAnsi="Cambria" w:eastAsia="" w:cs="" w:asciiTheme="majorHAnsi" w:cstheme="majorBidi" w:eastAsiaTheme="majorEastAsia" w:hAnsiTheme="majorHAnsi"/>
      <w:b/>
      <w:bCs/>
      <w:color w:themeColor="accent1" w:themeShade="bf" w:val="365F91"/>
      <w:sz w:val="28"/>
      <w:szCs w:val="28"/>
    </w:rPr>
  </w:style>
  <w:style w:type="character" w:styleId="z-HornokrajformulraChar" w:customStyle="1">
    <w:name w:val="z-Horný okraj formulára Char"/>
    <w:basedOn w:val="DefaultParagraphFont"/>
    <w:link w:val="HTMLTopofForm"/>
    <w:uiPriority w:val="99"/>
    <w:semiHidden/>
    <w:qFormat/>
    <w:rsid w:val="00361862"/>
    <w:rPr>
      <w:rFonts w:ascii="Arial" w:hAnsi="Arial" w:cs="Arial"/>
      <w:vanish/>
      <w:sz w:val="16"/>
      <w:szCs w:val="16"/>
    </w:rPr>
  </w:style>
  <w:style w:type="character" w:styleId="z-SpodnokrajformulraChar" w:customStyle="1">
    <w:name w:val="z-Spodný okraj formulára Char"/>
    <w:basedOn w:val="DefaultParagraphFont"/>
    <w:link w:val="HTMLBottomofForm"/>
    <w:uiPriority w:val="99"/>
    <w:semiHidden/>
    <w:qFormat/>
    <w:rsid w:val="00361862"/>
    <w:rPr>
      <w:rFonts w:ascii="Arial" w:hAnsi="Arial" w:cs="Arial"/>
      <w:vanish/>
      <w:sz w:val="16"/>
      <w:szCs w:val="16"/>
    </w:rPr>
  </w:style>
  <w:style w:type="character" w:styleId="CommentReference">
    <w:name w:val="annotation reference"/>
    <w:basedOn w:val="DefaultParagraphFont"/>
    <w:uiPriority w:val="99"/>
    <w:semiHidden/>
    <w:unhideWhenUsed/>
    <w:qFormat/>
    <w:rsid w:val="00c93dc7"/>
    <w:rPr>
      <w:sz w:val="16"/>
      <w:szCs w:val="16"/>
    </w:rPr>
  </w:style>
  <w:style w:type="character" w:styleId="TextkomentraChar" w:customStyle="1">
    <w:name w:val="Text komentára Char"/>
    <w:basedOn w:val="DefaultParagraphFont"/>
    <w:uiPriority w:val="99"/>
    <w:semiHidden/>
    <w:qFormat/>
    <w:rsid w:val="00c93dc7"/>
    <w:rPr>
      <w:sz w:val="20"/>
      <w:szCs w:val="20"/>
    </w:rPr>
  </w:style>
  <w:style w:type="character" w:styleId="PredmetkomentraChar" w:customStyle="1">
    <w:name w:val="Predmet komentára Char"/>
    <w:basedOn w:val="TextkomentraChar"/>
    <w:link w:val="annotationsubject"/>
    <w:uiPriority w:val="99"/>
    <w:semiHidden/>
    <w:qFormat/>
    <w:rsid w:val="00c93dc7"/>
    <w:rPr>
      <w:b/>
      <w:bCs/>
      <w:sz w:val="20"/>
      <w:szCs w:val="20"/>
    </w:rPr>
  </w:style>
  <w:style w:type="character" w:styleId="CitciaChar" w:customStyle="1">
    <w:name w:val="Citácia Char"/>
    <w:basedOn w:val="DefaultParagraphFont"/>
    <w:link w:val="Quote"/>
    <w:uiPriority w:val="29"/>
    <w:qFormat/>
    <w:rsid w:val="00567bed"/>
    <w:rPr>
      <w:i/>
      <w:iCs/>
      <w:color w:themeColor="text1" w:val="000000"/>
    </w:rPr>
  </w:style>
  <w:style w:type="character" w:styleId="Nadpis2Char" w:customStyle="1">
    <w:name w:val="Nadpis 2 Char"/>
    <w:basedOn w:val="DefaultParagraphFont"/>
    <w:uiPriority w:val="9"/>
    <w:qFormat/>
    <w:rsid w:val="00567bed"/>
    <w:rPr>
      <w:rFonts w:ascii="Cambria" w:hAnsi="Cambria" w:eastAsia="" w:cs="" w:asciiTheme="majorHAnsi" w:cstheme="majorBidi" w:eastAsiaTheme="majorEastAsia" w:hAnsiTheme="majorHAnsi"/>
      <w:b/>
      <w:bCs/>
      <w:color w:themeColor="accent1" w:val="4F81BD"/>
      <w:sz w:val="26"/>
      <w:szCs w:val="26"/>
    </w:rPr>
  </w:style>
  <w:style w:type="character" w:styleId="SubtleReference">
    <w:name w:val="Subtle Reference"/>
    <w:basedOn w:val="DefaultParagraphFont"/>
    <w:uiPriority w:val="31"/>
    <w:qFormat/>
    <w:rsid w:val="00b47d63"/>
    <w:rPr>
      <w:smallCaps/>
      <w:color w:themeColor="accent2" w:val="C0504D"/>
      <w:u w:val="single"/>
    </w:rPr>
  </w:style>
  <w:style w:type="paragraph" w:styleId="Nadpis">
    <w:name w:val="Nadpis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>
      <w:rFonts w:cs="Arial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Rejstk">
    <w:name w:val="Rejstřík"/>
    <w:basedOn w:val="Normal"/>
    <w:qFormat/>
    <w:pPr>
      <w:suppressLineNumbers/>
    </w:pPr>
    <w:rPr>
      <w:rFonts w:cs="Arial"/>
    </w:rPr>
  </w:style>
  <w:style w:type="paragraph" w:styleId="Nadpisuser">
    <w:name w:val="Nadpis (user)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Rejstkuser">
    <w:name w:val="Rejstřík (user)"/>
    <w:basedOn w:val="Normal"/>
    <w:qFormat/>
    <w:pPr>
      <w:suppressLineNumbers/>
    </w:pPr>
    <w:rPr>
      <w:rFonts w:cs="Arial"/>
    </w:rPr>
  </w:style>
  <w:style w:type="paragraph" w:styleId="Zhlavazpatuser">
    <w:name w:val="Záhlaví a zápatí (user)"/>
    <w:basedOn w:val="Normal"/>
    <w:qFormat/>
    <w:pPr/>
    <w:rPr/>
  </w:style>
  <w:style w:type="paragraph" w:styleId="Zhlavazpat">
    <w:name w:val="Záhlaví a zápatí"/>
    <w:basedOn w:val="Normal"/>
    <w:qFormat/>
    <w:pPr/>
    <w:rPr/>
  </w:style>
  <w:style w:type="paragraph" w:styleId="Header">
    <w:name w:val="header"/>
    <w:basedOn w:val="Normal"/>
    <w:link w:val="HlavikaChar"/>
    <w:uiPriority w:val="99"/>
    <w:unhideWhenUsed/>
    <w:rsid w:val="00f0301d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Footer">
    <w:name w:val="footer"/>
    <w:basedOn w:val="Normal"/>
    <w:link w:val="PtaChar"/>
    <w:uiPriority w:val="99"/>
    <w:unhideWhenUsed/>
    <w:rsid w:val="00f0301d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BalloonText">
    <w:name w:val="Balloon Text"/>
    <w:basedOn w:val="Normal"/>
    <w:link w:val="TextbublinyChar"/>
    <w:uiPriority w:val="99"/>
    <w:semiHidden/>
    <w:unhideWhenUsed/>
    <w:qFormat/>
    <w:rsid w:val="00f0301d"/>
    <w:pPr>
      <w:spacing w:lineRule="auto" w:line="240" w:before="0" w:after="0"/>
    </w:pPr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225300"/>
    <w:pPr>
      <w:spacing w:before="0" w:after="200"/>
      <w:ind w:start="720"/>
      <w:contextualSpacing/>
    </w:pPr>
    <w:rPr/>
  </w:style>
  <w:style w:type="paragraph" w:styleId="HTMLTopofForm">
    <w:name w:val="HTML Top of Form"/>
    <w:basedOn w:val="Normal"/>
    <w:next w:val="Normal"/>
    <w:link w:val="z-HornokrajformulraChar"/>
    <w:uiPriority w:val="99"/>
    <w:semiHidden/>
    <w:unhideWhenUsed/>
    <w:qFormat/>
    <w:rsid w:val="00361862"/>
    <w:pPr>
      <w:pBdr>
        <w:bottom w:val="single" w:sz="6" w:space="1" w:color="000000"/>
      </w:pBdr>
      <w:spacing w:before="0" w:after="0"/>
      <w:jc w:val="center"/>
    </w:pPr>
    <w:rPr>
      <w:rFonts w:ascii="Arial" w:hAnsi="Arial" w:cs="Arial"/>
      <w:vanish/>
      <w:sz w:val="16"/>
      <w:szCs w:val="16"/>
    </w:rPr>
  </w:style>
  <w:style w:type="paragraph" w:styleId="HTMLBottomofForm">
    <w:name w:val="HTML Bottom of Form"/>
    <w:basedOn w:val="Normal"/>
    <w:next w:val="Normal"/>
    <w:link w:val="z-SpodnokrajformulraChar"/>
    <w:uiPriority w:val="99"/>
    <w:semiHidden/>
    <w:unhideWhenUsed/>
    <w:qFormat/>
    <w:rsid w:val="00361862"/>
    <w:pPr>
      <w:pBdr>
        <w:top w:val="single" w:sz="6" w:space="1" w:color="000000"/>
      </w:pBdr>
      <w:spacing w:before="0" w:after="0"/>
      <w:jc w:val="center"/>
    </w:pPr>
    <w:rPr>
      <w:rFonts w:ascii="Arial" w:hAnsi="Arial" w:cs="Arial"/>
      <w:vanish/>
      <w:sz w:val="16"/>
      <w:szCs w:val="16"/>
    </w:rPr>
  </w:style>
  <w:style w:type="paragraph" w:styleId="NoSpacing">
    <w:name w:val="No Spacing"/>
    <w:uiPriority w:val="1"/>
    <w:qFormat/>
    <w:rsid w:val="00195675"/>
    <w:pPr>
      <w:widowControl/>
      <w:suppressAutoHyphens w:val="true"/>
      <w:bidi w:val="0"/>
      <w:spacing w:lineRule="auto" w:line="240" w:before="0" w:after="0"/>
      <w:jc w:val="start"/>
    </w:pPr>
    <w:rPr>
      <w:rFonts w:ascii="Calibri" w:hAnsi="Calibri" w:eastAsia="" w:cs="" w:asciiTheme="minorHAnsi" w:cstheme="minorBidi" w:eastAsiaTheme="minorEastAsia" w:hAnsiTheme="minorHAnsi"/>
      <w:color w:val="auto"/>
      <w:kern w:val="0"/>
      <w:sz w:val="22"/>
      <w:szCs w:val="22"/>
      <w:lang w:val="sk-SK" w:eastAsia="sk-SK" w:bidi="ar-SA"/>
    </w:rPr>
  </w:style>
  <w:style w:type="paragraph" w:styleId="CommentText">
    <w:name w:val="annotation text"/>
    <w:basedOn w:val="Normal"/>
    <w:link w:val="TextkomentraChar"/>
    <w:uiPriority w:val="99"/>
    <w:semiHidden/>
    <w:unhideWhenUsed/>
    <w:rsid w:val="00c93dc7"/>
    <w:pPr>
      <w:spacing w:lineRule="auto" w:line="240"/>
    </w:pPr>
    <w:rPr>
      <w:sz w:val="20"/>
      <w:szCs w:val="20"/>
    </w:rPr>
  </w:style>
  <w:style w:type="paragraph" w:styleId="annotationsubject">
    <w:name w:val="annotation subject"/>
    <w:basedOn w:val="CommentText"/>
    <w:next w:val="CommentText"/>
    <w:link w:val="PredmetkomentraChar"/>
    <w:uiPriority w:val="99"/>
    <w:semiHidden/>
    <w:unhideWhenUsed/>
    <w:qFormat/>
    <w:rsid w:val="00c93dc7"/>
    <w:pPr/>
    <w:rPr>
      <w:b/>
      <w:bCs/>
    </w:rPr>
  </w:style>
  <w:style w:type="paragraph" w:styleId="Quote">
    <w:name w:val="Quote"/>
    <w:basedOn w:val="Normal"/>
    <w:next w:val="Normal"/>
    <w:link w:val="CitciaChar"/>
    <w:uiPriority w:val="29"/>
    <w:qFormat/>
    <w:rsid w:val="00567bed"/>
    <w:pPr/>
    <w:rPr>
      <w:i/>
      <w:iCs/>
      <w:color w:themeColor="text1" w:val="000000"/>
    </w:rPr>
  </w:style>
  <w:style w:type="numbering" w:styleId="Bezseznamuuser" w:default="1">
    <w:name w:val="Bez seznamu (user)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Mriekatabuky">
    <w:name w:val="Table Grid"/>
    <w:basedOn w:val="Normlnatabuka"/>
    <w:uiPriority w:val="59"/>
    <w:rsid w:val="00c75179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header" Target="header2.xml"/><Relationship Id="rId4" Type="http://schemas.openxmlformats.org/officeDocument/2006/relationships/header" Target="header3.xml"/><Relationship Id="rId5" Type="http://schemas.openxmlformats.org/officeDocument/2006/relationships/footer" Target="footer1.xml"/><Relationship Id="rId6" Type="http://schemas.openxmlformats.org/officeDocument/2006/relationships/footer" Target="footer2.xml"/><Relationship Id="rId7" Type="http://schemas.openxmlformats.org/officeDocument/2006/relationships/footer" Target="footer3.xml"/><Relationship Id="rId8" Type="http://schemas.openxmlformats.org/officeDocument/2006/relationships/numbering" Target="numbering.xml"/><Relationship Id="rId9" Type="http://schemas.openxmlformats.org/officeDocument/2006/relationships/fontTable" Target="fontTable.xml"/><Relationship Id="rId10" Type="http://schemas.openxmlformats.org/officeDocument/2006/relationships/settings" Target="settings.xml"/><Relationship Id="rId11" Type="http://schemas.openxmlformats.org/officeDocument/2006/relationships/theme" Target="theme/theme1.xml"/><Relationship Id="rId12" Type="http://schemas.openxmlformats.org/officeDocument/2006/relationships/glossaryDocument" Target="glossary/document.xml"/>
</Relationships>
</file>

<file path=word/glossary/_rels/document.xml.rels><?xml version="1.0" encoding="UTF-8"?>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
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2326857E561C487F8E25A83BAB96C94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287E618-C887-4477-BFD9-1C6C7F7BCE76}"/>
      </w:docPartPr>
      <w:docPartBody>
        <w:p w:rsidR="00C731F6" w:rsidRDefault="00C731F6" w:rsidP="00C731F6">
          <w:pPr>
            <w:pStyle w:val="2326857E561C487F8E25A83BAB96C947"/>
          </w:pPr>
          <w:r w:rsidRPr="00382CB3">
            <w:rPr>
              <w:rStyle w:val="Zstupntext"/>
            </w:rPr>
            <w:t>Choose an item.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765710"/>
    <w:rsid w:val="000A651B"/>
    <w:rsid w:val="00111A55"/>
    <w:rsid w:val="0027630A"/>
    <w:rsid w:val="00297AA4"/>
    <w:rsid w:val="002D5101"/>
    <w:rsid w:val="0031073A"/>
    <w:rsid w:val="003A05BF"/>
    <w:rsid w:val="004D37E1"/>
    <w:rsid w:val="00505AE4"/>
    <w:rsid w:val="00533392"/>
    <w:rsid w:val="005D39AB"/>
    <w:rsid w:val="005F76D2"/>
    <w:rsid w:val="00734361"/>
    <w:rsid w:val="00765710"/>
    <w:rsid w:val="008043E8"/>
    <w:rsid w:val="008560A4"/>
    <w:rsid w:val="008B615A"/>
    <w:rsid w:val="009E54A1"/>
    <w:rsid w:val="00A108B6"/>
    <w:rsid w:val="00A319A9"/>
    <w:rsid w:val="00B7212A"/>
    <w:rsid w:val="00BE0B50"/>
    <w:rsid w:val="00C731F6"/>
    <w:rsid w:val="00C80211"/>
    <w:rsid w:val="00CE0B5C"/>
    <w:rsid w:val="00CF451A"/>
    <w:rsid w:val="00D43ED6"/>
    <w:rsid w:val="00D96ED7"/>
    <w:rsid w:val="00DA5BD5"/>
    <w:rsid w:val="00DF2254"/>
    <w:rsid w:val="00E06618"/>
    <w:rsid w:val="00E57869"/>
    <w:rsid w:val="00EF7FA9"/>
    <w:rsid w:val="00F053C3"/>
    <w:rsid w:val="00F11D6C"/>
    <w:rsid w:val="00F67766"/>
    <w:rsid w:val="00FC17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stupntext">
    <w:name w:val="Placeholder Text"/>
    <w:basedOn w:val="Predvolenpsmoodseku"/>
    <w:uiPriority w:val="99"/>
    <w:semiHidden/>
    <w:rsid w:val="008043E8"/>
    <w:rPr>
      <w:color w:val="808080"/>
    </w:rPr>
  </w:style>
  <w:style w:type="paragraph" w:customStyle="1" w:styleId="2326857E561C487F8E25A83BAB96C947">
    <w:name w:val="2326857E561C487F8E25A83BAB96C947"/>
    <w:rsid w:val="00C731F6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xmlns:r="http://schemas.openxmlformats.org/officeDocument/2006/relationships" name="Office Theme">
  <a:themeElements>
    <a:clrScheme name="Office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 pitchFamily="0" charset="1"/>
        <a:ea typeface=""/>
        <a:cs typeface=""/>
      </a:majorFont>
      <a:minorFont>
        <a:latin typeface="Calibri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tint val="50000"/>
              </a:schemeClr>
            </a:gs>
            <a:gs pos="35000">
              <a:schemeClr val="phClr">
                <a:tint val="37000"/>
              </a:schemeClr>
            </a:gs>
            <a:gs pos="100000">
              <a:schemeClr val="phClr">
                <a:tint val="15000"/>
              </a:schemeClr>
            </a:gs>
          </a:gsLst>
          <a:lin ang="16200000" scaled="1"/>
          <a:tileRect l="0" t="0" r="0" b="0"/>
        </a:gradFill>
        <a:gradFill>
          <a:gsLst>
            <a:gs pos="0">
              <a:schemeClr val="phClr">
                <a:shade val="51000"/>
              </a:schemeClr>
            </a:gs>
            <a:gs pos="80000">
              <a:schemeClr val="phClr">
                <a:shade val="93000"/>
              </a:schemeClr>
            </a:gs>
            <a:gs pos="100000">
              <a:schemeClr val="phClr">
                <a:shade val="94000"/>
              </a:schemeClr>
            </a:gs>
          </a:gsLst>
          <a:lin ang="16200000" scaled="0"/>
          <a:tileRect l="0" t="0" r="0" b="0"/>
        </a:gradFill>
      </a:fillStyleLst>
      <a:lnStyleLst>
        <a:ln w="9525" cap="flat" cmpd="sng" algn="ctr">
          <a:prstDash val="solid"/>
        </a:ln>
        <a:ln w="25400" cap="flat" cmpd="sng" algn="ctr">
          <a:prstDash val="solid"/>
        </a:ln>
        <a:ln w="38100" cap="flat" cmpd="sng" algn="ctr"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</a:schemeClr>
            </a:gs>
            <a:gs pos="40000">
              <a:schemeClr val="phClr">
                <a:tint val="45000"/>
                <a:shade val="99000"/>
              </a:schemeClr>
            </a:gs>
            <a:gs pos="100000">
              <a:schemeClr val="phClr">
                <a:shade val="20000"/>
              </a:schemeClr>
            </a:gs>
          </a:gsLst>
          <a:path path="circle">
            <a:fillToRect l="50000" t="-80000" r="50000" b="180000"/>
          </a:path>
          <a:tileRect l="0" t="0" r="0" b="0"/>
        </a:gradFill>
        <a:gradFill>
          <a:gsLst>
            <a:gs pos="0">
              <a:schemeClr val="phClr">
                <a:tint val="80000"/>
              </a:schemeClr>
            </a:gs>
            <a:gs pos="100000">
              <a:schemeClr val="phClr">
                <a:shade val="30000"/>
              </a:schemeClr>
            </a:gs>
          </a:gsLst>
          <a:path path="circle">
            <a:fillToRect l="50000" t="50000" r="50000" b="50000"/>
          </a:path>
          <a:tileRect l="0" t="0" r="0" b="0"/>
        </a:gra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Application>LibreOffice/25.8.5.2$Windows_X86_64 LibreOffice_project/9c8b85f387cc00a89945a79c9e6239f32e450ac2</Application>
  <AppVersion>15.0000</AppVersion>
  <Pages>6</Pages>
  <Words>1275</Words>
  <Characters>7490</Characters>
  <CharactersWithSpaces>8627</CharactersWithSpaces>
  <Paragraphs>229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2026-03-29T12:43:00Z</dcterms:created>
  <dc:creator>R</dc:creator>
  <dc:description/>
  <dc:language>cs-CZ</dc:language>
  <cp:lastModifiedBy/>
  <cp:lastPrinted>2022-03-16T12:23:00Z</cp:lastPrinted>
  <dcterms:modified xsi:type="dcterms:W3CDTF">2026-03-29T19:49:19Z</dcterms:modified>
  <cp:revision>4</cp:revision>
  <dc:subject/>
  <dc:title>Poznámky Úč PODV 3 - 01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