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hanging="426" w:star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informácie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I.1</w:t>
        <w:tab/>
        <w:t xml:space="preserve">Obchodné meno účtovnej jednotky:    Rehak interier s.r.o.  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i/>
        </w:rPr>
      </w:pPr>
      <w:r>
        <w:rPr>
          <w:rFonts w:cs="Arial" w:ascii="Cambria" w:hAnsi="Cambria"/>
          <w:b/>
        </w:rPr>
        <w:t xml:space="preserve"> 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</w:rPr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         Orechová 17, 927 01  Šaľa 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i/>
        </w:rPr>
      </w:pPr>
      <w:r>
        <w:rPr>
          <w:rFonts w:cs="Arial" w:ascii="Cambria" w:hAnsi="Cambria"/>
          <w:i/>
        </w:rPr>
        <w:t xml:space="preserve"> 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ab/>
        <w:t xml:space="preserve">Opis hospodárskej činnosti účtovnej jednotky: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mbria" w:hAnsi="Cambria" w:cs="Arial"/>
          <w:b/>
        </w:rPr>
      </w:pPr>
      <w:r>
        <w:rPr>
          <w:rFonts w:cs="Arial" w:ascii="Cambria" w:hAnsi="Cambria"/>
        </w:rPr>
        <w:t>Veľkoobchod s kancelárskym nábytkom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01.04.2025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Schvaľovací orgán (valné zhromaždenie, rozhodnutie jediného spoločníka, iné):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rozhodnutie jediného spoločníka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I.3</w:t>
        <w:tab/>
        <w:t xml:space="preserve">Právny dôvod na zostavenie účtovnej závierky: </w:t>
      </w:r>
      <w:sdt>
        <w:sdt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>
            <w:rPr>
              <w:rFonts w:cs="Arial" w:ascii="Cambria" w:hAnsi="Cambria"/>
              <w:b/>
            </w:rPr>
          </w:r>
          <w:r>
            <w:rPr>
              <w:rFonts w:cs="Arial" w:ascii="Cambria" w:hAnsi="Cambria"/>
              <w:b/>
              <w:color w:val="00B050"/>
            </w:rPr>
            <w:t>riadna</w:t>
          </w:r>
        </w:sdtContent>
      </w:sdt>
    </w:p>
    <w:p>
      <w:pPr>
        <w:pStyle w:val="ListParagraph"/>
        <w:spacing w:lineRule="auto" w:line="240" w:before="0" w:after="0"/>
        <w:ind w:hanging="426" w:start="426"/>
        <w:contextualSpacing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/>
        <w:ind w:hanging="426" w:star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>Dôvod na zostavenie mimoriadnej účtovnej závierky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Účtovná závierka Spoločnosti k 31.12.2024 je zostavená ako riadna účtovná závierka podľa § 17 ods. 6 zákona č. 431/2002 Z. z. o účtovníctve v platnom znení (ďalej „zákon o účtovníctve“) za účtovné obdobie od 1.1.2025 do 31.12.2025.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I.4</w:t>
        <w:tab/>
        <w:t>Informácie o skupine účtovných jednotiek, ak je účtovná jednotka jej súčasťou: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Normal"/>
        <w:spacing w:before="0"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I.5</w:t>
        <w:tab/>
        <w:t>Informácie o počte zamestnancov:</w:t>
      </w:r>
    </w:p>
    <w:p>
      <w:pPr>
        <w:pStyle w:val="ListParagraph"/>
        <w:spacing w:lineRule="auto" w:line="240" w:before="0" w:after="0"/>
        <w:ind w:hanging="426" w:start="426"/>
        <w:contextualSpacing/>
        <w:jc w:val="both"/>
        <w:rPr>
          <w:rFonts w:ascii="Cambria" w:hAnsi="Cambria" w:cs="Arial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" w:cs="Arial" w:ascii="Cambria" w:hAnsi="Cambria"/>
                <w:b/>
                <w:kern w:val="0"/>
                <w:sz w:val="20"/>
                <w:szCs w:val="20"/>
                <w:lang w:val="sk-SK" w:eastAsia="sk-SK" w:bidi="ar-SA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" w:cs="Arial" w:ascii="Cambria" w:hAnsi="Cambria"/>
                <w:b/>
                <w:kern w:val="0"/>
                <w:sz w:val="20"/>
                <w:szCs w:val="20"/>
                <w:lang w:val="sk-SK" w:eastAsia="sk-SK" w:bidi="ar-SA"/>
              </w:rPr>
              <w:t>Bežné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" w:cs="Arial" w:ascii="Cambria" w:hAnsi="Cambria"/>
                <w:b/>
                <w:kern w:val="0"/>
                <w:sz w:val="20"/>
                <w:szCs w:val="20"/>
                <w:lang w:val="sk-SK" w:eastAsia="sk-SK" w:bidi="ar-SA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" w:cs="Arial" w:ascii="Cambria" w:hAnsi="Cambria"/>
                <w:b/>
                <w:kern w:val="0"/>
                <w:sz w:val="20"/>
                <w:szCs w:val="20"/>
                <w:lang w:val="sk-SK" w:eastAsia="sk-SK" w:bidi="ar-SA"/>
              </w:rPr>
              <w:t>Bezprostredne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" w:cs="Arial" w:ascii="Cambria" w:hAnsi="Cambria"/>
                <w:b/>
                <w:kern w:val="0"/>
                <w:sz w:val="20"/>
                <w:szCs w:val="20"/>
                <w:lang w:val="sk-SK" w:eastAsia="sk-SK" w:bidi="ar-SA"/>
              </w:rPr>
              <w:t>predchádzajúce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eastAsia="" w:cs="Arial" w:ascii="Cambria" w:hAnsi="Cambria"/>
                <w:b/>
                <w:kern w:val="0"/>
                <w:sz w:val="20"/>
                <w:szCs w:val="20"/>
                <w:lang w:val="sk-SK" w:eastAsia="sk-SK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1" w:start="34"/>
              <w:jc w:val="star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" w:cs="Arial" w:ascii="Cambria" w:hAnsi="Cambria"/>
                <w:kern w:val="0"/>
                <w:sz w:val="20"/>
                <w:szCs w:val="20"/>
                <w:lang w:val="sk-SK" w:eastAsia="sk-SK" w:bidi="ar-SA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>14,33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>16,49</w:t>
            </w:r>
          </w:p>
        </w:tc>
      </w:tr>
      <w:tr>
        <w:trPr>
          <w:trHeight w:val="755" w:hRule="atLeast"/>
        </w:trPr>
        <w:tc>
          <w:tcPr>
            <w:tcW w:w="42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1" w:start="34"/>
              <w:jc w:val="star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" w:cs="Arial" w:ascii="Cambria" w:hAnsi="Cambria"/>
                <w:kern w:val="0"/>
                <w:sz w:val="20"/>
                <w:szCs w:val="20"/>
                <w:lang w:val="sk-SK" w:eastAsia="sk-SK" w:bidi="ar-SA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>16</w:t>
            </w:r>
          </w:p>
        </w:tc>
      </w:tr>
      <w:tr>
        <w:trPr>
          <w:trHeight w:val="837" w:hRule="atLeast"/>
        </w:trPr>
        <w:tc>
          <w:tcPr>
            <w:tcW w:w="425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1" w:start="34"/>
              <w:jc w:val="star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" w:cs="Arial" w:ascii="Cambria" w:hAnsi="Cambria"/>
                <w:kern w:val="0"/>
                <w:sz w:val="20"/>
                <w:szCs w:val="20"/>
                <w:lang w:val="sk-SK" w:eastAsia="sk-SK" w:bidi="ar-SA"/>
              </w:rPr>
              <w:t>Počet vedúcich zamestnancov (členovia štatutárneho orgánu ÚJ a vedúci zamestnanci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1" w:start="34"/>
              <w:jc w:val="star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eastAsia="" w:cs="Arial" w:ascii="Cambria" w:hAnsi="Cambria"/>
                <w:kern w:val="0"/>
                <w:sz w:val="20"/>
                <w:szCs w:val="20"/>
                <w:lang w:val="sk-SK" w:eastAsia="sk-SK" w:bidi="ar-SA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 xml:space="preserve"> </w:t>
            </w: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23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eastAsia="" w:cs="Arial" w:ascii="Cambria" w:hAnsi="Cambria"/>
                <w:b/>
                <w:kern w:val="0"/>
                <w:sz w:val="24"/>
                <w:szCs w:val="24"/>
                <w:lang w:val="sk-SK" w:eastAsia="sk-SK" w:bidi="ar-SA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II. a) – d)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0"/>
          <w:szCs w:val="20"/>
        </w:rPr>
        <w:t xml:space="preserve"> </w:t>
      </w:r>
    </w:p>
    <w:p>
      <w:pPr>
        <w:pStyle w:val="Normal"/>
        <w:ind w:hanging="426" w:star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- Informácie o prijatých postupoch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  <w:t>III.1</w:t>
        <w:tab/>
        <w:t xml:space="preserve"> </w:t>
      </w:r>
      <w:r>
        <w:rPr>
          <w:rFonts w:cs="Arial" w:ascii="Cambria" w:hAnsi="Cambria" w:asciiTheme="majorHAnsi" w:hAnsiTheme="majorHAnsi"/>
          <w:b/>
        </w:rPr>
        <w:t xml:space="preserve">Účtovná jednotka bude nepretržite pokračovať vo svojej činnosti: </w:t>
      </w:r>
      <w:sdt>
        <w:sdt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 w:asciiTheme="majorHAnsi" w:hAnsiTheme="majorHAnsi"/>
              <w:b/>
            </w:rPr>
          </w:r>
          <w:r>
            <w:rPr>
              <w:rFonts w:cs="Arial" w:ascii="Cambria" w:hAnsi="Cambria" w:asciiTheme="majorHAnsi" w:hAnsiTheme="majorHAnsi"/>
              <w:b/>
              <w:color w:val="00B050"/>
            </w:rPr>
            <w:t>áno</w:t>
          </w:r>
        </w:sdtContent>
      </w:sdt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/>
          <w:b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ind w:hanging="426" w:star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  <w:t>III.2</w:t>
        <w:tab/>
        <w:t xml:space="preserve"> </w:t>
      </w:r>
      <w:r>
        <w:rPr>
          <w:rFonts w:cs="Arial" w:ascii="Cambria" w:hAnsi="Cambria" w:asciiTheme="majorHAnsi" w:hAnsiTheme="majorHAnsi"/>
          <w:b/>
        </w:rPr>
        <w:t>Zmeny účtovných zásad a metód:</w:t>
      </w:r>
    </w:p>
    <w:p>
      <w:pPr>
        <w:pStyle w:val="Normal"/>
        <w:spacing w:lineRule="auto" w:line="240"/>
        <w:ind w:hanging="426" w:star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hanging="426" w:star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aplikované.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i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2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839"/>
        <w:gridCol w:w="2981"/>
        <w:gridCol w:w="3208"/>
      </w:tblGrid>
      <w:tr>
        <w:trPr>
          <w:trHeight w:val="956" w:hRule="atLeast"/>
        </w:trPr>
        <w:tc>
          <w:tcPr>
            <w:tcW w:w="283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star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Druh zmeny zásady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star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alebo metódy</w:t>
            </w:r>
          </w:p>
        </w:tc>
        <w:tc>
          <w:tcPr>
            <w:tcW w:w="298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star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Dôvod zmeny</w:t>
            </w:r>
          </w:p>
        </w:tc>
        <w:tc>
          <w:tcPr>
            <w:tcW w:w="320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4" w:start="34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24" w:hRule="atLeast"/>
        </w:trPr>
        <w:tc>
          <w:tcPr>
            <w:tcW w:w="2839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4"/>
                <w:szCs w:val="24"/>
                <w:lang w:val="sk-SK" w:eastAsia="sk-SK" w:bidi="ar-SA"/>
              </w:rPr>
              <w:t>žiadne</w:t>
            </w:r>
          </w:p>
        </w:tc>
        <w:tc>
          <w:tcPr>
            <w:tcW w:w="298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8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24" w:hRule="atLeast"/>
        </w:trPr>
        <w:tc>
          <w:tcPr>
            <w:tcW w:w="2839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8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6" w:start="426"/>
              <w:jc w:val="both"/>
              <w:rPr>
                <w:rFonts w:ascii="Cambria" w:hAnsi="Cambria" w:cs="Arial" w:asciiTheme="majorHAnsi" w:hAnsiTheme="majorHAnsi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hodnotách:     </w:t>
      </w:r>
    </w:p>
    <w:p>
      <w:pPr>
        <w:pStyle w:val="Normal"/>
        <w:spacing w:lineRule="auto" w:line="240" w:before="240" w:after="200"/>
        <w:ind w:hanging="426" w:start="426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III.3 </w:t>
        <w:tab/>
      </w:r>
      <w:r>
        <w:rPr>
          <w:rFonts w:eastAsia="MS Gothic" w:cs="Arial" w:ascii="Cambria" w:hAnsi="Cambria" w:asciiTheme="majorHAnsi" w:hAnsiTheme="majorHAnsi"/>
          <w:b/>
        </w:rPr>
        <w:t>Informácie o charaktere a účele transakcií, ktoré sa neuvádzajú v súvahe: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Účtovná jednotka neidentifikovala transakcie, ktorých charakter a účel nie je uvedený v súvahe.  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III.4 a)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  <w:r>
        <w:rPr>
          <w:rFonts w:eastAsia="MS Gothic" w:cs="Arial" w:ascii="Cambria" w:hAnsi="Cambria" w:asciiTheme="majorHAnsi" w:hAnsiTheme="majorHAnsi"/>
          <w:i/>
        </w:rPr>
        <w:t xml:space="preserve"> </w:t>
      </w:r>
    </w:p>
    <w:tbl>
      <w:tblPr>
        <w:tblStyle w:val="Mriekatabuky"/>
        <w:tblW w:w="678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720"/>
        <w:gridCol w:w="2065"/>
      </w:tblGrid>
      <w:tr>
        <w:trPr/>
        <w:tc>
          <w:tcPr>
            <w:tcW w:w="472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Spôsob ocenenia</w:t>
            </w:r>
          </w:p>
        </w:tc>
      </w:tr>
      <w:tr>
        <w:trPr/>
        <w:tc>
          <w:tcPr>
            <w:tcW w:w="4720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Vlastné náklady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Reálna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DHM obstaraný kúpou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DHM obstaraný vlastnou činnosťou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Vlastné náklady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Reálna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Zásoby obstarané kúpou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Vlastné náklady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Reálna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Zákazková výroba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Pohľadávky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Záväzky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hodnoty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Deriváty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Prenajatý majetok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Majetok obstaraný zmluvou o kúpe prenajatej veci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Obstarávacia cena</w:t>
            </w:r>
          </w:p>
        </w:tc>
      </w:tr>
      <w:tr>
        <w:trPr/>
        <w:tc>
          <w:tcPr>
            <w:tcW w:w="4720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i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III.4 b) Odhad zníženia hodnoty majetku a tvorba opravných položiek k majetku: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b/>
        </w:rPr>
        <w:t>III. 4 c) Ocenenie záväzkov a stanovenie odhadu ocenenia rezerv: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tbl>
      <w:tblPr>
        <w:tblStyle w:val="Mriekatabuky"/>
        <w:tblW w:w="893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430"/>
        <w:gridCol w:w="4504"/>
      </w:tblGrid>
      <w:tr>
        <w:trPr>
          <w:trHeight w:val="397" w:hRule="atLeast"/>
        </w:trPr>
        <w:tc>
          <w:tcPr>
            <w:tcW w:w="44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Odhad ocenenia rezerv</w:t>
            </w:r>
          </w:p>
        </w:tc>
      </w:tr>
      <w:tr>
        <w:trPr>
          <w:trHeight w:val="397" w:hRule="atLeast"/>
        </w:trPr>
        <w:tc>
          <w:tcPr>
            <w:tcW w:w="443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menovitá hodnota</w:t>
            </w:r>
          </w:p>
        </w:tc>
        <w:tc>
          <w:tcPr>
            <w:tcW w:w="450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III. 4 d) Ocenenie finančných nástrojov alebo majetku, ktorý nie je finančným nástrojom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pri oceňovaní reálnou hodnotou: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 xml:space="preserve">III. 4 e) Ocenenie finančných nástrojov pri oceňovaní obstarávacou cenou alebo vlastnými nákladmi: 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/>
          <w:b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III. 4 f)  Stanovenie metódy vlastného imania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i/>
          <w:sz w:val="20"/>
          <w:szCs w:val="20"/>
        </w:rPr>
      </w:pPr>
      <w:r>
        <w:rPr>
          <w:rFonts w:cs="Arial" w:ascii="Cambria" w:hAnsi="Cambria" w:asciiTheme="majorHAnsi" w:hAnsiTheme="majorHAnsi"/>
          <w:i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III. 4 g)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3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171"/>
        <w:gridCol w:w="2263"/>
        <w:gridCol w:w="2246"/>
        <w:gridCol w:w="2254"/>
      </w:tblGrid>
      <w:tr>
        <w:trPr>
          <w:trHeight w:val="397" w:hRule="atLeast"/>
        </w:trPr>
        <w:tc>
          <w:tcPr>
            <w:tcW w:w="21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Druh majetku</w:t>
            </w:r>
          </w:p>
        </w:tc>
        <w:tc>
          <w:tcPr>
            <w:tcW w:w="226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Doba odpisovania</w:t>
            </w:r>
          </w:p>
        </w:tc>
        <w:tc>
          <w:tcPr>
            <w:tcW w:w="224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Sadzba odpisov</w:t>
            </w:r>
          </w:p>
        </w:tc>
        <w:tc>
          <w:tcPr>
            <w:tcW w:w="225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sk-SK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Samost.hnut.veci</w:t>
            </w:r>
          </w:p>
        </w:tc>
        <w:tc>
          <w:tcPr>
            <w:tcW w:w="2263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6 rokov</w:t>
            </w:r>
          </w:p>
        </w:tc>
        <w:tc>
          <w:tcPr>
            <w:tcW w:w="224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1/6</w:t>
            </w:r>
          </w:p>
        </w:tc>
        <w:tc>
          <w:tcPr>
            <w:tcW w:w="225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lineárna</w:t>
            </w:r>
          </w:p>
        </w:tc>
      </w:tr>
      <w:tr>
        <w:trPr>
          <w:trHeight w:val="397" w:hRule="atLeast"/>
        </w:trPr>
        <w:tc>
          <w:tcPr>
            <w:tcW w:w="21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Samost.hnut.veci</w:t>
            </w:r>
          </w:p>
        </w:tc>
        <w:tc>
          <w:tcPr>
            <w:tcW w:w="2263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4 roky</w:t>
            </w:r>
          </w:p>
        </w:tc>
        <w:tc>
          <w:tcPr>
            <w:tcW w:w="224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1/4</w:t>
            </w:r>
          </w:p>
        </w:tc>
        <w:tc>
          <w:tcPr>
            <w:tcW w:w="225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lineárna</w:t>
            </w:r>
          </w:p>
        </w:tc>
      </w:tr>
      <w:tr>
        <w:trPr>
          <w:trHeight w:val="397" w:hRule="atLeast"/>
        </w:trPr>
        <w:tc>
          <w:tcPr>
            <w:tcW w:w="21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Stavby</w:t>
            </w:r>
          </w:p>
        </w:tc>
        <w:tc>
          <w:tcPr>
            <w:tcW w:w="2263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40 rokov</w:t>
            </w:r>
          </w:p>
        </w:tc>
        <w:tc>
          <w:tcPr>
            <w:tcW w:w="224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1/40</w:t>
            </w:r>
          </w:p>
        </w:tc>
        <w:tc>
          <w:tcPr>
            <w:tcW w:w="225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lineárna</w:t>
            </w:r>
          </w:p>
        </w:tc>
      </w:tr>
      <w:tr>
        <w:trPr>
          <w:trHeight w:val="397" w:hRule="atLeast"/>
        </w:trPr>
        <w:tc>
          <w:tcPr>
            <w:tcW w:w="21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 xml:space="preserve">Stavby </w:t>
            </w:r>
          </w:p>
        </w:tc>
        <w:tc>
          <w:tcPr>
            <w:tcW w:w="2263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20 rokov</w:t>
            </w:r>
          </w:p>
        </w:tc>
        <w:tc>
          <w:tcPr>
            <w:tcW w:w="224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1/20</w:t>
            </w:r>
          </w:p>
        </w:tc>
        <w:tc>
          <w:tcPr>
            <w:tcW w:w="225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lineárna</w:t>
            </w:r>
          </w:p>
        </w:tc>
      </w:tr>
      <w:tr>
        <w:trPr>
          <w:trHeight w:val="397" w:hRule="atLeast"/>
        </w:trPr>
        <w:tc>
          <w:tcPr>
            <w:tcW w:w="217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Softvér</w:t>
            </w:r>
          </w:p>
        </w:tc>
        <w:tc>
          <w:tcPr>
            <w:tcW w:w="2263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4 roky</w:t>
            </w:r>
          </w:p>
        </w:tc>
        <w:tc>
          <w:tcPr>
            <w:tcW w:w="2246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1/4</w:t>
            </w:r>
          </w:p>
        </w:tc>
        <w:tc>
          <w:tcPr>
            <w:tcW w:w="2254" w:type="dxa"/>
            <w:tcBorders>
              <w:top w:val="single" w:sz="12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eastAsia="" w:cs="Arial" w:ascii="Cambria" w:hAnsi="Cambria" w:asciiTheme="majorHAnsi" w:hAnsiTheme="majorHAnsi"/>
                <w:kern w:val="0"/>
                <w:sz w:val="20"/>
                <w:szCs w:val="20"/>
                <w:lang w:val="sk-SK" w:eastAsia="sk-SK" w:bidi="ar-SA"/>
              </w:rPr>
              <w:t>lineárna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sdt>
        <w:sdtPr>
          <w:id w:val="-1262520514"/>
        </w:sdtPr>
        <w:sdtContent>
          <w:r>
            <w:rPr>
              <w:rFonts w:eastAsia="MS Mincho" w:cs="MS Mincho" w:hint="eastAsia" w:ascii="MS Mincho" w:hAnsi="MS Mincho"/>
              <w:b/>
            </w:rPr>
          </w:r>
          <w:r>
            <w:rPr>
              <w:rFonts w:eastAsia="MS Mincho" w:cs="MS Mincho" w:hint="eastAsia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1514113284"/>
        </w:sdtPr>
        <w:sdtContent>
          <w:r>
            <w:rPr>
              <w:rFonts w:eastAsia="MS Mincho" w:cs="MS Mincho" w:hint="eastAsia" w:ascii="MS Mincho" w:hAnsi="MS Mincho"/>
              <w:b/>
            </w:rPr>
          </w:r>
          <w:r>
            <w:rPr>
              <w:rFonts w:eastAsia="MS Mincho" w:cs="MS Mincho" w:hint="eastAsia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-1529326073"/>
        </w:sdtPr>
        <w:sdtContent>
          <w:r>
            <w:rPr>
              <w:rFonts w:eastAsia="MS Mincho" w:cs="MS Mincho" w:hint="eastAsia" w:ascii="MS Mincho" w:hAnsi="MS Mincho"/>
              <w:b/>
            </w:rPr>
          </w:r>
          <w:r>
            <w:rPr>
              <w:rFonts w:eastAsia="MS Mincho" w:cs="MS Mincho" w:hint="eastAsia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sa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ne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sdt>
        <w:sdtPr>
          <w:id w:val="-1799293422"/>
        </w:sdtPr>
        <w:sdtContent>
          <w:r>
            <w:rPr>
              <w:rFonts w:eastAsia="MS Mincho" w:cs="MS Mincho" w:ascii="MS Mincho" w:hAnsi="MS Mincho"/>
              <w:b/>
              <w:sz w:val="28"/>
              <w:szCs w:val="28"/>
            </w:rPr>
          </w:r>
          <w:r>
            <w:rPr>
              <w:rFonts w:eastAsia="MS Mincho" w:cs="MS Mincho" w:ascii="MS Mincho" w:hAnsi="MS Mincho"/>
              <w:b/>
              <w:sz w:val="28"/>
              <w:szCs w:val="28"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III. 4 h) Dotácie poskytnuté na obstaranie majetku: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/>
          <w:i/>
          <w:sz w:val="24"/>
          <w:szCs w:val="24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</w:t>
      </w:r>
    </w:p>
    <w:p>
      <w:pPr>
        <w:pStyle w:val="Normal"/>
        <w:spacing w:lineRule="auto" w:line="240" w:before="240" w:after="200"/>
        <w:ind w:hanging="426" w:star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III.5  Oprava významných a nevýznamných chýb minulých účtovných období vykonaných v bežnom účtovnom období: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IV - Informácie, ktoré vysvetľujú a dopĺňajú súvahu a výkaz ziskov a strát</w:t>
      </w:r>
    </w:p>
    <w:p>
      <w:pPr>
        <w:pStyle w:val="Normal"/>
        <w:spacing w:lineRule="auto" w:line="240" w:before="240" w:after="200"/>
        <w:ind w:hanging="426" w:star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IV.1</w:t>
        <w:tab/>
        <w:t xml:space="preserve"> Informácie ku goodwillu alebo zápornému goodwillu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IV. 2  Informácie o významných položkách majetku a záväzkov zabezpečených derivátmi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IV. 3 a) Záväzky so zostatkovou dobou splatnosti dlhšou ako 5 rokov: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Cs/>
          <w:sz w:val="20"/>
          <w:szCs w:val="20"/>
        </w:rPr>
      </w:pPr>
      <w:r>
        <w:rPr>
          <w:rFonts w:cs="Arial" w:ascii="Cambria" w:hAnsi="Cambria" w:asciiTheme="majorHAnsi" w:hAnsiTheme="majorHAnsi"/>
          <w:iCs/>
          <w:sz w:val="20"/>
          <w:szCs w:val="20"/>
        </w:rPr>
        <w:t xml:space="preserve">Termínovaný úver VÚB splatný 25.11.2032, celková výška úveru 315 000,00 EUR 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IV. 3 b) Zabezpečené záväzky, opis a spôsob ich zabezpečenia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ListParagraph"/>
        <w:spacing w:lineRule="auto" w:line="240" w:before="240" w:after="200"/>
        <w:ind w:start="0" w:end="-141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IV. 4 a) - c) Informácie o vlastných akciách: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/>
          <w:i/>
          <w:sz w:val="24"/>
          <w:szCs w:val="24"/>
        </w:rPr>
      </w:r>
    </w:p>
    <w:p>
      <w:pPr>
        <w:pStyle w:val="Normal"/>
        <w:spacing w:lineRule="auto" w:line="240"/>
        <w:ind w:hanging="993" w:start="993"/>
        <w:jc w:val="both"/>
        <w:rPr>
          <w:rFonts w:ascii="Cambria" w:hAnsi="Cambria" w:eastAsia="MS Gothic" w:cs="Times New Roman" w:asciiTheme="majorHAnsi" w:hAnsiTheme="majorHAnsi"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IV. 5</w:t>
        <w:tab/>
        <w:t>Informácie o výnosoch a nákladoch, ktoré majú výnimočný rozsah alebo výskyt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V - Informácie o iných aktívach a iných pasívach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V. 1 a) Informácie o podmienenom majetku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/>
          <w:b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V. 1 b) Informácie o podmienených záväzkoch: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Normal"/>
        <w:spacing w:lineRule="auto" w:line="240" w:before="240" w:after="200"/>
        <w:ind w:end="-141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 xml:space="preserve"> </w:t>
      </w:r>
      <w:r>
        <w:rPr>
          <w:rFonts w:eastAsia="MS Gothic" w:cs="Arial" w:ascii="Cambria" w:hAnsi="Cambria" w:asciiTheme="majorHAnsi" w:hAnsiTheme="majorHAnsi"/>
          <w:b/>
        </w:rPr>
        <w:t>V. 2  Ostatné významné finančné povinnosti nevykázané v účtovných výkazoch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V. 3  Informácie o údajoch na podsúvahových účtoch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 xml:space="preserve"> </w:t>
      </w:r>
      <w:r>
        <w:rPr>
          <w:rFonts w:cs="Arial" w:ascii="Cambria" w:hAnsi="Cambria" w:asciiTheme="majorHAnsi" w:hAnsiTheme="majorHAnsi"/>
          <w:i/>
          <w:sz w:val="24"/>
          <w:szCs w:val="24"/>
        </w:rPr>
        <w:t>Pre danú oblasť nemá účtovná jednotka obsahovú náplň.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VI - Udalosti, ktoré nastali po dni, ku ktorému sa zostavuje účtovná závierka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i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 xml:space="preserve"> </w:t>
      </w:r>
      <w:r>
        <w:rPr>
          <w:rFonts w:eastAsia="MS Gothic" w:cs="Arial" w:ascii="Cambria" w:hAnsi="Cambria" w:asciiTheme="majorHAnsi" w:hAnsiTheme="majorHAnsi"/>
          <w:b/>
          <w:i/>
          <w:sz w:val="20"/>
          <w:szCs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VII - Ostatné informácie</w:t>
      </w:r>
    </w:p>
    <w:p>
      <w:pPr>
        <w:pStyle w:val="Normal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VII. 1 a) – c)  </w:t>
      </w:r>
      <w:r>
        <w:rPr>
          <w:rFonts w:eastAsia="MS Gothic" w:cs="Arial" w:ascii="Cambria" w:hAnsi="Cambria" w:asciiTheme="majorHAnsi" w:hAnsiTheme="majorHAnsi"/>
          <w:b/>
        </w:rPr>
        <w:t xml:space="preserve">Informácie </w:t>
      </w:r>
      <w:r>
        <w:rPr>
          <w:rFonts w:cs="Arial" w:ascii="Cambria" w:hAnsi="Cambria" w:asciiTheme="majorHAnsi" w:hAnsiTheme="majorHAnsi"/>
          <w:b/>
        </w:rPr>
        <w:t>o výlučných právach alebo osobitných právach udelených účtovnej jednotke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 </w:t>
      </w:r>
      <w:r>
        <w:rPr>
          <w:rFonts w:cs="Arial" w:ascii="Cambria" w:hAnsi="Cambria" w:asciiTheme="majorHAnsi" w:hAnsiTheme="majorHAnsi"/>
          <w:i/>
          <w:sz w:val="24"/>
          <w:szCs w:val="24"/>
        </w:rPr>
        <w:t>Daná oblasť sa účtovnej jednotky netýka.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VII. 2 a) a b) Informácie týkajúce sa účtovnej jednotky, na ktorú sa vzťahuje § 23d ods. 6 ZoÚ, jej činnosť   je zaradená do kategórie priemyselnej výroby a jej čistý obrat za</w:t>
      </w:r>
      <w:r>
        <w:rPr>
          <w:rFonts w:cs="Arial" w:ascii="Cambria" w:hAnsi="Cambria" w:asciiTheme="majorHAnsi" w:hAnsiTheme="majorHAnsi"/>
        </w:rPr>
        <w:t xml:space="preserve"> </w:t>
      </w:r>
      <w:r>
        <w:rPr>
          <w:rFonts w:eastAsia="MS Gothic" w:cs="Arial" w:ascii="Cambria" w:hAnsi="Cambria" w:asciiTheme="majorHAnsi" w:hAnsiTheme="majorHAnsi"/>
          <w:b/>
        </w:rPr>
        <w:t>bezprostredne predchádzajúce účtovné obdobie bol väčší ako 250 000 000 €: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Daná oblasť sa účtovnej jednotky netýka.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</w:rPr>
      </w:pPr>
      <w:r>
        <w:rPr>
          <w:rFonts w:eastAsia="MS Gothic" w:cs="Arial" w:ascii="Cambria" w:hAnsi="Cambria" w:asciiTheme="majorHAnsi" w:hAnsiTheme="majorHAnsi"/>
          <w:b/>
        </w:rPr>
        <w:t>VII. 2 c) – g)  I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>
        <w:rPr>
          <w:rFonts w:cs="Arial" w:ascii="Cambria" w:hAnsi="Cambria" w:asciiTheme="majorHAnsi" w:hAnsiTheme="majorHAnsi"/>
          <w:sz w:val="20"/>
          <w:szCs w:val="20"/>
        </w:rPr>
        <w:t xml:space="preserve">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bezprostredne predchádzajúce účtovné obdobie bol väčší ako 250 000 000 €: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Daná oblasť sa účtovnej jednotky netýka.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VII. 3  Informácie týkajúce sa účtovnej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Cambria" w:hAnsi="Cambria" w:cs="Arial" w:asciiTheme="majorHAnsi" w:hAnsiTheme="majorHAnsi"/>
          <w:i/>
          <w:sz w:val="24"/>
          <w:szCs w:val="24"/>
        </w:rPr>
      </w:pPr>
      <w:r>
        <w:rPr>
          <w:rFonts w:cs="Arial" w:ascii="Cambria" w:hAnsi="Cambria" w:asciiTheme="majorHAnsi" w:hAnsiTheme="majorHAnsi"/>
          <w:i/>
          <w:sz w:val="24"/>
          <w:szCs w:val="24"/>
        </w:rPr>
        <w:t>Daná oblasť sa účtovnej jednotky netýka.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Miesto/Dátum/Podpis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bookmarkStart w:id="0" w:name="OLE_LINK1"/>
      <w:r>
        <w:rPr>
          <w:rFonts w:eastAsia="MS Gothic" w:cs="Arial" w:ascii="Cambria" w:hAnsi="Cambria" w:asciiTheme="majorHAnsi" w:hAnsiTheme="majorHAnsi"/>
          <w:sz w:val="20"/>
          <w:szCs w:val="20"/>
        </w:rPr>
        <w:t>V Šali, dňa 29.3.202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6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ab/>
        <w:tab/>
        <w:tab/>
        <w:tab/>
        <w:tab/>
        <w:t>Juraj Rehák, konateľ spoločnosti</w:t>
      </w:r>
      <w:bookmarkEnd w:id="0"/>
      <w:r>
        <w:rPr>
          <w:rFonts w:eastAsia="MS Gothic" w:cs="Arial" w:ascii="Cambria" w:hAnsi="Cambria" w:asciiTheme="majorHAnsi" w:hAnsiTheme="majorHAnsi"/>
          <w:b/>
          <w:i/>
          <w:sz w:val="20"/>
          <w:szCs w:val="20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MS Mincho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20480173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Cambria" w:hAnsi="Cambria" w:asciiTheme="majorHAnsi" w:hAnsiTheme="majorHAnsi"/>
          </w:rPr>
        </w:pP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6</w:t>
        </w:r>
        <w:r>
          <w:rPr>
            <w:rFonts w:ascii="Cambria" w:hAnsi="Cambria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204801737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>
            <w:rFonts w:ascii="Cambria" w:hAnsi="Cambria" w:asciiTheme="majorHAnsi" w:hAnsiTheme="majorHAnsi"/>
          </w:rPr>
        </w:pP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6</w:t>
        </w:r>
        <w:r>
          <w:rPr>
            <w:rFonts w:ascii="Cambria" w:hAnsi="Cambria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end"/>
      <w:rPr>
        <w:color w:themeColor="accent1" w:themeShade="bf" w:val="365F91"/>
        <w:sz w:val="36"/>
        <w:szCs w:val="36"/>
      </w:rPr>
    </w:pPr>
    <w:r>
      <mc:AlternateContent>
        <mc:Choice Requires="wpg">
          <w:drawing>
            <wp:anchor distT="5080" distB="30480" distL="0" distR="5080" simplePos="0" relativeHeight="7" behindDoc="1" locked="0" layoutInCell="0" allowOverlap="1" wp14:anchorId="0E9CFE1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908300" cy="911860"/>
              <wp:effectExtent l="0" t="5080" r="5080" b="3048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08440" cy="911880"/>
                        <a:chOff x="0" y="0"/>
                        <a:chExt cx="2908440" cy="911880"/>
                      </a:xfrm>
                    </wpg:grpSpPr>
                    <wps:wsp>
                      <wps:cNvSpPr/>
                      <wps:spPr>
                        <a:xfrm flipV="1">
                          <a:off x="360720" y="0"/>
                          <a:ext cx="2547720" cy="853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2" name="Oval 62"/>
                      <wps:cNvSpPr/>
                      <wps:spPr>
                        <a:xfrm>
                          <a:off x="33120" y="79200"/>
                          <a:ext cx="720000" cy="8031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2.6pt;margin-top:0.4pt;width:226.35pt;height:69.5pt" coordorigin="52,8" coordsize="4527,1390">
              <v:line id="shape_0" from="568,8" to="4579,1351" stroked="t" o:allowincell="f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fillcolor="#e8eef9" stroked="f" o:allowincell="f" style="position:absolute;left:52;top:132;width:1133;height:1264;mso-wrap-style:none;v-text-anchor:middle;rotation:355;mso-position-horizontal:left;mso-position-horizontal-relative:page;mso-position-vertical:top;mso-position-vertical-relative:page">
                <v:fill o:detectmouseclick="t" color2="#b6cef0"/>
                <v:stroke color="#3465a4" weight="25560" joinstyle="round" endcap="flat"/>
                <w10:wrap type="none"/>
              </v:oval>
            </v:group>
          </w:pict>
        </mc:Fallback>
      </mc:AlternateContent>
    </w:r>
    <w:sdt>
      <w:sdt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="Cambria" w:hAnsi="Cambria" w:asciiTheme="majorHAnsi" w:hAnsiTheme="majorHAnsi"/>
            <w:sz w:val="36"/>
            <w:szCs w:val="36"/>
          </w:rPr>
        </w:r>
        <w:r>
          <w:rPr>
            <w:rFonts w:ascii="Cambria" w:hAnsi="Cambria" w:asciiTheme="majorHAnsi" w:hAnsiTheme="majorHAnsi"/>
            <w:sz w:val="36"/>
            <w:szCs w:val="36"/>
          </w:rPr>
          <w:t>Poznámky Úč PODV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990" w:type="dxa"/>
      <w:jc w:val="end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624"/>
      <w:gridCol w:w="326"/>
      <w:gridCol w:w="326"/>
      <w:gridCol w:w="329"/>
      <w:gridCol w:w="330"/>
      <w:gridCol w:w="329"/>
      <w:gridCol w:w="327"/>
      <w:gridCol w:w="326"/>
      <w:gridCol w:w="326"/>
      <w:gridCol w:w="851"/>
      <w:gridCol w:w="624"/>
      <w:gridCol w:w="329"/>
      <w:gridCol w:w="327"/>
      <w:gridCol w:w="326"/>
      <w:gridCol w:w="326"/>
      <w:gridCol w:w="329"/>
      <w:gridCol w:w="327"/>
      <w:gridCol w:w="326"/>
      <w:gridCol w:w="326"/>
      <w:gridCol w:w="329"/>
      <w:gridCol w:w="327"/>
    </w:tblGrid>
    <w:tr>
      <w:trPr>
        <w:trHeight w:val="340" w:hRule="atLeast"/>
      </w:trPr>
      <w:tc>
        <w:tcPr>
          <w:tcW w:w="624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IČO: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3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6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30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8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3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3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7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4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DIČ: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0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1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4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4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0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9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1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end"/>
      <w:rPr>
        <w:color w:themeColor="accent1" w:themeShade="bf" w:val="365F91"/>
        <w:sz w:val="36"/>
        <w:szCs w:val="36"/>
      </w:rPr>
    </w:pPr>
    <w:r>
      <mc:AlternateContent>
        <mc:Choice Requires="wpg">
          <w:drawing>
            <wp:anchor distT="5080" distB="30480" distL="0" distR="5080" simplePos="0" relativeHeight="7" behindDoc="1" locked="0" layoutInCell="0" allowOverlap="1" wp14:anchorId="0E9CFE1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908300" cy="911860"/>
              <wp:effectExtent l="0" t="5080" r="5080" b="30480"/>
              <wp:wrapNone/>
              <wp:docPr id="3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08440" cy="911880"/>
                        <a:chOff x="0" y="0"/>
                        <a:chExt cx="2908440" cy="911880"/>
                      </a:xfrm>
                    </wpg:grpSpPr>
                    <wps:wsp>
                      <wps:cNvSpPr/>
                      <wps:spPr>
                        <a:xfrm flipV="1">
                          <a:off x="360720" y="0"/>
                          <a:ext cx="2547720" cy="853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4" name="Oval 62"/>
                      <wps:cNvSpPr/>
                      <wps:spPr>
                        <a:xfrm>
                          <a:off x="33120" y="79200"/>
                          <a:ext cx="720000" cy="8031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2.6pt;margin-top:0.4pt;width:226.35pt;height:69.5pt" coordorigin="52,8" coordsize="4527,1390">
              <v:line id="shape_0" from="568,8" to="4579,1351" stroked="t" o:allowincell="f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fillcolor="#e8eef9" stroked="f" o:allowincell="f" style="position:absolute;left:52;top:132;width:1133;height:1264;mso-wrap-style:none;v-text-anchor:middle;rotation:355;mso-position-horizontal:left;mso-position-horizontal-relative:page;mso-position-vertical:top;mso-position-vertical-relative:page">
                <v:fill o:detectmouseclick="t" color2="#b6cef0"/>
                <v:stroke color="#3465a4" weight="25560" joinstyle="round" endcap="flat"/>
                <w10:wrap type="none"/>
              </v:oval>
            </v:group>
          </w:pict>
        </mc:Fallback>
      </mc:AlternateContent>
    </w:r>
    <w:sdt>
      <w:sdt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="Cambria" w:hAnsi="Cambria" w:asciiTheme="majorHAnsi" w:hAnsiTheme="majorHAnsi"/>
            <w:sz w:val="36"/>
            <w:szCs w:val="36"/>
          </w:rPr>
        </w:r>
        <w:r>
          <w:rPr>
            <w:rFonts w:ascii="Cambria" w:hAnsi="Cambria" w:asciiTheme="majorHAnsi" w:hAnsiTheme="majorHAnsi"/>
            <w:sz w:val="36"/>
            <w:szCs w:val="36"/>
          </w:rPr>
          <w:t>Poznámky Úč PODV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990" w:type="dxa"/>
      <w:jc w:val="end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624"/>
      <w:gridCol w:w="326"/>
      <w:gridCol w:w="326"/>
      <w:gridCol w:w="329"/>
      <w:gridCol w:w="330"/>
      <w:gridCol w:w="329"/>
      <w:gridCol w:w="327"/>
      <w:gridCol w:w="326"/>
      <w:gridCol w:w="326"/>
      <w:gridCol w:w="851"/>
      <w:gridCol w:w="624"/>
      <w:gridCol w:w="329"/>
      <w:gridCol w:w="327"/>
      <w:gridCol w:w="326"/>
      <w:gridCol w:w="326"/>
      <w:gridCol w:w="329"/>
      <w:gridCol w:w="327"/>
      <w:gridCol w:w="326"/>
      <w:gridCol w:w="326"/>
      <w:gridCol w:w="329"/>
      <w:gridCol w:w="327"/>
    </w:tblGrid>
    <w:tr>
      <w:trPr>
        <w:trHeight w:val="340" w:hRule="atLeast"/>
      </w:trPr>
      <w:tc>
        <w:tcPr>
          <w:tcW w:w="624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IČO: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3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6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30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8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3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3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7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4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DIČ: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0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2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1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4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4</w:t>
          </w:r>
        </w:p>
      </w:tc>
      <w:tc>
        <w:tcPr>
          <w:tcW w:w="326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0</w:t>
          </w:r>
        </w:p>
      </w:tc>
      <w:tc>
        <w:tcPr>
          <w:tcW w:w="329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9</w:t>
          </w:r>
        </w:p>
      </w:tc>
      <w:tc>
        <w:tcPr>
          <w:tcW w:w="327" w:type="dxa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eastAsia="" w:cs="" w:ascii="Cambria" w:hAnsi="Cambria" w:asciiTheme="majorHAnsi" w:hAnsiTheme="majorHAnsi"/>
              <w:kern w:val="0"/>
              <w:sz w:val="20"/>
              <w:szCs w:val="20"/>
              <w:lang w:val="sk-SK" w:eastAsia="sk-SK" w:bidi="ar-SA"/>
            </w:rPr>
            <w:t>1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5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f0301d"/>
    <w:rPr/>
  </w:style>
  <w:style w:type="character" w:styleId="PtaChar" w:customStyle="1">
    <w:name w:val="Päta Char"/>
    <w:basedOn w:val="DefaultParagraphFont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Nadpis1Char" w:customStyle="1">
    <w:name w:val="Nadpis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z-HornokrajformulraChar" w:customStyle="1">
    <w:name w:val="z-Horný okraj formulára Char"/>
    <w:basedOn w:val="DefaultParagraphFont"/>
    <w:link w:val="HTML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-SpodnokrajformulraChar" w:customStyle="1">
    <w:name w:val="z-Spodný okraj formulára Char"/>
    <w:basedOn w:val="DefaultParagraphFont"/>
    <w:link w:val="HTML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567bed"/>
    <w:rPr>
      <w:i/>
      <w:iCs/>
      <w:color w:themeColor="text1" w:val="000000"/>
    </w:rPr>
  </w:style>
  <w:style w:type="character" w:styleId="Nadpis2Char" w:customStyle="1">
    <w:name w:val="Nadpis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themeColor="accent2" w:val="C0504D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start="720"/>
      <w:contextualSpacing/>
    </w:pPr>
    <w:rPr/>
  </w:style>
  <w:style w:type="paragraph" w:styleId="HTMLTopofForm">
    <w:name w:val="HTML Top of Form"/>
    <w:basedOn w:val="Normal"/>
    <w:next w:val="Normal"/>
    <w:link w:val="z-HornokrajformulraChar"/>
    <w:uiPriority w:val="99"/>
    <w:semiHidden/>
    <w:unhideWhenUsed/>
    <w:qFormat/>
    <w:rsid w:val="00361862"/>
    <w:pPr>
      <w:pBdr>
        <w:bottom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SpodnokrajformulraChar"/>
    <w:uiPriority w:val="99"/>
    <w:semiHidden/>
    <w:unhideWhenUsed/>
    <w:qFormat/>
    <w:rsid w:val="00361862"/>
    <w:pPr>
      <w:pBdr>
        <w:top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themeColor="text1" w:val="000000"/>
    </w:rPr>
  </w:style>
  <w:style w:type="numbering" w:styleId="Bezseznamuuser" w:default="1">
    <w:name w:val="Bez seznamu (user)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11A55"/>
    <w:rsid w:val="0027630A"/>
    <w:rsid w:val="00297AA4"/>
    <w:rsid w:val="002D5101"/>
    <w:rsid w:val="0031073A"/>
    <w:rsid w:val="003A05BF"/>
    <w:rsid w:val="004D37E1"/>
    <w:rsid w:val="00505AE4"/>
    <w:rsid w:val="00533392"/>
    <w:rsid w:val="005D39AB"/>
    <w:rsid w:val="005F76D2"/>
    <w:rsid w:val="00734361"/>
    <w:rsid w:val="00765710"/>
    <w:rsid w:val="008043E8"/>
    <w:rsid w:val="008560A4"/>
    <w:rsid w:val="008B615A"/>
    <w:rsid w:val="009E54A1"/>
    <w:rsid w:val="00A108B6"/>
    <w:rsid w:val="00A319A9"/>
    <w:rsid w:val="00B7212A"/>
    <w:rsid w:val="00BE0B50"/>
    <w:rsid w:val="00C731F6"/>
    <w:rsid w:val="00C80211"/>
    <w:rsid w:val="00CE0B5C"/>
    <w:rsid w:val="00CF451A"/>
    <w:rsid w:val="00D43ED6"/>
    <w:rsid w:val="00D96ED7"/>
    <w:rsid w:val="00DA5BD5"/>
    <w:rsid w:val="00DF2254"/>
    <w:rsid w:val="00E06618"/>
    <w:rsid w:val="00E57869"/>
    <w:rsid w:val="00EF7FA9"/>
    <w:rsid w:val="00F053C3"/>
    <w:rsid w:val="00F11D6C"/>
    <w:rsid w:val="00F67766"/>
    <w:rsid w:val="00FC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043E8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LibreOffice/25.8.5.2$Windows_X86_64 LibreOffice_project/9c8b85f387cc00a89945a79c9e6239f32e450ac2</Application>
  <AppVersion>15.0000</AppVersion>
  <Pages>6</Pages>
  <Words>1275</Words>
  <Characters>7490</Characters>
  <CharactersWithSpaces>8627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2026-03-29T12:43:00Z</dcterms:created>
  <dc:creator>R</dc:creator>
  <dc:description/>
  <dc:language>cs-CZ</dc:language>
  <cp:lastModifiedBy/>
  <cp:lastPrinted>2022-03-16T12:23:00Z</cp:lastPrinted>
  <dcterms:modified xsi:type="dcterms:W3CDTF">2026-03-29T19:49:19Z</dcterms:modified>
  <cp:revision>4</cp:revision>
  <dc:subject/>
  <dc:title>Poznámky Úč PODV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