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Spacing"/>
        <w:jc w:val="center"/>
        <w:rPr>
          <w:b/>
          <w:sz w:val="32"/>
        </w:rPr>
      </w:pPr>
      <w:r>
        <w:rPr>
          <w:b/>
          <w:sz w:val="32"/>
        </w:rPr>
        <w:t>Poznámky k 31.12.2025</w:t>
      </w:r>
    </w:p>
    <w:p>
      <w:pPr>
        <w:pStyle w:val="NoSpacing"/>
        <w:jc w:val="center"/>
        <w:rPr>
          <w:b/>
          <w:sz w:val="32"/>
        </w:rPr>
      </w:pPr>
      <w:r>
        <w:rPr>
          <w:b/>
          <w:sz w:val="32"/>
        </w:rPr>
      </w:r>
    </w:p>
    <w:p>
      <w:pPr>
        <w:pStyle w:val="NoSpacing"/>
        <w:jc w:val="center"/>
        <w:rPr>
          <w:b/>
          <w:sz w:val="32"/>
        </w:rPr>
      </w:pPr>
      <w:r>
        <w:rPr>
          <w:b/>
          <w:sz w:val="32"/>
        </w:rPr>
        <w:t>Všeobecné údaje</w:t>
      </w:r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 xml:space="preserve">Identifikačné údaje účtovnej jednotky </w:t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5325"/>
        <w:gridCol w:w="4713"/>
      </w:tblGrid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a)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Názov účtovnej jednotky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Obec Partizánska Ľupča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Sídlo účtovnej jednotky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Obecný úrad Partizánska Ľupča 417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IČO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00315656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Dátum zriadenia 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Obec bola založená v roku 1990 zákonom č.369/1990 Zb. o obecnom zriadení.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Spôsob zriadenia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Zo zákona č.369/1990 Zb.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b) Právny dôvod na zostavenie účtovnej závierky 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0" w:name="Bookmark"/>
            <w:bookmarkStart w:id="1" w:name="Bookmark"/>
            <w:bookmarkEnd w:id="1"/>
            <w:r>
              <w:rPr/>
            </w:r>
            <w:r>
              <w:rPr/>
              <w:fldChar w:fldCharType="end"/>
            </w:r>
            <w:bookmarkStart w:id="2" w:name="Bookmark_Kópie_1"/>
            <w:bookmarkEnd w:id="2"/>
            <w:r>
              <w:rPr/>
              <w:t xml:space="preserve">    riadna</w:t>
            </w:r>
          </w:p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 Kópie 1 Kópie 1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3" w:name="Bookmark_Kópie_1_Kópie_1"/>
            <w:bookmarkStart w:id="4" w:name="Bookmark_Kópie_1_Kópie_1"/>
            <w:bookmarkEnd w:id="4"/>
            <w:r>
              <w:rPr/>
            </w:r>
            <w:r>
              <w:rPr/>
              <w:fldChar w:fldCharType="end"/>
            </w:r>
            <w:bookmarkStart w:id="5" w:name="Bookmark_Kópie_1"/>
            <w:bookmarkEnd w:id="5"/>
            <w:r>
              <w:rPr/>
              <w:t xml:space="preserve">    mimoriadna 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  <w:t xml:space="preserve">c) </w:t>
            </w:r>
            <w:r>
              <w:rPr/>
              <w:t>Účtovná jednotka je súčasťou konsolidovaného celku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 Kópie 2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6" w:name="Bookmark_Kópie_2"/>
            <w:bookmarkStart w:id="7" w:name="Bookmark_Kópie_2"/>
            <w:bookmarkEnd w:id="7"/>
            <w:r>
              <w:rPr/>
            </w:r>
            <w:r>
              <w:rPr/>
              <w:fldChar w:fldCharType="end"/>
            </w:r>
            <w:bookmarkStart w:id="8" w:name="Bookmark_Kópie_2"/>
            <w:bookmarkEnd w:id="8"/>
            <w:r>
              <w:rPr/>
              <w:t xml:space="preserve">    áno</w:t>
            </w:r>
          </w:p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 Kópie 3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9" w:name="Bookmark_Kópie_3"/>
            <w:bookmarkStart w:id="10" w:name="Bookmark_Kópie_3"/>
            <w:bookmarkEnd w:id="10"/>
            <w:r>
              <w:rPr/>
            </w:r>
            <w:r>
              <w:rPr/>
              <w:fldChar w:fldCharType="end"/>
            </w:r>
            <w:bookmarkStart w:id="11" w:name="Bookmark_Kópie_3"/>
            <w:bookmarkEnd w:id="11"/>
            <w:r>
              <w:rPr/>
              <w:t xml:space="preserve">    nie</w:t>
            </w:r>
          </w:p>
        </w:tc>
      </w:tr>
      <w:tr>
        <w:trPr/>
        <w:tc>
          <w:tcPr>
            <w:tcW w:w="53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24"/>
                <w:szCs w:val="24"/>
              </w:rPr>
            </w:pPr>
            <w:r>
              <w:rPr>
                <w:rFonts w:cs="Calibri" w:cstheme="minorHAnsi"/>
                <w:sz w:val="24"/>
                <w:szCs w:val="24"/>
              </w:rPr>
              <w:t xml:space="preserve">d) </w:t>
            </w:r>
            <w:r>
              <w:rPr/>
              <w:t>Účtovná jednotka je súčasťou súhrnného celku verejnej správy</w:t>
            </w:r>
          </w:p>
        </w:tc>
        <w:tc>
          <w:tcPr>
            <w:tcW w:w="47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 Kópie 4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2" w:name="Bookmark_Kópie_4"/>
            <w:bookmarkStart w:id="13" w:name="Bookmark_Kópie_4"/>
            <w:bookmarkEnd w:id="13"/>
            <w:r>
              <w:rPr/>
            </w:r>
            <w:r>
              <w:rPr/>
              <w:fldChar w:fldCharType="end"/>
            </w:r>
            <w:bookmarkStart w:id="14" w:name="Bookmark_Kópie_4"/>
            <w:bookmarkEnd w:id="14"/>
            <w:r>
              <w:rPr/>
              <w:t xml:space="preserve">    áno</w:t>
            </w:r>
          </w:p>
          <w:p>
            <w:pPr>
              <w:pStyle w:val="Normal"/>
              <w:spacing w:lineRule="auto" w:line="276" w:before="120" w:after="120"/>
              <w:rPr/>
            </w:pPr>
            <w:r>
              <w:fldChar w:fldCharType="begin">
                <w:ffData>
                  <w:name w:val="Bookmark Kópie 5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 xml:space="preserve"> FORMCHECKBOX </w:instrText>
            </w:r>
            <w:r>
              <w:rPr/>
              <w:fldChar w:fldCharType="separate"/>
            </w:r>
            <w:bookmarkStart w:id="15" w:name="Bookmark_Kópie_5"/>
            <w:bookmarkStart w:id="16" w:name="Bookmark_Kópie_5"/>
            <w:bookmarkEnd w:id="16"/>
            <w:r>
              <w:rPr/>
            </w:r>
            <w:r>
              <w:rPr/>
              <w:fldChar w:fldCharType="end"/>
            </w:r>
            <w:bookmarkStart w:id="17" w:name="Bookmark_Kópie_5"/>
            <w:bookmarkEnd w:id="17"/>
            <w:r>
              <w:rPr/>
              <w:t xml:space="preserve">    nie</w:t>
            </w:r>
          </w:p>
        </w:tc>
      </w:tr>
    </w:tbl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 xml:space="preserve">Opis činnosti účtovnej jednotky </w:t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4781"/>
        <w:gridCol w:w="5257"/>
      </w:tblGrid>
      <w:tr>
        <w:trPr>
          <w:trHeight w:val="944" w:hRule="atLeast"/>
        </w:trPr>
        <w:tc>
          <w:tcPr>
            <w:tcW w:w="47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Hlavná činnosť účtovnej jednotky</w:t>
            </w:r>
          </w:p>
        </w:tc>
        <w:tc>
          <w:tcPr>
            <w:tcW w:w="525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hd w:fill="FFFFFF" w:val="clear"/>
              </w:rPr>
            </w:pPr>
            <w:r>
              <w:rPr/>
              <w:t xml:space="preserve">Podľa zákona č.369/1990 Zb. je základnou úlohou obce </w:t>
            </w:r>
            <w:r>
              <w:rPr>
                <w:shd w:fill="FFFFFF" w:val="clear"/>
              </w:rPr>
              <w:t>pri výkone samosprávy starostlivosť o všestranný rozvoj jej územia a o potreby jej obyvateľov</w:t>
            </w:r>
          </w:p>
        </w:tc>
      </w:tr>
    </w:tbl>
    <w:p>
      <w:pPr>
        <w:pStyle w:val="Normal"/>
        <w:spacing w:lineRule="auto" w:line="276" w:before="0" w:after="0"/>
        <w:jc w:val="start"/>
        <w:rPr>
          <w:rFonts w:ascii="Cambria" w:hAnsi="Cambria" w:eastAsia="" w:cs="" w:asciiTheme="majorHAnsi" w:cstheme="majorBidi" w:eastAsiaTheme="majorEastAsia" w:hAnsiTheme="majorHAnsi"/>
          <w:b/>
          <w:color w:themeColor="text1" w:val="000000"/>
          <w:sz w:val="24"/>
          <w:szCs w:val="32"/>
        </w:rPr>
      </w:pPr>
      <w:r>
        <w:rPr>
          <w:rFonts w:eastAsia="" w:cs="" w:cstheme="majorBidi" w:eastAsiaTheme="majorEastAsia" w:ascii="Cambria" w:hAnsi="Cambria"/>
          <w:b/>
          <w:color w:themeColor="text1" w:val="000000"/>
          <w:sz w:val="24"/>
          <w:szCs w:val="32"/>
        </w:rPr>
      </w:r>
      <w:r>
        <w:br w:type="page"/>
      </w:r>
    </w:p>
    <w:p>
      <w:pPr>
        <w:pStyle w:val="Heading1"/>
        <w:numPr>
          <w:ilvl w:val="0"/>
          <w:numId w:val="3"/>
        </w:numPr>
        <w:spacing w:lineRule="auto" w:line="276" w:before="0" w:after="240"/>
        <w:rPr>
          <w:rFonts w:ascii="Calibri" w:hAnsi="Calibri" w:cs="Calibri" w:asciiTheme="minorHAnsi" w:cstheme="minorHAnsi" w:hAnsiTheme="minorHAnsi"/>
          <w:szCs w:val="24"/>
        </w:rPr>
      </w:pPr>
      <w:r>
        <w:rPr/>
        <w:t>Informácie o štatutárnych zástupcoch a o organizačnej štruktúre účtovnej</w:t>
      </w:r>
      <w:r>
        <w:rPr>
          <w:rFonts w:cs="Calibri" w:ascii="Calibri" w:hAnsi="Calibri" w:asciiTheme="minorHAnsi" w:cstheme="minorHAnsi" w:hAnsiTheme="minorHAnsi"/>
          <w:szCs w:val="24"/>
        </w:rPr>
        <w:t xml:space="preserve"> jednotky </w:t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5907"/>
        <w:gridCol w:w="4131"/>
      </w:tblGrid>
      <w:tr>
        <w:trPr>
          <w:trHeight w:val="1028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Štatutárny zástupca(meno a priezvisko)</w:t>
            </w:r>
          </w:p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Funkcia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Bc. Ladislav Balážec</w:t>
            </w:r>
          </w:p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bookmarkStart w:id="18" w:name="OLE_LINK1"/>
            <w:bookmarkStart w:id="19" w:name="OLE_LINK2"/>
            <w:bookmarkStart w:id="20" w:name="OLE_LINK3"/>
            <w:r>
              <w:rPr>
                <w:sz w:val="20"/>
              </w:rPr>
              <w:t>starosta obce</w:t>
            </w:r>
            <w:bookmarkEnd w:id="18"/>
            <w:bookmarkEnd w:id="19"/>
            <w:bookmarkEnd w:id="20"/>
          </w:p>
        </w:tc>
      </w:tr>
      <w:tr>
        <w:trPr>
          <w:trHeight w:val="856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Štatutárny zástupca (meno a priezvisko)</w:t>
            </w:r>
          </w:p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 xml:space="preserve">Funkcia 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Ing. Zuzana Jašková</w:t>
            </w:r>
          </w:p>
          <w:p>
            <w:pPr>
              <w:pStyle w:val="Normal"/>
              <w:spacing w:lineRule="auto" w:line="276" w:before="120" w:after="120"/>
              <w:contextualSpacing/>
              <w:rPr>
                <w:sz w:val="20"/>
              </w:rPr>
            </w:pPr>
            <w:r>
              <w:rPr>
                <w:sz w:val="20"/>
              </w:rPr>
              <w:t>zástupca starostu obce</w:t>
            </w:r>
          </w:p>
        </w:tc>
      </w:tr>
      <w:tr>
        <w:trPr>
          <w:trHeight w:val="78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Priemerný počet zamestnancov počas účtovného obdobia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14</w:t>
            </w:r>
          </w:p>
        </w:tc>
      </w:tr>
      <w:tr>
        <w:trPr>
          <w:trHeight w:val="1348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Počet zamestnancov ku dňu, ku ktorému sa zostavuje účtovná závierka účtovnej jednotky z toho:</w:t>
            </w:r>
          </w:p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 xml:space="preserve">počet vedúcich zamestnancov 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bottom"/>
          </w:tcPr>
          <w:p>
            <w:pPr>
              <w:pStyle w:val="Normal"/>
              <w:spacing w:lineRule="auto" w:line="276" w:before="120" w:after="120"/>
              <w:jc w:val="start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auto" w:line="276" w:before="120" w:after="120"/>
              <w:jc w:val="start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>
        <w:trPr>
          <w:trHeight w:val="78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Organizačná štruktúra účtovnej jednotky: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b/>
                <w:sz w:val="20"/>
              </w:rPr>
            </w:pPr>
            <w:r>
              <w:rPr>
                <w:b/>
                <w:sz w:val="20"/>
              </w:rPr>
            </w:r>
          </w:p>
        </w:tc>
      </w:tr>
      <w:tr>
        <w:trPr>
          <w:trHeight w:val="2018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 xml:space="preserve">rozpočtové organizácie zriadené účtovnou jednotkou </w:t>
            </w:r>
          </w:p>
          <w:p>
            <w:pPr>
              <w:pStyle w:val="Normal"/>
              <w:spacing w:lineRule="auto" w:line="276"/>
              <w:rPr>
                <w:sz w:val="20"/>
              </w:rPr>
            </w:pPr>
            <w:r>
              <w:rPr>
                <w:sz w:val="20"/>
              </w:rPr>
              <w:t>Zariadenie pre seniorov Karita</w:t>
            </w:r>
          </w:p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Základná škola s materskou školou Partizánska Ľupča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>
        <w:trPr>
          <w:trHeight w:val="78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 xml:space="preserve">príspevkové organizácie zriadené účtovnou 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>
        <w:trPr>
          <w:trHeight w:val="80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neziskové organizácie založené/zriadené účtovnou jednotkou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>
        <w:trPr>
          <w:trHeight w:val="78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 xml:space="preserve">právnické osoby založené účtovnou jednotkou 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>
        <w:trPr>
          <w:trHeight w:val="780" w:hRule="atLeast"/>
        </w:trPr>
        <w:tc>
          <w:tcPr>
            <w:tcW w:w="59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cenné papiere a podiely v obchodných spoločnostiach</w:t>
            </w:r>
          </w:p>
        </w:tc>
        <w:tc>
          <w:tcPr>
            <w:tcW w:w="413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 w:val="20"/>
              </w:rPr>
            </w:pPr>
            <w:r>
              <w:rPr>
                <w:sz w:val="20"/>
              </w:rPr>
              <w:t>Liptovská vodárenská spoločnosť a.s.</w:t>
            </w:r>
          </w:p>
        </w:tc>
      </w:tr>
    </w:tbl>
    <w:p>
      <w:pPr>
        <w:pStyle w:val="Normal"/>
        <w:spacing w:lineRule="auto" w:line="276" w:before="360" w:after="240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</w:r>
    </w:p>
    <w:p>
      <w:pPr>
        <w:pStyle w:val="Normal"/>
        <w:spacing w:lineRule="auto" w:line="276" w:before="360" w:after="240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</w:r>
    </w:p>
    <w:p>
      <w:pPr>
        <w:pStyle w:val="Normal"/>
        <w:spacing w:lineRule="auto" w:line="276" w:before="360" w:after="240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</w:r>
    </w:p>
    <w:p>
      <w:pPr>
        <w:pStyle w:val="Normal"/>
        <w:spacing w:lineRule="auto" w:line="276" w:before="360" w:after="240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</w:r>
    </w:p>
    <w:p>
      <w:pPr>
        <w:pStyle w:val="Normal"/>
        <w:spacing w:lineRule="auto" w:line="276" w:before="360" w:after="240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  <w:t xml:space="preserve">Organizačná štruktúra účtovnej jednotky:  </w:t>
      </w:r>
    </w:p>
    <w:p>
      <w:pPr>
        <w:pStyle w:val="NormalWeb"/>
        <w:spacing w:before="280" w:after="280"/>
        <w:rPr/>
      </w:pPr>
      <w:r>
        <w:rPr/>
        <w:drawing>
          <wp:inline distT="0" distB="0" distL="0" distR="0">
            <wp:extent cx="6177915" cy="4190365"/>
            <wp:effectExtent l="0" t="0" r="0" b="0"/>
            <wp:docPr id="1" name="Obrázok 2" descr="C:\Users\mka15642\AppData\Local\Packages\Microsoft.Windows.Photos_8wekyb3d8bbwe\TempState\ShareServiceTempFolder\Snímka obrazovky 2024-03-13 1125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C:\Users\mka15642\AppData\Local\Packages\Microsoft.Windows.Photos_8wekyb3d8bbwe\TempState\ShareServiceTempFolder\Snímka obrazovky 2024-03-13 112515.jpe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7915" cy="4190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76"/>
        <w:rPr>
          <w:rFonts w:cs="Calibri" w:cstheme="minorHAnsi"/>
          <w:b/>
          <w:sz w:val="24"/>
          <w:szCs w:val="24"/>
        </w:rPr>
      </w:pPr>
      <w:r>
        <w:rPr>
          <w:rFonts w:cs="Calibri" w:cstheme="minorHAnsi"/>
          <w:b/>
          <w:sz w:val="24"/>
          <w:szCs w:val="24"/>
        </w:rPr>
      </w:r>
      <w:r>
        <w:br w:type="page"/>
      </w:r>
    </w:p>
    <w:p>
      <w:pPr>
        <w:pStyle w:val="Title"/>
        <w:numPr>
          <w:ilvl w:val="0"/>
          <w:numId w:val="2"/>
        </w:numPr>
        <w:spacing w:lineRule="auto" w:line="276" w:before="0" w:after="240"/>
        <w:ind w:hanging="0" w:start="0"/>
        <w:rPr/>
      </w:pPr>
      <w:r>
        <w:rPr/>
        <w:t xml:space="preserve">Informácie o účtovných zásadách a účtovných metódach </w:t>
      </w:r>
    </w:p>
    <w:p>
      <w:pPr>
        <w:pStyle w:val="Heading1"/>
        <w:numPr>
          <w:ilvl w:val="0"/>
          <w:numId w:val="25"/>
        </w:numPr>
        <w:spacing w:lineRule="auto" w:line="276"/>
        <w:rPr/>
      </w:pPr>
      <w:r>
        <w:rPr/>
        <w:t>Účtovná závierka je zostavená za splnenia predpokladu nepretržitého pokračovania účtovnej jednotky vo svojej činnosti</w:t>
      </w:r>
    </w:p>
    <w:p>
      <w:pPr>
        <w:pStyle w:val="Normal"/>
        <w:spacing w:lineRule="auto" w:line="276"/>
        <w:ind w:firstLine="424" w:start="1700"/>
        <w:rPr>
          <w:rFonts w:cs="Calibri" w:cstheme="minorHAnsi"/>
          <w:b/>
          <w:sz w:val="24"/>
          <w:szCs w:val="24"/>
        </w:rPr>
      </w:pPr>
      <w:r>
        <w:fldChar w:fldCharType="begin">
          <w:ffData>
            <w:name w:val="Bookmark Kópie 6"/>
            <w:enabled/>
            <w:calcOnExit w:val="0"/>
            <w:checkBox>
              <w:sizeAuto/>
              <w:checked/>
            </w:checkBox>
          </w:ffData>
        </w:fldChar>
      </w:r>
      <w:r>
        <w:rPr>
          <w:rFonts w:cs="Calibri"/>
          <w:b/>
          <w:bCs/>
          <w:sz w:val="22"/>
          <w:szCs w:val="22"/>
        </w:rPr>
        <w:instrText xml:space="preserve"> FORMCHECKBOX </w:instrText>
      </w:r>
      <w:r>
        <w:rPr>
          <w:rFonts w:cs="Calibri"/>
          <w:b/>
          <w:bCs/>
          <w:sz w:val="22"/>
          <w:szCs w:val="22"/>
        </w:rPr>
        <w:fldChar w:fldCharType="separate"/>
      </w:r>
      <w:bookmarkStart w:id="21" w:name="Bookmark_Kópie_6"/>
      <w:bookmarkStart w:id="22" w:name="Bookmark_Kópie_6"/>
      <w:bookmarkEnd w:id="22"/>
      <w:r>
        <w:rPr>
          <w:rFonts w:cs="Calibri"/>
          <w:b/>
          <w:bCs/>
          <w:sz w:val="22"/>
          <w:szCs w:val="22"/>
        </w:rPr>
      </w:r>
      <w:r>
        <w:rPr>
          <w:rFonts w:cs="Calibri"/>
          <w:b/>
          <w:bCs/>
          <w:sz w:val="22"/>
          <w:szCs w:val="22"/>
        </w:rPr>
        <w:fldChar w:fldCharType="end"/>
      </w:r>
      <w:bookmarkStart w:id="23" w:name="OLE_LINK4"/>
      <w:bookmarkStart w:id="24" w:name="Bookmark_Kópie_6"/>
      <w:bookmarkEnd w:id="24"/>
      <w:r>
        <w:rPr>
          <w:rFonts w:cs="Calibri" w:cstheme="minorHAnsi"/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7"/>
            <w:enabled/>
            <w:calcOnExit w:val="0"/>
            <w:checkBox>
              <w:sizeAuto/>
            </w:checkBox>
          </w:ffData>
        </w:fldChar>
      </w:r>
      <w:r>
        <w:rPr>
          <w:rFonts w:cs="Calibri"/>
          <w:b/>
          <w:bCs/>
          <w:sz w:val="22"/>
          <w:szCs w:val="22"/>
        </w:rPr>
        <w:instrText xml:space="preserve"> FORMCHECKBOX </w:instrText>
      </w:r>
      <w:r>
        <w:rPr>
          <w:rFonts w:cs="Calibri"/>
          <w:b/>
          <w:bCs/>
          <w:sz w:val="22"/>
          <w:szCs w:val="22"/>
        </w:rPr>
        <w:fldChar w:fldCharType="separate"/>
      </w:r>
      <w:bookmarkStart w:id="25" w:name="Bookmark_Kópie_7"/>
      <w:bookmarkStart w:id="26" w:name="Bookmark_Kópie_7"/>
      <w:bookmarkEnd w:id="26"/>
      <w:r>
        <w:rPr>
          <w:rFonts w:cs="Calibri" w:cstheme="minorHAnsi"/>
          <w:b/>
          <w:bCs/>
          <w:sz w:val="22"/>
          <w:szCs w:val="22"/>
        </w:rPr>
      </w:r>
      <w:r>
        <w:rPr>
          <w:rFonts w:cs="Calibri"/>
          <w:b/>
          <w:bCs/>
          <w:sz w:val="22"/>
          <w:szCs w:val="22"/>
        </w:rPr>
        <w:fldChar w:fldCharType="end"/>
      </w:r>
      <w:bookmarkStart w:id="27" w:name="Bookmark_Kópie_7"/>
      <w:bookmarkEnd w:id="27"/>
      <w:r>
        <w:rPr>
          <w:rFonts w:cs="Calibri" w:cstheme="minorHAnsi"/>
          <w:b/>
          <w:bCs/>
          <w:sz w:val="22"/>
          <w:szCs w:val="22"/>
        </w:rPr>
        <w:t xml:space="preserve">  nie</w:t>
      </w:r>
      <w:bookmarkEnd w:id="23"/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 xml:space="preserve">Zmeny účtovných metód a účtovných zásad </w:t>
      </w:r>
    </w:p>
    <w:p>
      <w:pPr>
        <w:pStyle w:val="Normal"/>
        <w:spacing w:lineRule="auto" w:line="276"/>
        <w:ind w:start="284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  <w:t>Účtovná jednotka zmenila účtovné metódy, účtovné zásady oproti predchádzajúcemu účtovnému obdobiu</w:t>
      </w:r>
    </w:p>
    <w:p>
      <w:pPr>
        <w:pStyle w:val="Normal"/>
        <w:spacing w:lineRule="auto" w:line="276"/>
        <w:ind w:firstLine="424" w:start="1700"/>
        <w:rPr>
          <w:rFonts w:cs="Calibri" w:cstheme="minorHAnsi"/>
          <w:b/>
          <w:sz w:val="24"/>
          <w:szCs w:val="24"/>
        </w:rPr>
      </w:pPr>
      <w:r>
        <w:fldChar w:fldCharType="begin">
          <w:ffData>
            <w:name w:val="Bookmark Kópie 8"/>
            <w:enabled/>
            <w:calcOnExit w:val="0"/>
            <w:checkBox>
              <w:sizeAuto/>
            </w:checkBox>
          </w:ffData>
        </w:fldChar>
      </w:r>
      <w:r>
        <w:rPr>
          <w:rFonts w:cs="Calibri"/>
          <w:b/>
          <w:bCs/>
          <w:sz w:val="22"/>
          <w:szCs w:val="22"/>
        </w:rPr>
        <w:instrText xml:space="preserve"> FORMCHECKBOX </w:instrText>
      </w:r>
      <w:r>
        <w:rPr>
          <w:rFonts w:cs="Calibri"/>
          <w:b/>
          <w:bCs/>
          <w:sz w:val="22"/>
          <w:szCs w:val="22"/>
        </w:rPr>
        <w:fldChar w:fldCharType="separate"/>
      </w:r>
      <w:bookmarkStart w:id="28" w:name="Bookmark_Kópie_8"/>
      <w:bookmarkStart w:id="29" w:name="Bookmark_Kópie_8"/>
      <w:bookmarkEnd w:id="29"/>
      <w:r>
        <w:rPr>
          <w:rFonts w:cs="Calibri"/>
          <w:b/>
          <w:bCs/>
          <w:sz w:val="22"/>
          <w:szCs w:val="22"/>
        </w:rPr>
      </w:r>
      <w:r>
        <w:rPr>
          <w:rFonts w:cs="Calibri"/>
          <w:b/>
          <w:bCs/>
          <w:sz w:val="22"/>
          <w:szCs w:val="22"/>
        </w:rPr>
        <w:fldChar w:fldCharType="end"/>
      </w:r>
      <w:bookmarkStart w:id="30" w:name="Bookmark_Kópie_8"/>
      <w:bookmarkEnd w:id="30"/>
      <w:r>
        <w:rPr>
          <w:rFonts w:cs="Calibri" w:cstheme="minorHAnsi"/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9"/>
            <w:enabled/>
            <w:calcOnExit w:val="0"/>
            <w:checkBox>
              <w:sizeAuto/>
              <w:checked/>
            </w:checkBox>
          </w:ffData>
        </w:fldChar>
      </w:r>
      <w:r>
        <w:rPr>
          <w:rFonts w:cs="Calibri"/>
          <w:b/>
          <w:bCs/>
          <w:sz w:val="22"/>
          <w:szCs w:val="22"/>
        </w:rPr>
        <w:instrText xml:space="preserve"> FORMCHECKBOX </w:instrText>
      </w:r>
      <w:r>
        <w:rPr>
          <w:rFonts w:cs="Calibri"/>
          <w:b/>
          <w:bCs/>
          <w:sz w:val="22"/>
          <w:szCs w:val="22"/>
        </w:rPr>
        <w:fldChar w:fldCharType="separate"/>
      </w:r>
      <w:bookmarkStart w:id="31" w:name="Bookmark_Kópie_9"/>
      <w:bookmarkStart w:id="32" w:name="Bookmark_Kópie_9"/>
      <w:bookmarkEnd w:id="32"/>
      <w:r>
        <w:rPr>
          <w:rFonts w:cs="Calibri" w:cstheme="minorHAnsi"/>
          <w:b/>
          <w:bCs/>
          <w:sz w:val="22"/>
          <w:szCs w:val="22"/>
        </w:rPr>
      </w:r>
      <w:r>
        <w:rPr>
          <w:rFonts w:cs="Calibri"/>
          <w:b/>
          <w:bCs/>
          <w:sz w:val="22"/>
          <w:szCs w:val="22"/>
        </w:rPr>
        <w:fldChar w:fldCharType="end"/>
      </w:r>
      <w:bookmarkStart w:id="33" w:name="Bookmark_Kópie_9"/>
      <w:bookmarkEnd w:id="33"/>
      <w:r>
        <w:rPr>
          <w:rFonts w:cs="Calibri" w:cstheme="minorHAnsi"/>
          <w:b/>
          <w:bCs/>
          <w:sz w:val="22"/>
          <w:szCs w:val="22"/>
        </w:rPr>
        <w:t xml:space="preserve"> nie</w:t>
      </w:r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>Spôsob ocenenia jednotlivých položiek</w:t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5414"/>
        <w:gridCol w:w="4624"/>
      </w:tblGrid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b/>
              </w:rPr>
            </w:pPr>
            <w:r>
              <w:rPr>
                <w:b/>
              </w:rPr>
              <w:t>Položky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nehmotný majetok nakupovaný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obstarávacou cenou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nehmotný majetok vytvorený vlastnou činnosťou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vlastnými nákladmi 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hmotný majetok nakupovaný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obstarávacou cenou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hmotný majetok vytvorený vlastnou činnosťou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vlastnými nákladmi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nehmotný majetok a dlhodobý hmotný majetok získaný bezodplatne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reálnou hodnotou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dlhodobý finančný majetok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obstarávacou cenou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zásoby nakupované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obstarávacou cenou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zásoby vytvorené vlastnou činnosťou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vlastnými nákladmi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zásoby získané bezodplatne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reálnou hodnotou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pohľadávky 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menovitou hodnotou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krátkodobý finančný majetok 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menovitou hodnotou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časové rozlíšenie na strane aktív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záväzky, vrátane dlhopisov, pôžičiek a úverov</w:t>
            </w:r>
          </w:p>
          <w:p>
            <w:pPr>
              <w:pStyle w:val="Normal"/>
              <w:spacing w:lineRule="auto" w:line="276" w:before="120" w:after="120"/>
              <w:rPr/>
            </w:pPr>
            <w:r>
              <w:rPr/>
              <w:t>rezervy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menovitou hodnotou</w:t>
            </w:r>
          </w:p>
          <w:p>
            <w:pPr>
              <w:pStyle w:val="Normal"/>
              <w:spacing w:lineRule="auto" w:line="276" w:before="120" w:after="120"/>
              <w:rPr>
                <w:szCs w:val="24"/>
              </w:rPr>
            </w:pPr>
            <w:r>
              <w:rPr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časové rozlíšenie na strane </w:t>
            </w:r>
            <w:r>
              <w:rPr>
                <w:szCs w:val="24"/>
              </w:rPr>
              <w:t>pasív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Cs w:val="24"/>
              </w:rPr>
            </w:pPr>
            <w:r>
              <w:rPr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 xml:space="preserve">deriváty pri nadobudnutí 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Cs w:val="24"/>
              </w:rPr>
            </w:pPr>
            <w:r>
              <w:rPr>
                <w:szCs w:val="24"/>
              </w:rPr>
              <w:t>reálnou hodnotou</w:t>
            </w:r>
          </w:p>
        </w:tc>
      </w:tr>
      <w:tr>
        <w:trPr/>
        <w:tc>
          <w:tcPr>
            <w:tcW w:w="541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/>
            </w:pPr>
            <w:r>
              <w:rPr/>
              <w:t>majetok a záväzky zabezpečené derivátmi</w:t>
            </w:r>
          </w:p>
        </w:tc>
        <w:tc>
          <w:tcPr>
            <w:tcW w:w="462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szCs w:val="24"/>
              </w:rPr>
            </w:pPr>
            <w:r>
              <w:rPr>
                <w:szCs w:val="24"/>
              </w:rPr>
              <w:t>reálnou hodnotou</w:t>
            </w:r>
          </w:p>
        </w:tc>
      </w:tr>
    </w:tbl>
    <w:p>
      <w:pPr>
        <w:pStyle w:val="Heading1"/>
        <w:numPr>
          <w:ilvl w:val="0"/>
          <w:numId w:val="3"/>
        </w:numPr>
        <w:spacing w:lineRule="auto" w:line="276"/>
        <w:rPr>
          <w:bCs/>
          <w:sz w:val="22"/>
          <w:szCs w:val="22"/>
        </w:rPr>
      </w:pPr>
      <w:r>
        <w:rPr/>
        <w:t>Spôsob zostavenia odpisového plánu pre dlhodobý majetok, doba odpisovania, sadzby odpisov a odpisové metódy pri stanovení účtovných odpisov</w:t>
      </w:r>
    </w:p>
    <w:p>
      <w:pPr>
        <w:pStyle w:val="Normal"/>
        <w:spacing w:lineRule="auto" w:line="276"/>
        <w:rPr/>
      </w:pPr>
      <w:r>
        <w:rPr/>
        <w:t>Predpokladaná doba užívania a odpisové sadzby sú stanovené vnútorným predpisom:</w:t>
      </w:r>
    </w:p>
    <w:tbl>
      <w:tblPr>
        <w:tblW w:w="6804" w:type="dxa"/>
        <w:jc w:val="start"/>
        <w:tblInd w:w="1129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1417"/>
        <w:gridCol w:w="2693"/>
        <w:gridCol w:w="2694"/>
      </w:tblGrid>
      <w:tr>
        <w:trPr/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/>
              <w:t>Odpisová skupina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/>
              <w:t>Predpokladaná doba používania v rokoch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/>
              <w:t>Ročná odpisová sadzba v %</w:t>
            </w:r>
          </w:p>
        </w:tc>
      </w:tr>
      <w:tr>
        <w:trPr>
          <w:trHeight w:val="349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1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4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25,00</w:t>
            </w:r>
          </w:p>
        </w:tc>
      </w:tr>
      <w:tr>
        <w:trPr>
          <w:trHeight w:val="340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2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6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16,67</w:t>
            </w:r>
          </w:p>
        </w:tc>
      </w:tr>
      <w:tr>
        <w:trPr>
          <w:trHeight w:val="340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3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9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11,11</w:t>
            </w:r>
          </w:p>
        </w:tc>
      </w:tr>
      <w:tr>
        <w:trPr>
          <w:trHeight w:val="340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4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15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6,66</w:t>
            </w:r>
          </w:p>
        </w:tc>
      </w:tr>
      <w:tr>
        <w:trPr>
          <w:trHeight w:val="340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5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20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5,00</w:t>
            </w:r>
          </w:p>
        </w:tc>
      </w:tr>
      <w:tr>
        <w:trPr>
          <w:trHeight w:val="340" w:hRule="atLeast"/>
        </w:trPr>
        <w:tc>
          <w:tcPr>
            <w:tcW w:w="141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6</w:t>
            </w:r>
          </w:p>
        </w:tc>
        <w:tc>
          <w:tcPr>
            <w:tcW w:w="269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40</w:t>
            </w:r>
          </w:p>
        </w:tc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/>
            </w:pPr>
            <w:r>
              <w:rPr/>
              <w:t>2,50</w:t>
            </w:r>
          </w:p>
        </w:tc>
      </w:tr>
    </w:tbl>
    <w:p>
      <w:pPr>
        <w:pStyle w:val="Normal"/>
        <w:spacing w:lineRule="auto" w:line="276" w:before="360" w:after="120"/>
        <w:rPr/>
      </w:pPr>
      <w:r>
        <w:rPr/>
      </w:r>
    </w:p>
    <w:p>
      <w:pPr>
        <w:pStyle w:val="Normal"/>
        <w:spacing w:lineRule="auto" w:line="276" w:before="360" w:after="120"/>
        <w:rPr/>
      </w:pPr>
      <w:r>
        <w:rPr/>
        <w:t>Odpisy dlhodobého nehmotného majetku a dlhodobého hmotného majetku sú stanovené tak, že sa vychádza z predpokladanej doby jeho užívania a predpokladaného priebehu jeho opotrebenia. Odpisovať sa začína prvým dňom mesiaca, v ktorom bol dlhodobý majetok uvedený do používania.</w:t>
      </w:r>
    </w:p>
    <w:p>
      <w:pPr>
        <w:pStyle w:val="Normal"/>
        <w:spacing w:lineRule="auto" w:line="276"/>
        <w:rPr/>
      </w:pPr>
      <w:r>
        <w:rPr/>
        <w:t xml:space="preserve">Účtovné odpisy sa zaokrúhľujú na celé eurá nahor. </w:t>
      </w:r>
    </w:p>
    <w:p>
      <w:pPr>
        <w:pStyle w:val="Normal"/>
        <w:spacing w:lineRule="auto" w:line="276"/>
        <w:rPr/>
      </w:pPr>
      <w:r>
        <w:rPr/>
        <w:t>Ak sa v priebehu používania majetku zistí, že doba odpisovania nezodpovedá opotrebeniu majetku, upravia sa odpisy majetku a doba odpisovania od 1.1. nasledujúceho roka.</w:t>
      </w:r>
    </w:p>
    <w:p>
      <w:pPr>
        <w:pStyle w:val="Normal"/>
        <w:spacing w:lineRule="auto" w:line="276"/>
        <w:rPr/>
      </w:pPr>
      <w:r>
        <w:rPr/>
        <w:t xml:space="preserve">Drobný nehmotný majetok do </w:t>
      </w:r>
      <w:r>
        <w:rPr>
          <w:b/>
        </w:rPr>
        <w:t>2.400,00 Eur</w:t>
      </w:r>
      <w:r>
        <w:rPr/>
        <w:t>, ktorý podľa  rozhodnutia účtovnej jednotky nie je dlhodobým nehmotným majetkom, sa účtuje pri obstaraní do nákladov na účet 518 - Ostatné služby.</w:t>
      </w:r>
    </w:p>
    <w:p>
      <w:pPr>
        <w:pStyle w:val="Normal"/>
        <w:spacing w:lineRule="auto" w:line="276"/>
        <w:rPr/>
      </w:pPr>
      <w:r>
        <w:rPr/>
        <w:t xml:space="preserve">Drobný hmotný majetok do </w:t>
      </w:r>
      <w:r>
        <w:rPr>
          <w:b/>
        </w:rPr>
        <w:t>1.700,00 EUR</w:t>
      </w:r>
      <w:r>
        <w:rPr/>
        <w:t xml:space="preserve"> sa pri obstaraní účtuje do spotreby na účet 501 – analytická evidencia a zároveň sa vedie v operatívnej evidencii drobného hmotného majetku podľa inventárnych čísel a jednotlivých stredísk a číselníkov útvarov. </w:t>
      </w:r>
      <w:r>
        <w:rPr>
          <w:u w:val="single"/>
        </w:rPr>
        <w:t>Majetok nad 1.700,00 EUR sa zaraďuje do dlhodobého hmotného majetku</w:t>
      </w:r>
      <w:r>
        <w:rPr/>
        <w:t>.</w:t>
      </w:r>
    </w:p>
    <w:p>
      <w:pPr>
        <w:pStyle w:val="Heading1"/>
        <w:numPr>
          <w:ilvl w:val="0"/>
          <w:numId w:val="3"/>
        </w:numPr>
        <w:spacing w:lineRule="auto" w:line="276"/>
        <w:rPr>
          <w:rFonts w:ascii="Calibri" w:hAnsi="Calibri" w:cs="Calibri" w:asciiTheme="minorHAnsi" w:cstheme="minorHAnsi" w:hAnsiTheme="minorHAnsi"/>
          <w:szCs w:val="24"/>
        </w:rPr>
      </w:pPr>
      <w:r>
        <w:rPr/>
        <w:t>Zásady pre zohľadnenie zníženia hodnoty majetku</w:t>
      </w:r>
    </w:p>
    <w:p>
      <w:pPr>
        <w:pStyle w:val="Normal"/>
        <w:spacing w:lineRule="auto" w:line="276"/>
        <w:rPr/>
      </w:pPr>
      <w:r>
        <w:rPr/>
        <w:t xml:space="preserve">Prechodné zníženie hodnoty majetku sa vyjadruje </w:t>
      </w:r>
      <w:r>
        <w:rPr>
          <w:u w:val="single"/>
        </w:rPr>
        <w:t>opravnou položkou</w:t>
      </w:r>
      <w:r>
        <w:rPr/>
        <w:t xml:space="preserve">. </w:t>
      </w:r>
    </w:p>
    <w:p>
      <w:pPr>
        <w:pStyle w:val="Normal"/>
        <w:spacing w:lineRule="auto" w:line="276"/>
        <w:rPr/>
      </w:pPr>
      <w:r>
        <w:rPr/>
        <w:t xml:space="preserve">Účtovná jednotka tvorila opravné položky k 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/>
        <w:t>odpisovanému dlhodobému majetku</w:t>
        <w:tab/>
        <w:tab/>
        <w:tab/>
        <w:tab/>
      </w:r>
      <w:r>
        <w:fldChar w:fldCharType="begin">
          <w:ffData>
            <w:name w:val="Bookmark Kópie 10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34" w:name="Bookmark_Kópie_10"/>
      <w:bookmarkStart w:id="35" w:name="Bookmark_Kópie_10"/>
      <w:bookmarkEnd w:id="35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36" w:name="Bookmark_Kópie_10"/>
      <w:bookmarkEnd w:id="36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11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37" w:name="Bookmark_Kópie_11"/>
      <w:bookmarkStart w:id="38" w:name="Bookmark_Kópie_11"/>
      <w:bookmarkEnd w:id="38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39" w:name="Bookmark_Kópie_11"/>
      <w:bookmarkEnd w:id="39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/>
        <w:t>neodpisovanému dlhodobému majetku</w:t>
      </w:r>
      <w:r>
        <w:rPr>
          <w:b/>
          <w:bCs/>
          <w:sz w:val="22"/>
          <w:szCs w:val="22"/>
        </w:rPr>
        <w:tab/>
        <w:tab/>
        <w:tab/>
        <w:tab/>
      </w:r>
      <w:r>
        <w:fldChar w:fldCharType="begin">
          <w:ffData>
            <w:name w:val="Bookmark Kópie 12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40" w:name="Bookmark_Kópie_12"/>
      <w:bookmarkStart w:id="41" w:name="Bookmark_Kópie_12"/>
      <w:bookmarkEnd w:id="41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42" w:name="Bookmark_Kópie_12"/>
      <w:bookmarkEnd w:id="42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13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43" w:name="Bookmark_Kópie_13"/>
      <w:bookmarkStart w:id="44" w:name="Bookmark_Kópie_13"/>
      <w:bookmarkEnd w:id="44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45" w:name="Bookmark_Kópie_13"/>
      <w:bookmarkEnd w:id="45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>
          <w:bCs/>
        </w:rPr>
        <w:t>nedokončeným investíciám</w:t>
      </w:r>
      <w:r>
        <w:rPr>
          <w:b/>
          <w:bCs/>
        </w:rPr>
        <w:tab/>
        <w:tab/>
        <w:tab/>
        <w:tab/>
        <w:tab/>
      </w:r>
      <w:r>
        <w:fldChar w:fldCharType="begin">
          <w:ffData>
            <w:name w:val="Bookmark Kópie 14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46" w:name="Bookmark_Kópie_14"/>
      <w:bookmarkStart w:id="47" w:name="Bookmark_Kópie_14"/>
      <w:bookmarkEnd w:id="47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48" w:name="Bookmark_Kópie_14"/>
      <w:bookmarkEnd w:id="48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15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49" w:name="Bookmark_Kópie_15"/>
      <w:bookmarkStart w:id="50" w:name="Bookmark_Kópie_15"/>
      <w:bookmarkEnd w:id="50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51" w:name="Bookmark_Kópie_15"/>
      <w:bookmarkEnd w:id="51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>
          <w:bCs/>
        </w:rPr>
        <w:t>dlhodobému finančnému majetku</w:t>
        <w:tab/>
        <w:tab/>
        <w:tab/>
        <w:tab/>
      </w:r>
      <w:r>
        <w:fldChar w:fldCharType="begin">
          <w:ffData>
            <w:name w:val="Bookmark Kópie 16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52" w:name="Bookmark_Kópie_16"/>
      <w:bookmarkStart w:id="53" w:name="Bookmark_Kópie_16"/>
      <w:bookmarkEnd w:id="53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54" w:name="Bookmark_Kópie_16"/>
      <w:bookmarkEnd w:id="54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17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55" w:name="Bookmark_Kópie_17"/>
      <w:bookmarkStart w:id="56" w:name="Bookmark_Kópie_17"/>
      <w:bookmarkEnd w:id="56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57" w:name="Bookmark_Kópie_17"/>
      <w:bookmarkEnd w:id="57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>
          <w:bCs/>
        </w:rPr>
        <w:t>zásobám</w:t>
        <w:tab/>
        <w:tab/>
        <w:tab/>
        <w:tab/>
        <w:tab/>
        <w:tab/>
        <w:tab/>
      </w:r>
      <w:r>
        <w:fldChar w:fldCharType="begin">
          <w:ffData>
            <w:name w:val="Bookmark Kópie 18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58" w:name="Bookmark_Kópie_18"/>
      <w:bookmarkStart w:id="59" w:name="Bookmark_Kópie_18"/>
      <w:bookmarkEnd w:id="59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60" w:name="Bookmark_Kópie_18"/>
      <w:bookmarkEnd w:id="60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19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61" w:name="Bookmark_Kópie_19"/>
      <w:bookmarkStart w:id="62" w:name="Bookmark_Kópie_19"/>
      <w:bookmarkEnd w:id="62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63" w:name="Bookmark_Kópie_19"/>
      <w:bookmarkEnd w:id="63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numPr>
          <w:ilvl w:val="0"/>
          <w:numId w:val="4"/>
        </w:numPr>
        <w:spacing w:lineRule="auto" w:line="276"/>
        <w:rPr>
          <w:b/>
        </w:rPr>
      </w:pPr>
      <w:r>
        <w:rPr>
          <w:bCs/>
        </w:rPr>
        <w:t>pohľadávkam</w:t>
        <w:tab/>
        <w:tab/>
        <w:tab/>
        <w:tab/>
        <w:tab/>
        <w:tab/>
        <w:tab/>
      </w:r>
      <w:r>
        <w:fldChar w:fldCharType="begin">
          <w:ffData>
            <w:name w:val="Bookmark Kópie 20"/>
            <w:enabled/>
            <w:calcOnExit w:val="0"/>
            <w:checkBox>
              <w:sizeAuto/>
              <w:checked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64" w:name="Bookmark_Kópie_20"/>
      <w:bookmarkStart w:id="65" w:name="Bookmark_Kópie_20"/>
      <w:bookmarkEnd w:id="65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66" w:name="Bookmark_Kópie_20"/>
      <w:bookmarkEnd w:id="66"/>
      <w:r>
        <w:rPr>
          <w:b/>
          <w:bCs/>
          <w:sz w:val="22"/>
          <w:szCs w:val="22"/>
        </w:rPr>
        <w:t xml:space="preserve">  áno</w:t>
        <w:tab/>
        <w:tab/>
      </w:r>
      <w:r>
        <w:fldChar w:fldCharType="begin">
          <w:ffData>
            <w:name w:val="Bookmark Kópie 21"/>
            <w:enabled/>
            <w:calcOnExit w:val="0"/>
            <w:checkBox>
              <w:sizeAuto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  <w:fldChar w:fldCharType="separate"/>
      </w:r>
      <w:bookmarkStart w:id="67" w:name="Bookmark_Kópie_21"/>
      <w:bookmarkStart w:id="68" w:name="Bookmark_Kópie_21"/>
      <w:bookmarkEnd w:id="68"/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end"/>
      </w:r>
      <w:bookmarkStart w:id="69" w:name="Bookmark_Kópie_21"/>
      <w:bookmarkEnd w:id="69"/>
      <w:r>
        <w:rPr>
          <w:b/>
          <w:bCs/>
          <w:sz w:val="22"/>
          <w:szCs w:val="22"/>
        </w:rPr>
        <w:t xml:space="preserve">  nie</w:t>
      </w:r>
    </w:p>
    <w:p>
      <w:pPr>
        <w:pStyle w:val="ListParagraph"/>
        <w:spacing w:lineRule="auto" w:line="276"/>
        <w:rPr>
          <w:b/>
        </w:rPr>
      </w:pPr>
      <w:r>
        <w:rPr>
          <w:b/>
        </w:rPr>
      </w:r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>Zásady pre vykazovanie transferov</w:t>
      </w:r>
    </w:p>
    <w:p>
      <w:pPr>
        <w:pStyle w:val="Normal"/>
        <w:spacing w:lineRule="auto" w:line="276"/>
        <w:rPr>
          <w:rFonts w:cs="Calibri" w:cstheme="minorHAnsi"/>
          <w:sz w:val="24"/>
          <w:szCs w:val="24"/>
        </w:rPr>
      </w:pPr>
      <w:r>
        <w:rPr/>
        <w:t>O nároku na dotácie zo štátneho rozpočtu sa účtuje, ak je takmer isté, že sa splnia všetky podmienky súvisiace s dotáciou a súčasne, že sa dotácia poskytne</w:t>
      </w:r>
      <w:r>
        <w:rPr>
          <w:rFonts w:cs="Calibri" w:cstheme="minorHAnsi"/>
          <w:sz w:val="24"/>
          <w:szCs w:val="24"/>
        </w:rPr>
        <w:t>.</w:t>
      </w:r>
    </w:p>
    <w:p>
      <w:pPr>
        <w:pStyle w:val="Normal"/>
        <w:spacing w:lineRule="auto" w:line="276"/>
        <w:rPr/>
      </w:pPr>
      <w:r>
        <w:rPr/>
        <w:t>Bežný transfer: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/>
        <w:t xml:space="preserve">prijatý od </w:t>
      </w:r>
      <w:r>
        <w:rPr>
          <w:u w:val="single"/>
        </w:rPr>
        <w:t>cudzích subjektov</w:t>
      </w:r>
      <w:r>
        <w:rPr/>
        <w:t xml:space="preserve"> - sa zúčtuje do výnosov vo vecnej a časovej súvislosti s nákladmi,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/>
        <w:t xml:space="preserve">prijatý od </w:t>
      </w:r>
      <w:r>
        <w:rPr>
          <w:u w:val="single"/>
        </w:rPr>
        <w:t>zriaďovateľa</w:t>
      </w:r>
      <w:r>
        <w:rPr/>
        <w:t xml:space="preserve"> - sa zúčtuje do výnosov vo vecnej a časovej súvislosti s výdavkami,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/>
        <w:t xml:space="preserve">poskytnutý </w:t>
      </w:r>
      <w:r>
        <w:rPr>
          <w:u w:val="single"/>
        </w:rPr>
        <w:t>cudzím subjektom</w:t>
      </w:r>
      <w:r>
        <w:rPr/>
        <w:t xml:space="preserve"> - sa zúčtuje do nákladov po splnení podmienok,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/>
        <w:t xml:space="preserve">poskytnutý </w:t>
      </w:r>
      <w:r>
        <w:rPr>
          <w:u w:val="single"/>
        </w:rPr>
        <w:t>vlastným subjektom</w:t>
      </w:r>
      <w:r>
        <w:rPr/>
        <w:t xml:space="preserve"> - sa zúčtuje do nákladov pri poskytnutí transferu.</w:t>
      </w:r>
    </w:p>
    <w:p>
      <w:pPr>
        <w:pStyle w:val="ListParagraph"/>
        <w:spacing w:lineRule="auto" w:line="276"/>
        <w:rPr/>
      </w:pPr>
      <w:r>
        <w:rPr/>
      </w:r>
    </w:p>
    <w:p>
      <w:pPr>
        <w:pStyle w:val="Normal"/>
        <w:spacing w:lineRule="auto" w:line="276"/>
        <w:rPr/>
      </w:pPr>
      <w:r>
        <w:rPr/>
        <w:t>Kapitálový transfer: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>
          <w:u w:val="single"/>
        </w:rPr>
        <w:t>prijatý od cudzích subjektov</w:t>
      </w:r>
      <w:r>
        <w:rPr/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>
          <w:u w:val="single"/>
        </w:rPr>
        <w:t>poskytnutý cudzím subjektom</w:t>
      </w:r>
      <w:r>
        <w:rPr/>
        <w:t xml:space="preserve"> - sa zúčtuje do nákladov po splnení podmienok. </w:t>
      </w:r>
    </w:p>
    <w:p>
      <w:pPr>
        <w:pStyle w:val="ListParagraph"/>
        <w:numPr>
          <w:ilvl w:val="0"/>
          <w:numId w:val="5"/>
        </w:numPr>
        <w:spacing w:lineRule="auto" w:line="276"/>
        <w:rPr/>
      </w:pPr>
      <w:r>
        <w:rPr>
          <w:u w:val="single"/>
        </w:rPr>
        <w:t>poskytnutý vlastným subjektom</w:t>
      </w:r>
      <w:r>
        <w:rPr/>
        <w:t xml:space="preserve"> - sa  zúčtuje do nákladov vo vecnej a časovej súvislosti s nákladmi účtovanými v organizáciách v zriaďovateľskej pôsobnosti obce/mesta. </w:t>
      </w:r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>Spôsob prepočtu údajov v cudzích menách na menu euro</w:t>
      </w:r>
    </w:p>
    <w:p>
      <w:pPr>
        <w:pStyle w:val="Normal"/>
        <w:rPr/>
      </w:pPr>
      <w:r>
        <w:rPr/>
        <w:t xml:space="preserve">                </w:t>
      </w:r>
      <w:r>
        <w:rPr/>
        <w:t>Účtovanie údajov v cudzích menách nebolo predmetom účtovania.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2"/>
        </w:numPr>
        <w:spacing w:lineRule="auto" w:line="276"/>
        <w:ind w:hanging="0" w:start="0"/>
        <w:rPr/>
      </w:pPr>
      <w:r>
        <w:rPr/>
        <w:t>Informácie o údajoch na strane aktív súvahy</w:t>
      </w:r>
    </w:p>
    <w:p>
      <w:pPr>
        <w:pStyle w:val="Heading1"/>
        <w:numPr>
          <w:ilvl w:val="0"/>
          <w:numId w:val="26"/>
        </w:numPr>
        <w:spacing w:lineRule="auto" w:line="276"/>
        <w:rPr/>
      </w:pPr>
      <w:r>
        <w:rPr/>
        <w:t>Neobežný majetok</w:t>
      </w:r>
    </w:p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 xml:space="preserve">Dlhodobý nehmotný majetok a dlhodobý hmotný majetok </w:t>
      </w:r>
    </w:p>
    <w:p>
      <w:pPr>
        <w:pStyle w:val="ListParagraph"/>
        <w:numPr>
          <w:ilvl w:val="0"/>
          <w:numId w:val="6"/>
        </w:numPr>
        <w:spacing w:lineRule="auto" w:line="276" w:before="240" w:after="120"/>
        <w:ind w:hanging="357" w:start="714"/>
        <w:contextualSpacing w:val="false"/>
        <w:rPr>
          <w:u w:val="single"/>
        </w:rPr>
      </w:pPr>
      <w:r>
        <w:rPr>
          <w:u w:val="single"/>
        </w:rPr>
        <w:t>prehľad o pohybe dlhodobého nehmotného majetku (tabuľka č.1)</w:t>
      </w:r>
    </w:p>
    <w:p>
      <w:pPr>
        <w:pStyle w:val="ListParagraph"/>
        <w:spacing w:lineRule="auto" w:line="276"/>
        <w:ind w:start="360"/>
        <w:rPr/>
      </w:pPr>
      <w:r>
        <w:rPr/>
        <w:t xml:space="preserve">        </w:t>
      </w:r>
      <w:r>
        <w:rPr/>
        <w:t>Nebol vykázaný pohyb v dlhodobom nehmotnom majetku.</w:t>
      </w:r>
    </w:p>
    <w:p>
      <w:pPr>
        <w:pStyle w:val="ListParagraph"/>
        <w:numPr>
          <w:ilvl w:val="0"/>
          <w:numId w:val="6"/>
        </w:numPr>
        <w:spacing w:lineRule="auto" w:line="276" w:before="240" w:after="120"/>
        <w:ind w:hanging="357" w:start="714"/>
        <w:contextualSpacing w:val="false"/>
        <w:rPr>
          <w:b/>
          <w:u w:val="single"/>
        </w:rPr>
      </w:pPr>
      <w:r>
        <w:rPr>
          <w:u w:val="single"/>
        </w:rPr>
        <w:t>prehľad o pohybe dlhodobého hmotného majetku (tabuľka č.1) :</w:t>
      </w:r>
    </w:p>
    <w:p>
      <w:pPr>
        <w:pStyle w:val="ListParagraph"/>
        <w:numPr>
          <w:ilvl w:val="0"/>
          <w:numId w:val="16"/>
        </w:numPr>
        <w:spacing w:lineRule="auto" w:line="276"/>
        <w:rPr/>
      </w:pPr>
      <w:r>
        <w:rPr/>
        <w:t xml:space="preserve">Vykázaný prírastok na účte 021  v sume 169 564,72 vznikol zaradením hmotného majetku do užívania(rekonštrukcia Bannícky dom 19028,68 , rekonštrukcia Mlyn 62399,37 €, autobusová zastávka 5153,98 €, vodozádržné opatrenia 58746,99 €, zvýšenie kapacity MŠ a ZŠ 8434,51 € a </w:t>
      </w:r>
      <w:r>
        <w:rPr/>
        <w:t xml:space="preserve">rekonštrukcia </w:t>
      </w:r>
      <w:r>
        <w:rPr/>
        <w:t xml:space="preserve">ZPS Charita 15801,19 € </w:t>
      </w:r>
    </w:p>
    <w:p>
      <w:pPr>
        <w:pStyle w:val="ListParagraph"/>
        <w:numPr>
          <w:ilvl w:val="0"/>
          <w:numId w:val="16"/>
        </w:numPr>
        <w:spacing w:lineRule="auto" w:line="276"/>
        <w:rPr/>
      </w:pPr>
      <w:r>
        <w:rPr/>
        <w:t>Vykázaný úbytok na účte 021 v sume 590257,61 € vznikol zo zverením majetku do správy ZS v sume 574456,42 a do správy ZPS Charita v sume 15801,19 €</w:t>
      </w:r>
    </w:p>
    <w:p>
      <w:pPr>
        <w:pStyle w:val="ListParagraph"/>
        <w:numPr>
          <w:ilvl w:val="0"/>
          <w:numId w:val="16"/>
        </w:numPr>
        <w:spacing w:lineRule="auto" w:line="276"/>
        <w:rPr/>
      </w:pPr>
      <w:r>
        <w:rPr/>
        <w:t xml:space="preserve">vykázaný prírastok na účte 022 v sume </w:t>
      </w:r>
      <w:r>
        <w:rPr/>
        <w:t>102182,80</w:t>
      </w:r>
      <w:r>
        <w:rPr/>
        <w:t xml:space="preserve"> EUR vznikol zaradením hmotného majetku do užívania (</w:t>
      </w:r>
      <w:r>
        <w:rPr/>
        <w:t>nákup stroja 1500 EUR, sadové úpravy 10133,05 EUR, rekonštrukcia VO vo výške 72136,65 €, zaradenie športového oválu 18413,10 EUR</w:t>
      </w:r>
      <w:r>
        <w:rPr/>
        <w:t>).</w:t>
      </w:r>
    </w:p>
    <w:p>
      <w:pPr>
        <w:pStyle w:val="ListParagraph"/>
        <w:numPr>
          <w:ilvl w:val="0"/>
          <w:numId w:val="16"/>
        </w:numPr>
        <w:spacing w:lineRule="auto" w:line="276"/>
        <w:rPr/>
      </w:pPr>
      <w:r>
        <w:rPr/>
        <w:t xml:space="preserve">vykázaný prírastok na účte 023 v sume </w:t>
      </w:r>
      <w:r>
        <w:rPr/>
        <w:t>40109,00</w:t>
      </w:r>
      <w:r>
        <w:rPr/>
        <w:t xml:space="preserve"> EUR vznikol zaradením dopr. prostriedkov do užívania </w:t>
      </w:r>
      <w:r>
        <w:rPr/>
        <w:t xml:space="preserve">vozík 14359,00, auto Land Rover 25750,00 € </w:t>
      </w:r>
    </w:p>
    <w:p>
      <w:pPr>
        <w:pStyle w:val="ListParagraph"/>
        <w:numPr>
          <w:ilvl w:val="0"/>
          <w:numId w:val="16"/>
        </w:numPr>
        <w:spacing w:lineRule="auto" w:line="276"/>
        <w:rPr/>
      </w:pPr>
      <w:r>
        <w:rPr/>
        <w:t>vykázaný úbytok na účte 023 v sume 10619,88 € vznikol vyradením dopravných prostiedkov</w:t>
      </w:r>
    </w:p>
    <w:p>
      <w:pPr>
        <w:pStyle w:val="ListParagraph"/>
        <w:numPr>
          <w:ilvl w:val="0"/>
          <w:numId w:val="15"/>
        </w:numPr>
        <w:spacing w:lineRule="auto" w:line="276"/>
        <w:rPr/>
      </w:pPr>
      <w:r>
        <w:rPr/>
        <w:t xml:space="preserve">na účte 042 Obstaranie DHM bol na strane MD prírastok v sume </w:t>
      </w:r>
      <w:r>
        <w:rPr/>
        <w:t>1443519,28</w:t>
      </w:r>
      <w:r>
        <w:rPr/>
        <w:t xml:space="preserve">,00 EUR a na strane DAL </w:t>
      </w:r>
      <w:r>
        <w:rPr/>
        <w:t>271747,52</w:t>
      </w:r>
      <w:r>
        <w:rPr/>
        <w:t xml:space="preserve">EUR /zaradenie DHM počas roka/. Ku koncu roka bol zostatok na účte 042 v sume </w:t>
      </w:r>
      <w:r>
        <w:rPr/>
        <w:t>1380035,73</w:t>
      </w:r>
      <w:r>
        <w:rPr/>
        <w:t xml:space="preserve"> EUR. </w:t>
      </w:r>
      <w:r>
        <w:rPr/>
        <w:t>Najväčšiu položku tvorí obstaranie nájomných bytových domov v sume 1099430,18 €.</w:t>
      </w:r>
    </w:p>
    <w:p>
      <w:pPr>
        <w:pStyle w:val="ListParagraph"/>
        <w:spacing w:lineRule="auto" w:line="276"/>
        <w:rPr/>
      </w:pPr>
      <w:r>
        <w:rPr/>
      </w:r>
    </w:p>
    <w:p>
      <w:pPr>
        <w:pStyle w:val="ListParagraph"/>
        <w:numPr>
          <w:ilvl w:val="0"/>
          <w:numId w:val="6"/>
        </w:numPr>
        <w:spacing w:before="0" w:after="0"/>
        <w:contextualSpacing/>
        <w:jc w:val="start"/>
        <w:rPr/>
      </w:pPr>
      <w:r>
        <w:rPr/>
        <w:t xml:space="preserve">spôsob a výška poistenia  dlhodobého hmotného majetku </w:t>
      </w:r>
    </w:p>
    <w:tbl>
      <w:tblPr>
        <w:tblW w:w="9805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3287"/>
        <w:gridCol w:w="2837"/>
        <w:gridCol w:w="1983"/>
        <w:gridCol w:w="1698"/>
      </w:tblGrid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 xml:space="preserve">Druh poisteného majetku 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Spôsob poistenia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Poistná suma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Poistné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Obecný úrad s. č. 417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496 457,00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365,09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Kultúrny dom s. č. 88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1 763 173,00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1 737,59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12 bytová jednotka s. č. 422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561 215,00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409,69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Zariadenie pre seniorov Karita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1 115 936,00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902,12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Základná škola s materskou školou s. č 419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1 406 000,00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1 136,61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Dom smútku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50 000,00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39,34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Požiarna zbrojnica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480 176,00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473,16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Dom s. č. 3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30 000,00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21,90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Zberný dvor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266 965,00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194,88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Rodinný dom č. 4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30 000,00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21,90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Dopravné prostriedky-autá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Povinné zmluvné poistenie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-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1 600,73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Rodinný dom č. 4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55 000,00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32,17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Rodinný dom č. 366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55 000,00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33,55 EUR</w:t>
            </w:r>
          </w:p>
        </w:tc>
      </w:tr>
      <w:tr>
        <w:trPr>
          <w:trHeight w:val="227" w:hRule="atLeast"/>
        </w:trPr>
        <w:tc>
          <w:tcPr>
            <w:tcW w:w="32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Detské ihrisko</w:t>
            </w:r>
          </w:p>
        </w:tc>
        <w:tc>
          <w:tcPr>
            <w:tcW w:w="283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poškodenie živlom, krádež</w:t>
            </w:r>
          </w:p>
        </w:tc>
        <w:tc>
          <w:tcPr>
            <w:tcW w:w="198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10 500,00 EUR</w:t>
            </w:r>
          </w:p>
        </w:tc>
        <w:tc>
          <w:tcPr>
            <w:tcW w:w="169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178,50 EUR</w:t>
            </w:r>
          </w:p>
        </w:tc>
      </w:tr>
    </w:tbl>
    <w:p>
      <w:pPr>
        <w:pStyle w:val="Normal"/>
        <w:rPr>
          <w:sz w:val="12"/>
        </w:rPr>
      </w:pPr>
      <w:r>
        <w:rPr>
          <w:sz w:val="12"/>
        </w:rPr>
      </w:r>
    </w:p>
    <w:p>
      <w:pPr>
        <w:pStyle w:val="ListParagraph"/>
        <w:numPr>
          <w:ilvl w:val="0"/>
          <w:numId w:val="6"/>
        </w:numPr>
        <w:spacing w:lineRule="auto" w:line="276" w:before="480" w:after="120"/>
        <w:ind w:hanging="357" w:start="714"/>
        <w:contextualSpacing w:val="false"/>
        <w:rPr>
          <w:b/>
        </w:rPr>
      </w:pPr>
      <w:r>
        <w:rPr/>
        <w:t>zriadenie záložného práva na dlhodobý nehmotný majetok a dlhodobý hmotný majetok alebo obmedzenie práva nakladať s dlhodobým majetkom</w:t>
      </w:r>
    </w:p>
    <w:p>
      <w:pPr>
        <w:pStyle w:val="ListParagraph"/>
        <w:spacing w:lineRule="auto" w:line="276" w:before="480" w:after="120"/>
        <w:ind w:start="714"/>
        <w:contextualSpacing w:val="false"/>
        <w:rPr>
          <w:b/>
        </w:rPr>
      </w:pPr>
      <w:r>
        <w:rPr>
          <w:b/>
        </w:rPr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3259"/>
        <w:gridCol w:w="3007"/>
        <w:gridCol w:w="1276"/>
        <w:gridCol w:w="2496"/>
      </w:tblGrid>
      <w:tr>
        <w:trPr/>
        <w:tc>
          <w:tcPr>
            <w:tcW w:w="32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30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>
        <w:trPr/>
        <w:tc>
          <w:tcPr>
            <w:tcW w:w="32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bookmarkStart w:id="70" w:name="OLE_LINK13"/>
            <w:bookmarkStart w:id="71" w:name="OLE_LINK14"/>
            <w:bookmarkStart w:id="72" w:name="OLE_LINK15"/>
            <w:r>
              <w:rPr/>
              <w:t>Nájomný bytový dom súpisné číslo 422</w:t>
            </w:r>
            <w:bookmarkStart w:id="73" w:name="OLE_LINK24"/>
            <w:bookmarkStart w:id="74" w:name="OLE_LINK25"/>
            <w:bookmarkStart w:id="75" w:name="OLE_LINK26"/>
            <w:bookmarkEnd w:id="70"/>
            <w:bookmarkEnd w:id="71"/>
            <w:bookmarkEnd w:id="72"/>
            <w:r>
              <w:rPr/>
              <w:t xml:space="preserve"> na základe Záložnej zmluvy zo dňa 10.3.2008</w:t>
            </w:r>
            <w:bookmarkEnd w:id="73"/>
            <w:bookmarkEnd w:id="74"/>
            <w:bookmarkEnd w:id="75"/>
            <w:r>
              <w:rPr/>
              <w:t>.</w:t>
            </w:r>
          </w:p>
        </w:tc>
        <w:tc>
          <w:tcPr>
            <w:tcW w:w="30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bookmarkStart w:id="76" w:name="OLE_LINK16"/>
            <w:bookmarkStart w:id="77" w:name="OLE_LINK17"/>
            <w:bookmarkStart w:id="78" w:name="OLE_LINK18"/>
            <w:r>
              <w:rPr/>
              <w:t>Záložné právo na nehnuteľnosť</w:t>
            </w:r>
            <w:bookmarkEnd w:id="76"/>
            <w:bookmarkEnd w:id="77"/>
            <w:bookmarkEnd w:id="78"/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MINISTERSTVO VÝSTAVBY A REGIONÁLNEHO ROZVOJA SR,</w:t>
            </w:r>
          </w:p>
        </w:tc>
      </w:tr>
      <w:tr>
        <w:trPr/>
        <w:tc>
          <w:tcPr>
            <w:tcW w:w="32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Nájomný bytový dom súpisné číslo 422</w:t>
            </w:r>
          </w:p>
        </w:tc>
        <w:tc>
          <w:tcPr>
            <w:tcW w:w="30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Záložné právo na nehnuteľnosť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470 050,75</w:t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bookmarkStart w:id="79" w:name="OLE_LINK30"/>
            <w:bookmarkStart w:id="80" w:name="OLE_LINK31"/>
            <w:bookmarkStart w:id="81" w:name="OLE_LINK32"/>
            <w:r>
              <w:rPr/>
              <w:t>ŠFRB</w:t>
            </w:r>
            <w:bookmarkEnd w:id="79"/>
            <w:bookmarkEnd w:id="80"/>
            <w:bookmarkEnd w:id="81"/>
          </w:p>
        </w:tc>
      </w:tr>
      <w:tr>
        <w:trPr/>
        <w:tc>
          <w:tcPr>
            <w:tcW w:w="32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Zariadenie pre seniorov KARITA v Partizánskej Ľupči súpisné číslo 84 na základe Záložnej zmluvy zo dňa 1.12.2015.</w:t>
            </w:r>
          </w:p>
        </w:tc>
        <w:tc>
          <w:tcPr>
            <w:tcW w:w="300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pozemky registra C KN parcelné čísla 1222, 1223, 1224/1, 1224/3, 1225/2, 1225/3, stavbu so súpisným číslom 84 na pozemku registra C KN s parcelným číslom 1222, v podiele 1/1 na základe zmluvy o zriadení záložného práva číslo: 500/895/2014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</w:r>
          </w:p>
        </w:tc>
        <w:tc>
          <w:tcPr>
            <w:tcW w:w="249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rPr/>
            </w:pPr>
            <w:r>
              <w:rPr/>
              <w:t>ŠFRB</w:t>
            </w:r>
          </w:p>
        </w:tc>
      </w:tr>
    </w:tbl>
    <w:p>
      <w:pPr>
        <w:pStyle w:val="ListParagraph"/>
        <w:numPr>
          <w:ilvl w:val="0"/>
          <w:numId w:val="6"/>
        </w:numPr>
        <w:spacing w:lineRule="auto" w:line="276" w:before="240" w:after="120"/>
        <w:ind w:hanging="357" w:start="714"/>
        <w:contextualSpacing w:val="false"/>
        <w:rPr/>
      </w:pPr>
      <w:r>
        <w:rPr/>
        <w:t xml:space="preserve">opis a hodnota dlhodobého majetku vo vlastníctve účtovnej jednotky alebo v správe účtovnej jednotky </w:t>
      </w:r>
    </w:p>
    <w:tbl>
      <w:tblPr>
        <w:tblW w:w="10100" w:type="dxa"/>
        <w:jc w:val="start"/>
        <w:tblInd w:w="-14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6188"/>
        <w:gridCol w:w="3912"/>
      </w:tblGrid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 xml:space="preserve">Majetok, </w:t>
            </w:r>
          </w:p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szCs w:val="21"/>
              </w:rPr>
              <w:t>ku ktorému</w:t>
            </w:r>
            <w:r>
              <w:rPr>
                <w:rFonts w:cs="Calibri" w:cstheme="minorHAnsi"/>
                <w:b/>
                <w:szCs w:val="21"/>
              </w:rPr>
              <w:t xml:space="preserve"> má</w:t>
            </w:r>
            <w:r>
              <w:rPr>
                <w:rFonts w:cs="Calibri" w:cstheme="minorHAnsi"/>
                <w:szCs w:val="21"/>
              </w:rPr>
              <w:t xml:space="preserve"> účtovná jednotka vlastnícke právo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 xml:space="preserve">Suma 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Pozemky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505 663,52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Budovy, stavby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1932633,59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Stroje, prístroje, zariadenia, drobný DM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181217,29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 xml:space="preserve">Dopravné prostriedky 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89833,61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Umelecké diela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11 749,98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Software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2102,32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Drobný dlhodobý nehmotný majetok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Ostatný dlhodobý nehmotný majetok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8555,48</w:t>
            </w:r>
          </w:p>
        </w:tc>
      </w:tr>
      <w:tr>
        <w:trPr/>
        <w:tc>
          <w:tcPr>
            <w:tcW w:w="61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Drobný dlhodobý hm. majetok</w:t>
            </w:r>
          </w:p>
        </w:tc>
        <w:tc>
          <w:tcPr>
            <w:tcW w:w="391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</w:t>
            </w:r>
          </w:p>
        </w:tc>
      </w:tr>
    </w:tbl>
    <w:p>
      <w:pPr>
        <w:pStyle w:val="Normal"/>
        <w:spacing w:lineRule="auto" w:line="276" w:before="240" w:after="120"/>
        <w:rPr>
          <w:b/>
          <w:sz w:val="2"/>
        </w:rPr>
      </w:pPr>
      <w:r>
        <w:rPr>
          <w:b/>
          <w:sz w:val="2"/>
        </w:rPr>
      </w:r>
    </w:p>
    <w:tbl>
      <w:tblPr>
        <w:tblW w:w="10138" w:type="dxa"/>
        <w:jc w:val="start"/>
        <w:tblInd w:w="-26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4988"/>
        <w:gridCol w:w="5150"/>
      </w:tblGrid>
      <w:tr>
        <w:trPr>
          <w:trHeight w:val="300" w:hRule="atLeast"/>
        </w:trPr>
        <w:tc>
          <w:tcPr>
            <w:tcW w:w="49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Majetok obce v správe rozpočtových organizácií:</w:t>
            </w:r>
          </w:p>
        </w:tc>
        <w:tc>
          <w:tcPr>
            <w:tcW w:w="515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1917494,89</w:t>
            </w:r>
          </w:p>
        </w:tc>
      </w:tr>
    </w:tbl>
    <w:p>
      <w:pPr>
        <w:pStyle w:val="ListParagraph"/>
        <w:numPr>
          <w:ilvl w:val="0"/>
          <w:numId w:val="6"/>
        </w:numPr>
        <w:spacing w:lineRule="auto" w:line="276" w:before="240" w:after="120"/>
        <w:ind w:hanging="357" w:start="714"/>
        <w:contextualSpacing w:val="false"/>
        <w:rPr>
          <w:b/>
        </w:rPr>
      </w:pPr>
      <w:r>
        <w:rPr/>
        <w:t>opis a hodnota majetku, ku ktorému účtovná jednotka nemá vlastnícke právo</w:t>
      </w:r>
    </w:p>
    <w:p>
      <w:pPr>
        <w:pStyle w:val="ListParagraph"/>
        <w:spacing w:lineRule="auto" w:line="276" w:before="240" w:after="120"/>
        <w:ind w:start="792"/>
        <w:contextualSpacing w:val="false"/>
        <w:rPr>
          <w:b/>
        </w:rPr>
      </w:pPr>
      <w:r>
        <w:rPr/>
        <w:t xml:space="preserve">Obec neeviduje majetok, ku ktorému nemá vlastnícke právo. </w:t>
      </w:r>
    </w:p>
    <w:p>
      <w:pPr>
        <w:pStyle w:val="ListParagraph"/>
        <w:numPr>
          <w:ilvl w:val="0"/>
          <w:numId w:val="6"/>
        </w:numPr>
        <w:spacing w:lineRule="auto" w:line="276" w:before="240" w:after="120"/>
        <w:ind w:hanging="357" w:start="714"/>
        <w:contextualSpacing w:val="false"/>
        <w:rPr/>
      </w:pPr>
      <w:r>
        <w:rPr/>
        <w:t>opis dôvodov zvýšenia, zníženia a zrušenia opravných položiek k dlhodobému nehmotnému majetku a dlhodobému hmotnému majetku.</w:t>
      </w:r>
    </w:p>
    <w:p>
      <w:pPr>
        <w:pStyle w:val="ListParagraph"/>
        <w:spacing w:lineRule="auto" w:line="276"/>
        <w:ind w:start="360"/>
        <w:rPr>
          <w:bCs/>
          <w:szCs w:val="21"/>
        </w:rPr>
      </w:pPr>
      <w:r>
        <w:rPr>
          <w:b/>
          <w:bCs/>
          <w:szCs w:val="21"/>
        </w:rPr>
        <w:t xml:space="preserve">Opravné položky boli vytvorené k účtom 042AE – </w:t>
      </w:r>
      <w:r>
        <w:rPr>
          <w:bCs/>
          <w:szCs w:val="21"/>
        </w:rPr>
        <w:t>obstaranie DHM z dôvodu prechodného zníženia hodnoty DHM – konkrétne vo výške 5% hodnoty DHM, nakoľko na projektoch sa dočasne nepracuje. Jedná sa o projekty:</w:t>
      </w:r>
    </w:p>
    <w:p>
      <w:pPr>
        <w:pStyle w:val="ListParagraph"/>
        <w:spacing w:lineRule="auto" w:line="276"/>
        <w:ind w:start="360"/>
        <w:rPr>
          <w:bCs/>
          <w:szCs w:val="21"/>
        </w:rPr>
      </w:pPr>
      <w:r>
        <w:rPr>
          <w:bCs/>
          <w:szCs w:val="21"/>
        </w:rPr>
        <w:t>042013 – kanalizácia a ČOV –</w:t>
      </w:r>
    </w:p>
    <w:p>
      <w:pPr>
        <w:pStyle w:val="ListParagraph"/>
        <w:spacing w:lineRule="auto" w:line="276"/>
        <w:ind w:start="360"/>
        <w:rPr>
          <w:bCs/>
          <w:szCs w:val="21"/>
        </w:rPr>
      </w:pPr>
      <w:r>
        <w:rPr>
          <w:bCs/>
          <w:szCs w:val="21"/>
        </w:rPr>
        <w:t xml:space="preserve">042015 – zberný dvor - </w:t>
      </w:r>
    </w:p>
    <w:p>
      <w:pPr>
        <w:pStyle w:val="ListParagraph"/>
        <w:spacing w:lineRule="auto" w:line="276"/>
        <w:ind w:start="360"/>
        <w:rPr>
          <w:bCs/>
          <w:szCs w:val="21"/>
        </w:rPr>
      </w:pPr>
      <w:r>
        <w:rPr>
          <w:bCs/>
          <w:szCs w:val="21"/>
        </w:rPr>
        <w:t xml:space="preserve">042022 – banícky dom – </w:t>
      </w:r>
    </w:p>
    <w:p>
      <w:pPr>
        <w:pStyle w:val="ListParagraph"/>
        <w:spacing w:lineRule="auto" w:line="276"/>
        <w:ind w:start="360"/>
        <w:rPr>
          <w:bCs/>
          <w:szCs w:val="21"/>
        </w:rPr>
      </w:pPr>
      <w:r>
        <w:rPr>
          <w:bCs/>
          <w:szCs w:val="21"/>
        </w:rPr>
        <w:t xml:space="preserve">042025 – obecné múzeum - </w:t>
      </w:r>
    </w:p>
    <w:p>
      <w:pPr>
        <w:pStyle w:val="ListParagraph"/>
        <w:spacing w:lineRule="auto" w:line="276"/>
        <w:ind w:start="360"/>
        <w:rPr>
          <w:szCs w:val="21"/>
        </w:rPr>
      </w:pPr>
      <w:r>
        <w:rPr>
          <w:bCs/>
          <w:szCs w:val="21"/>
        </w:rPr>
        <w:t xml:space="preserve">042027 – telocvičňa - </w:t>
      </w:r>
    </w:p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 xml:space="preserve">Dlhodobý finančný majetok </w:t>
      </w:r>
    </w:p>
    <w:p>
      <w:pPr>
        <w:pStyle w:val="Normal"/>
        <w:spacing w:lineRule="auto" w:line="276" w:before="240" w:after="120"/>
        <w:ind w:start="360"/>
        <w:rPr>
          <w:b/>
        </w:rPr>
      </w:pPr>
      <w:r>
        <w:rPr/>
        <w:t>Prehľad o pohybe dlhodobého finančného majetku- tabuľka č.1</w:t>
      </w:r>
    </w:p>
    <w:p>
      <w:pPr>
        <w:pStyle w:val="Normal"/>
        <w:spacing w:lineRule="auto" w:line="276" w:before="240" w:after="120"/>
        <w:rPr/>
      </w:pPr>
      <w:r>
        <w:rPr/>
        <w:t xml:space="preserve">        </w:t>
      </w:r>
      <w:r>
        <w:rPr/>
        <w:t xml:space="preserve">Obec v roku 2024 nemala žiadny pohyb dlhodobého finančného majetku. </w:t>
      </w:r>
    </w:p>
    <w:p>
      <w:pPr>
        <w:pStyle w:val="Heading1"/>
        <w:numPr>
          <w:ilvl w:val="0"/>
          <w:numId w:val="0"/>
        </w:numPr>
        <w:spacing w:lineRule="auto" w:line="276"/>
        <w:ind w:hanging="0" w:start="1429"/>
        <w:rPr/>
      </w:pPr>
      <w:r>
        <w:rPr/>
        <w:t xml:space="preserve">Majetkové podiely účtovnej jednotky v iných spoločnostiach </w:t>
      </w:r>
    </w:p>
    <w:p>
      <w:pPr>
        <w:pStyle w:val="Normal"/>
        <w:spacing w:lineRule="auto" w:line="276"/>
        <w:rPr/>
      </w:pPr>
      <w:r>
        <w:rPr/>
        <w:t xml:space="preserve">Účtovná jednotka nemá majetkový podiel (riadky 025 až 026 súvahy): </w:t>
      </w:r>
    </w:p>
    <w:p>
      <w:pPr>
        <w:pStyle w:val="Heading1"/>
        <w:numPr>
          <w:ilvl w:val="0"/>
          <w:numId w:val="0"/>
        </w:numPr>
        <w:spacing w:lineRule="auto" w:line="276"/>
        <w:ind w:hanging="0" w:start="709"/>
        <w:rPr/>
      </w:pPr>
      <w:r>
        <w:rPr/>
        <w:t xml:space="preserve">Dlhové cenné papiere a realizovateľné cenné papiere, dlhodobé pôžičky a ostatný dlhodobý finančný majetok </w:t>
      </w:r>
    </w:p>
    <w:p>
      <w:pPr>
        <w:pStyle w:val="ListParagraph"/>
        <w:numPr>
          <w:ilvl w:val="0"/>
          <w:numId w:val="7"/>
        </w:numPr>
        <w:spacing w:lineRule="auto" w:line="276" w:before="240" w:after="120"/>
        <w:contextualSpacing w:val="false"/>
        <w:rPr>
          <w:b/>
        </w:rPr>
      </w:pPr>
      <w:r>
        <w:rPr/>
        <w:t xml:space="preserve">dlhové cenné papiere držané do splatnosti a realizovateľné cenné papiere (riadky 027 až 028 súvahy):  </w:t>
      </w:r>
    </w:p>
    <w:tbl>
      <w:tblPr>
        <w:tblW w:w="1003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1888"/>
        <w:gridCol w:w="1362"/>
        <w:gridCol w:w="1138"/>
        <w:gridCol w:w="787"/>
        <w:gridCol w:w="1313"/>
        <w:gridCol w:w="1750"/>
        <w:gridCol w:w="1800"/>
      </w:tblGrid>
      <w:tr>
        <w:trPr/>
        <w:tc>
          <w:tcPr>
            <w:tcW w:w="1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Názov emitenta</w:t>
            </w:r>
          </w:p>
        </w:tc>
        <w:tc>
          <w:tcPr>
            <w:tcW w:w="13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Druh cenného papiera/počet</w:t>
            </w:r>
          </w:p>
        </w:tc>
        <w:tc>
          <w:tcPr>
            <w:tcW w:w="11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Mena cenného papiera</w:t>
            </w:r>
          </w:p>
        </w:tc>
        <w:tc>
          <w:tcPr>
            <w:tcW w:w="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Výnos v %</w:t>
            </w:r>
          </w:p>
        </w:tc>
        <w:tc>
          <w:tcPr>
            <w:tcW w:w="13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Dátum splatnosti</w:t>
            </w:r>
          </w:p>
        </w:tc>
        <w:tc>
          <w:tcPr>
            <w:tcW w:w="17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Účtovná hodnota vykázaná v súvahe účtovnej jednotky k 31.12.2025</w:t>
            </w:r>
          </w:p>
        </w:tc>
        <w:tc>
          <w:tcPr>
            <w:tcW w:w="18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 xml:space="preserve">Účtovná hodnota vykázaná v súvahe účtovnej jednotky </w:t>
            </w:r>
          </w:p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k 31.12. 2024</w:t>
            </w:r>
          </w:p>
        </w:tc>
      </w:tr>
      <w:tr>
        <w:trPr>
          <w:trHeight w:val="381" w:hRule="atLeast"/>
        </w:trPr>
        <w:tc>
          <w:tcPr>
            <w:tcW w:w="1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 xml:space="preserve">Liptovská vodárenská spoločnosť a. s. </w:t>
            </w:r>
          </w:p>
        </w:tc>
        <w:tc>
          <w:tcPr>
            <w:tcW w:w="136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 xml:space="preserve">Akcie/10 404 </w:t>
            </w:r>
          </w:p>
        </w:tc>
        <w:tc>
          <w:tcPr>
            <w:tcW w:w="113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EUR</w:t>
            </w:r>
          </w:p>
        </w:tc>
        <w:tc>
          <w:tcPr>
            <w:tcW w:w="78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0</w:t>
            </w:r>
          </w:p>
        </w:tc>
        <w:tc>
          <w:tcPr>
            <w:tcW w:w="13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17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highlight w:val="yellow"/>
              </w:rPr>
            </w:pPr>
            <w:r>
              <w:rPr>
                <w:rFonts w:cs="Calibri" w:cstheme="minorHAnsi"/>
              </w:rPr>
              <w:t>345 412,80</w:t>
            </w:r>
          </w:p>
        </w:tc>
        <w:tc>
          <w:tcPr>
            <w:tcW w:w="18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highlight w:val="yellow"/>
              </w:rPr>
            </w:pPr>
            <w:r>
              <w:rPr>
                <w:rFonts w:cs="Calibri" w:cstheme="minorHAnsi"/>
              </w:rPr>
              <w:t>345 412,80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76" w:before="240" w:after="120"/>
        <w:contextualSpacing w:val="false"/>
        <w:rPr/>
      </w:pPr>
      <w:r>
        <w:rPr/>
        <w:t>dlhodobé pôžičky (riadky 029 až 030 súvahy):</w:t>
      </w:r>
    </w:p>
    <w:p>
      <w:pPr>
        <w:pStyle w:val="Normal"/>
        <w:spacing w:lineRule="auto" w:line="276" w:before="240" w:after="120"/>
        <w:rPr/>
      </w:pPr>
      <w:r>
        <w:rPr/>
        <w:t xml:space="preserve">               </w:t>
      </w:r>
      <w:r>
        <w:rPr/>
        <w:t>Obec nemá žiadny dlhodobé pôžičky.</w:t>
      </w:r>
    </w:p>
    <w:p>
      <w:pPr>
        <w:pStyle w:val="ListParagraph"/>
        <w:numPr>
          <w:ilvl w:val="0"/>
          <w:numId w:val="7"/>
        </w:numPr>
        <w:spacing w:lineRule="auto" w:line="276" w:before="240" w:after="120"/>
        <w:contextualSpacing w:val="false"/>
        <w:rPr>
          <w:b/>
        </w:rPr>
      </w:pPr>
      <w:r>
        <w:rPr/>
        <w:t>významné položky ostatného dlhodobého finančného majetku (riadok 031 súvahy):</w:t>
      </w:r>
    </w:p>
    <w:p>
      <w:pPr>
        <w:pStyle w:val="Normal"/>
        <w:spacing w:lineRule="auto" w:line="276" w:before="240" w:after="120"/>
        <w:rPr>
          <w:b/>
        </w:rPr>
      </w:pPr>
      <w:r>
        <w:rPr/>
        <w:t xml:space="preserve">              </w:t>
      </w:r>
      <w:r>
        <w:rPr/>
        <w:t>Obec nemá žiadny dlhodobý finančný majetok.</w:t>
      </w:r>
    </w:p>
    <w:p>
      <w:pPr>
        <w:pStyle w:val="Heading1"/>
        <w:numPr>
          <w:ilvl w:val="0"/>
          <w:numId w:val="3"/>
        </w:numPr>
        <w:spacing w:lineRule="auto" w:line="276"/>
        <w:ind w:hanging="357" w:start="714"/>
        <w:rPr/>
      </w:pPr>
      <w:r>
        <w:rPr/>
        <w:t xml:space="preserve">Obežný majetok </w:t>
      </w:r>
    </w:p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>Zásoby</w:t>
      </w:r>
    </w:p>
    <w:p>
      <w:pPr>
        <w:pStyle w:val="Normal"/>
        <w:ind w:start="709"/>
        <w:rPr/>
      </w:pPr>
      <w:r>
        <w:rPr/>
        <w:t xml:space="preserve">Na SÚ 112 obec eviduje zostatok vo výške </w:t>
      </w:r>
      <w:r>
        <w:rPr/>
        <w:t>16210,43</w:t>
      </w:r>
      <w:r>
        <w:rPr/>
        <w:t xml:space="preserve"> EUR, čo predstavujú zásoby zberných nádob na plasty a kuka nádob na odpad vo výške </w:t>
      </w:r>
      <w:r>
        <w:rPr/>
        <w:t xml:space="preserve">756,48 </w:t>
      </w:r>
      <w:r>
        <w:rPr/>
        <w:t xml:space="preserve">EUR a zostatok PHM v nádržiach áut v sume </w:t>
      </w:r>
      <w:r>
        <w:rPr/>
        <w:t>400,84</w:t>
      </w:r>
      <w:r>
        <w:rPr/>
        <w:t xml:space="preserve"> EUR, zásoby – knihy, prezenty vo výške 1651,00 EUR, zásoby peliet vo výške </w:t>
      </w:r>
      <w:r>
        <w:rPr/>
        <w:t>15453,95</w:t>
      </w:r>
      <w:r>
        <w:rPr/>
        <w:t xml:space="preserve"> EUR .</w:t>
      </w:r>
    </w:p>
    <w:p>
      <w:pPr>
        <w:pStyle w:val="ListParagraph"/>
        <w:numPr>
          <w:ilvl w:val="0"/>
          <w:numId w:val="8"/>
        </w:numPr>
        <w:spacing w:lineRule="auto" w:line="276" w:before="240" w:after="120"/>
        <w:contextualSpacing w:val="false"/>
        <w:rPr/>
      </w:pPr>
      <w:r>
        <w:rPr/>
        <w:t>vývoj opravnej položky k zásobám:  Obec nevytvára opravné položky k zásobám.</w:t>
      </w:r>
    </w:p>
    <w:p>
      <w:pPr>
        <w:pStyle w:val="ListParagraph"/>
        <w:numPr>
          <w:ilvl w:val="0"/>
          <w:numId w:val="8"/>
        </w:numPr>
        <w:spacing w:lineRule="auto" w:line="276" w:before="240" w:after="120"/>
        <w:contextualSpacing w:val="false"/>
        <w:rPr>
          <w:b/>
        </w:rPr>
      </w:pPr>
      <w:r>
        <w:rPr/>
        <w:t xml:space="preserve">zásoby, na ktoré je zriadené záložné právo a výška zásob, pri ktorých má účtovná jednotka obmedzené právo s nimi nakladať :  Obec nemá zriadené záložné právo k zásobám. </w:t>
      </w:r>
    </w:p>
    <w:p>
      <w:pPr>
        <w:pStyle w:val="ListParagraph"/>
        <w:numPr>
          <w:ilvl w:val="0"/>
          <w:numId w:val="8"/>
        </w:numPr>
        <w:spacing w:lineRule="auto" w:line="276" w:before="240" w:after="120"/>
        <w:contextualSpacing w:val="false"/>
        <w:rPr>
          <w:b/>
        </w:rPr>
      </w:pPr>
      <w:r>
        <w:rPr/>
        <w:t>spôsob a výška poistenia zásob:   Obec nemá poistené zásoby.</w:t>
      </w:r>
    </w:p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>Pohľadávky</w:t>
      </w:r>
    </w:p>
    <w:p>
      <w:pPr>
        <w:pStyle w:val="ListParagraph"/>
        <w:numPr>
          <w:ilvl w:val="0"/>
          <w:numId w:val="9"/>
        </w:numPr>
        <w:spacing w:lineRule="auto" w:line="276" w:before="240" w:after="120"/>
        <w:contextualSpacing w:val="false"/>
        <w:rPr>
          <w:rFonts w:cs="Calibri" w:cstheme="minorHAnsi"/>
          <w:szCs w:val="24"/>
        </w:rPr>
      </w:pPr>
      <w:r>
        <w:rPr/>
        <w:t>opis</w:t>
      </w:r>
      <w:r>
        <w:rPr>
          <w:rFonts w:cs="Calibri" w:cstheme="minorHAnsi"/>
          <w:szCs w:val="24"/>
        </w:rPr>
        <w:t xml:space="preserve"> </w:t>
      </w:r>
      <w:r>
        <w:rPr/>
        <w:t>významných pohľadávok podľa jednotlivých položiek súvahy</w:t>
      </w:r>
      <w:r>
        <w:rPr>
          <w:rFonts w:cs="Calibri" w:cstheme="minorHAnsi"/>
          <w:szCs w:val="24"/>
        </w:rPr>
        <w:t xml:space="preserve"> </w:t>
      </w:r>
    </w:p>
    <w:tbl>
      <w:tblPr>
        <w:tblW w:w="9924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2694"/>
        <w:gridCol w:w="1608"/>
        <w:gridCol w:w="2359"/>
        <w:gridCol w:w="3263"/>
      </w:tblGrid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>Pohľadávky</w:t>
            </w:r>
          </w:p>
        </w:tc>
        <w:tc>
          <w:tcPr>
            <w:tcW w:w="16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>Riadok súvahy</w:t>
            </w:r>
          </w:p>
        </w:tc>
        <w:tc>
          <w:tcPr>
            <w:tcW w:w="23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 xml:space="preserve">Hodnota pohľadávok </w:t>
            </w:r>
          </w:p>
        </w:tc>
        <w:tc>
          <w:tcPr>
            <w:tcW w:w="32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Cs w:val="21"/>
              </w:rPr>
            </w:pPr>
            <w:r>
              <w:rPr>
                <w:rFonts w:cs="Calibri" w:cstheme="minorHAnsi"/>
                <w:b/>
                <w:szCs w:val="21"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Ostatné (315)</w:t>
            </w:r>
          </w:p>
        </w:tc>
        <w:tc>
          <w:tcPr>
            <w:tcW w:w="16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065</w:t>
            </w:r>
          </w:p>
        </w:tc>
        <w:tc>
          <w:tcPr>
            <w:tcW w:w="23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14471,95</w:t>
            </w:r>
          </w:p>
        </w:tc>
        <w:tc>
          <w:tcPr>
            <w:tcW w:w="32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Úhrada sociálnej služby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Nedaňové (318)</w:t>
            </w:r>
          </w:p>
        </w:tc>
        <w:tc>
          <w:tcPr>
            <w:tcW w:w="16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068</w:t>
            </w:r>
          </w:p>
        </w:tc>
        <w:tc>
          <w:tcPr>
            <w:tcW w:w="23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12921,64</w:t>
            </w:r>
          </w:p>
          <w:p>
            <w:pPr>
              <w:pStyle w:val="Normal"/>
              <w:spacing w:lineRule="auto" w:line="276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1473,05</w:t>
            </w:r>
          </w:p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1928,92</w:t>
            </w:r>
          </w:p>
        </w:tc>
        <w:tc>
          <w:tcPr>
            <w:tcW w:w="32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Poplatok za TKO</w:t>
            </w:r>
          </w:p>
          <w:p>
            <w:pPr>
              <w:pStyle w:val="Normal"/>
              <w:spacing w:lineRule="auto" w:line="276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Nájom za pozemky L.K.Servis  s.r.o.</w:t>
            </w:r>
          </w:p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 xml:space="preserve">Ostatné nedoplatky 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Daňové (319)</w:t>
            </w:r>
          </w:p>
        </w:tc>
        <w:tc>
          <w:tcPr>
            <w:tcW w:w="16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069</w:t>
            </w:r>
          </w:p>
        </w:tc>
        <w:tc>
          <w:tcPr>
            <w:tcW w:w="23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13535,56</w:t>
            </w:r>
          </w:p>
        </w:tc>
        <w:tc>
          <w:tcPr>
            <w:tcW w:w="32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Dane z nehnuteľností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bookmarkStart w:id="82" w:name="OLE_LINK40"/>
            <w:r>
              <w:rPr>
                <w:rFonts w:cs="Calibri" w:cstheme="minorHAnsi"/>
                <w:szCs w:val="21"/>
              </w:rPr>
              <w:t>Iné pohľadávky (378)</w:t>
            </w:r>
            <w:bookmarkEnd w:id="82"/>
          </w:p>
        </w:tc>
        <w:tc>
          <w:tcPr>
            <w:tcW w:w="160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081</w:t>
            </w:r>
          </w:p>
        </w:tc>
        <w:tc>
          <w:tcPr>
            <w:tcW w:w="235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</w:t>
            </w:r>
          </w:p>
        </w:tc>
        <w:tc>
          <w:tcPr>
            <w:tcW w:w="32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Cs w:val="21"/>
              </w:rPr>
            </w:pPr>
            <w:bookmarkStart w:id="83" w:name="OLE_LINK47"/>
            <w:bookmarkStart w:id="84" w:name="OLE_LINK48"/>
            <w:r>
              <w:rPr>
                <w:rFonts w:cs="Calibri" w:cstheme="minorHAnsi"/>
                <w:szCs w:val="21"/>
              </w:rPr>
              <w:t xml:space="preserve">Pohľadávky z nájmu </w:t>
            </w:r>
            <w:bookmarkEnd w:id="83"/>
            <w:bookmarkEnd w:id="84"/>
            <w:r>
              <w:rPr>
                <w:rFonts w:cs="Calibri" w:cstheme="minorHAnsi"/>
                <w:szCs w:val="21"/>
              </w:rPr>
              <w:t>12 BJ</w:t>
            </w:r>
            <w:bookmarkStart w:id="85" w:name="_Hlk3405305"/>
            <w:bookmarkStart w:id="86" w:name="_Hlk3405347"/>
            <w:bookmarkEnd w:id="85"/>
            <w:bookmarkEnd w:id="86"/>
          </w:p>
        </w:tc>
      </w:tr>
    </w:tbl>
    <w:p>
      <w:pPr>
        <w:pStyle w:val="ListParagraph"/>
        <w:numPr>
          <w:ilvl w:val="0"/>
          <w:numId w:val="9"/>
        </w:numPr>
        <w:spacing w:lineRule="auto" w:line="276" w:before="240" w:after="120"/>
        <w:contextualSpacing w:val="false"/>
        <w:rPr/>
      </w:pPr>
      <w:r>
        <w:rPr/>
        <w:t xml:space="preserve">vývoj opravnej položky k pohľadávkam:  Obec tvorila opravné položky k daňovým pohľadávkam a to v sume 2 577,00EUR.  </w:t>
      </w:r>
    </w:p>
    <w:p>
      <w:pPr>
        <w:pStyle w:val="ListParagraph"/>
        <w:numPr>
          <w:ilvl w:val="0"/>
          <w:numId w:val="9"/>
        </w:numPr>
        <w:spacing w:lineRule="auto" w:line="276" w:before="240" w:after="120"/>
        <w:contextualSpacing w:val="false"/>
        <w:rPr>
          <w:b/>
        </w:rPr>
      </w:pPr>
      <w:r>
        <w:rPr/>
        <w:t>pohľadávky podľa doby splatnosti (riadky 048 a 060 súvahy) - tabuľka č.4</w:t>
      </w:r>
    </w:p>
    <w:p>
      <w:pPr>
        <w:pStyle w:val="Normal"/>
        <w:spacing w:lineRule="auto" w:line="276"/>
        <w:rPr/>
      </w:pPr>
      <w:r>
        <w:rPr/>
        <w:t xml:space="preserve">             </w:t>
      </w:r>
      <w:r>
        <w:rPr/>
        <w:t>Pohľadávkami v lehote splatnosti sú pohľadávky vo výške 53 654,52 EUR</w:t>
      </w:r>
    </w:p>
    <w:p>
      <w:pPr>
        <w:pStyle w:val="Normal"/>
        <w:spacing w:lineRule="auto" w:line="276"/>
        <w:rPr/>
      </w:pPr>
      <w:r>
        <w:rPr/>
      </w:r>
    </w:p>
    <w:tbl>
      <w:tblPr>
        <w:tblW w:w="993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395"/>
        <w:gridCol w:w="2943"/>
        <w:gridCol w:w="2600"/>
      </w:tblGrid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>
                <w:rFonts w:cs="Calibri" w:cstheme="minorHAnsi"/>
                <w:b/>
                <w:szCs w:val="21"/>
              </w:rPr>
              <w:t>Pohľadávky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>
                <w:rFonts w:cs="Calibri" w:cstheme="minorHAnsi"/>
                <w:b/>
                <w:szCs w:val="21"/>
              </w:rPr>
              <w:t>Zostatok k 31.12.2024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/>
            </w:pPr>
            <w:r>
              <w:rPr>
                <w:rFonts w:cs="Calibri" w:cstheme="minorHAnsi"/>
                <w:b/>
                <w:szCs w:val="21"/>
              </w:rPr>
              <w:t>Zostatok k 31.12.202</w:t>
            </w:r>
            <w:r>
              <w:rPr>
                <w:rFonts w:cs="Calibri" w:cstheme="minorHAnsi"/>
                <w:b/>
                <w:szCs w:val="21"/>
              </w:rPr>
              <w:t>5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start"/>
              <w:rPr/>
            </w:pPr>
            <w:r>
              <w:rPr>
                <w:rFonts w:cs="Calibri" w:cstheme="minorHAnsi"/>
                <w:b/>
                <w:szCs w:val="21"/>
              </w:rPr>
              <w:t xml:space="preserve">Dlhodobé pohľadávky z toho: 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b/>
                <w:szCs w:val="21"/>
              </w:rPr>
              <w:t>0,00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b/>
                <w:szCs w:val="21"/>
              </w:rPr>
              <w:t>22678,53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>pohľadávky voči zamestnancom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0,00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284,26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 xml:space="preserve">ostatné pohľadávky 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0,00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21649,85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start"/>
              <w:rPr/>
            </w:pPr>
            <w:r>
              <w:rPr>
                <w:rFonts w:cs="Calibri" w:cstheme="minorHAnsi"/>
                <w:b/>
                <w:szCs w:val="21"/>
              </w:rPr>
              <w:t xml:space="preserve">Krátkodobé pohľadávky z toho: 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b/>
                <w:szCs w:val="21"/>
              </w:rPr>
              <w:t>53 654,52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b/>
                <w:szCs w:val="21"/>
              </w:rPr>
              <w:t>33187,76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>pohľadávky z daňových príjmov – 319 AE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14 361,14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bookmarkStart w:id="87" w:name="_Hlk3405672"/>
            <w:bookmarkEnd w:id="87"/>
            <w:r>
              <w:rPr>
                <w:rFonts w:cs="Calibri" w:cstheme="minorHAnsi"/>
                <w:szCs w:val="21"/>
              </w:rPr>
              <w:t>13535,56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>pohľadávky z nedaňových príjmov – 318 AE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18 657,20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center" w:pos="922" w:leader="none"/>
                <w:tab w:val="right" w:pos="1844" w:leader="none"/>
              </w:tabs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7648,09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>ostatné pohľadávky - 315 AE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19 791,29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0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tabs>
                <w:tab w:val="clear" w:pos="708"/>
              </w:tabs>
              <w:spacing w:lineRule="auto" w:line="276" w:before="120" w:after="120"/>
              <w:ind w:hanging="142" w:start="214"/>
              <w:jc w:val="start"/>
              <w:rPr/>
            </w:pPr>
            <w:r>
              <w:rPr>
                <w:rFonts w:cs="Calibri" w:cstheme="minorHAnsi"/>
                <w:szCs w:val="21"/>
              </w:rPr>
              <w:t>Iné pohľadávky – 3</w:t>
            </w:r>
            <w:r>
              <w:rPr>
                <w:rFonts w:cs="Calibri" w:cstheme="minorHAnsi"/>
                <w:szCs w:val="21"/>
              </w:rPr>
              <w:t>45,378</w:t>
            </w:r>
            <w:r>
              <w:rPr>
                <w:rFonts w:cs="Calibri" w:cstheme="minorHAnsi"/>
                <w:szCs w:val="21"/>
              </w:rPr>
              <w:t xml:space="preserve"> 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844,89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3,36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start"/>
              <w:rPr/>
            </w:pPr>
            <w:r>
              <w:rPr>
                <w:rFonts w:cs="Calibri" w:cstheme="minorHAnsi"/>
                <w:szCs w:val="21"/>
              </w:rPr>
              <w:t>Poskytnuté preddavky - 314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0,00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/>
            </w:pPr>
            <w:r>
              <w:rPr>
                <w:rFonts w:cs="Calibri" w:cstheme="minorHAnsi"/>
                <w:szCs w:val="21"/>
              </w:rPr>
              <w:t>439,85</w:t>
            </w:r>
          </w:p>
        </w:tc>
      </w:tr>
      <w:tr>
        <w:trPr/>
        <w:tc>
          <w:tcPr>
            <w:tcW w:w="439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start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Spojovací účet pri združení 396</w:t>
            </w:r>
          </w:p>
        </w:tc>
        <w:tc>
          <w:tcPr>
            <w:tcW w:w="294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r>
              <w:rPr>
                <w:rFonts w:cs="Calibri" w:cstheme="minorHAnsi"/>
                <w:szCs w:val="21"/>
              </w:rPr>
              <w:t>0</w:t>
            </w:r>
          </w:p>
        </w:tc>
        <w:tc>
          <w:tcPr>
            <w:tcW w:w="26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szCs w:val="21"/>
              </w:rPr>
            </w:pPr>
            <w:bookmarkStart w:id="88" w:name="OLE_LINK10"/>
            <w:bookmarkStart w:id="89" w:name="OLE_LINK11"/>
            <w:bookmarkStart w:id="90" w:name="OLE_LINK12"/>
            <w:bookmarkEnd w:id="88"/>
            <w:bookmarkEnd w:id="89"/>
            <w:bookmarkEnd w:id="90"/>
            <w:r>
              <w:rPr>
                <w:rFonts w:cs="Calibri" w:cstheme="minorHAnsi"/>
                <w:szCs w:val="21"/>
              </w:rPr>
              <w:t>11560,9</w:t>
            </w:r>
          </w:p>
        </w:tc>
      </w:tr>
    </w:tbl>
    <w:p>
      <w:pPr>
        <w:pStyle w:val="ListParagraph"/>
        <w:numPr>
          <w:ilvl w:val="0"/>
          <w:numId w:val="9"/>
        </w:numPr>
        <w:spacing w:lineRule="auto" w:line="276" w:before="240" w:after="120"/>
        <w:contextualSpacing w:val="false"/>
        <w:rPr>
          <w:b/>
        </w:rPr>
      </w:pPr>
      <w:r>
        <w:rPr/>
        <w:t>pohľadávky, na ktoré sa zriadilo záložné právo a výška pohľadávok, pri ktorých má účtovná jednotka obmedzené právo s nimi nakladať</w:t>
      </w:r>
    </w:p>
    <w:tbl>
      <w:tblPr>
        <w:tblW w:w="993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6869"/>
        <w:gridCol w:w="3069"/>
      </w:tblGrid>
      <w:tr>
        <w:trPr/>
        <w:tc>
          <w:tcPr>
            <w:tcW w:w="68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 xml:space="preserve">Druh pohľadávok </w:t>
            </w:r>
          </w:p>
        </w:tc>
        <w:tc>
          <w:tcPr>
            <w:tcW w:w="30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Hodnota pohľadávok</w:t>
            </w:r>
          </w:p>
        </w:tc>
      </w:tr>
      <w:tr>
        <w:trPr>
          <w:trHeight w:val="171" w:hRule="atLeast"/>
        </w:trPr>
        <w:tc>
          <w:tcPr>
            <w:tcW w:w="68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Hodnota pohľadávok, na ktoré sa zriadilo záložné právo</w:t>
            </w:r>
          </w:p>
        </w:tc>
        <w:tc>
          <w:tcPr>
            <w:tcW w:w="30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0</w:t>
            </w:r>
          </w:p>
        </w:tc>
      </w:tr>
      <w:tr>
        <w:trPr/>
        <w:tc>
          <w:tcPr>
            <w:tcW w:w="68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Hodnota pohľadávok, pri ktorých je obmedzené právo s nimi nakladať</w:t>
            </w:r>
          </w:p>
        </w:tc>
        <w:tc>
          <w:tcPr>
            <w:tcW w:w="306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0</w:t>
            </w:r>
          </w:p>
        </w:tc>
      </w:tr>
    </w:tbl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 xml:space="preserve">Finančný majetok </w:t>
      </w:r>
    </w:p>
    <w:p>
      <w:pPr>
        <w:pStyle w:val="ListParagraph"/>
        <w:numPr>
          <w:ilvl w:val="0"/>
          <w:numId w:val="10"/>
        </w:numPr>
        <w:spacing w:lineRule="auto" w:line="276" w:before="240" w:after="120"/>
        <w:contextualSpacing w:val="false"/>
        <w:rPr>
          <w:b/>
        </w:rPr>
      </w:pPr>
      <w:r>
        <w:rPr/>
        <w:t>opis významných zložiek krátkodobého finančného majetku</w:t>
      </w:r>
    </w:p>
    <w:tbl>
      <w:tblPr>
        <w:tblW w:w="993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3894"/>
        <w:gridCol w:w="2981"/>
        <w:gridCol w:w="3063"/>
      </w:tblGrid>
      <w:tr>
        <w:trPr/>
        <w:tc>
          <w:tcPr>
            <w:tcW w:w="38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Krátkodobý  finančný majetok</w:t>
            </w:r>
          </w:p>
        </w:tc>
        <w:tc>
          <w:tcPr>
            <w:tcW w:w="29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Zostatok k 31.12.2025</w:t>
            </w:r>
          </w:p>
        </w:tc>
        <w:tc>
          <w:tcPr>
            <w:tcW w:w="30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Zostatok k 31.12.2024</w:t>
            </w:r>
          </w:p>
        </w:tc>
      </w:tr>
      <w:tr>
        <w:trPr/>
        <w:tc>
          <w:tcPr>
            <w:tcW w:w="38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Pokladnica</w:t>
            </w:r>
          </w:p>
        </w:tc>
        <w:tc>
          <w:tcPr>
            <w:tcW w:w="29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7 322,39 €</w:t>
            </w:r>
          </w:p>
        </w:tc>
        <w:tc>
          <w:tcPr>
            <w:tcW w:w="30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1 997,01 €</w:t>
            </w:r>
          </w:p>
        </w:tc>
      </w:tr>
      <w:tr>
        <w:trPr/>
        <w:tc>
          <w:tcPr>
            <w:tcW w:w="38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Ceniny</w:t>
            </w:r>
          </w:p>
        </w:tc>
        <w:tc>
          <w:tcPr>
            <w:tcW w:w="29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1 799,00 €</w:t>
            </w:r>
          </w:p>
        </w:tc>
        <w:tc>
          <w:tcPr>
            <w:tcW w:w="30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1 722,00 €</w:t>
            </w:r>
          </w:p>
        </w:tc>
      </w:tr>
      <w:tr>
        <w:trPr/>
        <w:tc>
          <w:tcPr>
            <w:tcW w:w="389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Bankové účty</w:t>
            </w:r>
          </w:p>
        </w:tc>
        <w:tc>
          <w:tcPr>
            <w:tcW w:w="2981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3 235 534,55 €</w:t>
            </w:r>
          </w:p>
        </w:tc>
        <w:tc>
          <w:tcPr>
            <w:tcW w:w="306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408 839,49 €</w:t>
            </w:r>
          </w:p>
        </w:tc>
      </w:tr>
    </w:tbl>
    <w:p>
      <w:pPr>
        <w:pStyle w:val="Normal"/>
        <w:spacing w:before="0" w:after="0"/>
        <w:jc w:val="start"/>
        <w:rPr/>
      </w:pPr>
      <w:r>
        <w:rPr/>
      </w:r>
    </w:p>
    <w:p>
      <w:pPr>
        <w:pStyle w:val="ListParagraph"/>
        <w:numPr>
          <w:ilvl w:val="0"/>
          <w:numId w:val="10"/>
        </w:numPr>
        <w:spacing w:lineRule="auto" w:line="276" w:before="240" w:after="120"/>
        <w:contextualSpacing w:val="false"/>
        <w:rPr>
          <w:b/>
        </w:rPr>
      </w:pPr>
      <w:r>
        <w:rPr/>
        <w:t>krátkodobý finančný majetok, na ktorý je zriadené záložné právo a krátkodobý finančný majetok, pri ktorom má účtovná jednotka obmedzené právo s ním nakladať - Obec neeviduje.</w:t>
      </w:r>
    </w:p>
    <w:p>
      <w:pPr>
        <w:pStyle w:val="Normal"/>
        <w:spacing w:lineRule="auto" w:line="276"/>
        <w:rPr/>
      </w:pPr>
      <w:r>
        <w:rPr/>
        <w:t>Poskytnuté návratné finančné výpomoci (riadky 098 a 104 súvahy):  Obec neeviduje.</w:t>
      </w:r>
    </w:p>
    <w:p>
      <w:pPr>
        <w:pStyle w:val="Heading1"/>
        <w:numPr>
          <w:ilvl w:val="1"/>
          <w:numId w:val="3"/>
        </w:numPr>
        <w:spacing w:lineRule="auto" w:line="276"/>
        <w:ind w:hanging="360" w:start="709"/>
        <w:rPr/>
      </w:pPr>
      <w:r>
        <w:rPr/>
        <w:t xml:space="preserve">Časové rozlíšenie </w:t>
      </w:r>
    </w:p>
    <w:p>
      <w:pPr>
        <w:pStyle w:val="Normal"/>
        <w:spacing w:lineRule="auto" w:line="276"/>
        <w:rPr/>
      </w:pPr>
      <w:r>
        <w:rPr/>
        <w:t xml:space="preserve">Významné položky časového rozlíšenia nákladov budúcich období a príjmov budúcich období </w:t>
      </w:r>
    </w:p>
    <w:tbl>
      <w:tblPr>
        <w:tblW w:w="993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034"/>
        <w:gridCol w:w="3129"/>
        <w:gridCol w:w="2775"/>
      </w:tblGrid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Opis jednotlivých významných položiek časového rozlíšenia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bookmarkStart w:id="91" w:name="OLE_LINK19"/>
            <w:bookmarkStart w:id="92" w:name="OLE_LINK20"/>
            <w:r>
              <w:rPr>
                <w:rFonts w:cs="Calibri" w:cstheme="minorHAnsi"/>
                <w:b/>
              </w:rPr>
              <w:t>Zostatok k 31.12.202</w:t>
            </w:r>
            <w:bookmarkEnd w:id="91"/>
            <w:bookmarkEnd w:id="92"/>
            <w:r>
              <w:rPr>
                <w:rFonts w:cs="Calibri" w:cstheme="minorHAnsi"/>
                <w:b/>
              </w:rPr>
              <w:t>5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Zostatok k 31.12.2024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Náklady budúcich období  spolu z toho: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8555,01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4 004,53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Členské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96,87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96,87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Poistné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5863,76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2 967,64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Predplatné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0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0,00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WEB doména, stránka, licencie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ascii="Calibri" w:hAnsi="Calibri" w:cs="Calibri" w:cstheme="minorHAns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2594,38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ascii="Calibri" w:hAnsi="Calibri" w:cs="Calibri" w:cstheme="minorHAns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940,02</w:t>
            </w:r>
          </w:p>
        </w:tc>
      </w:tr>
      <w:tr>
        <w:trPr/>
        <w:tc>
          <w:tcPr>
            <w:tcW w:w="40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 xml:space="preserve">Príjmy budúcich období spolu z toho: </w:t>
            </w:r>
          </w:p>
        </w:tc>
        <w:tc>
          <w:tcPr>
            <w:tcW w:w="3129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0</w:t>
            </w:r>
          </w:p>
        </w:tc>
        <w:tc>
          <w:tcPr>
            <w:tcW w:w="27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0</w:t>
            </w:r>
          </w:p>
        </w:tc>
      </w:tr>
    </w:tbl>
    <w:p>
      <w:pPr>
        <w:pStyle w:val="Normal"/>
        <w:spacing w:before="120" w:after="0"/>
        <w:rPr>
          <w:rFonts w:eastAsia="" w:eastAsiaTheme="majorEastAsia"/>
        </w:rPr>
      </w:pPr>
      <w:r>
        <w:rPr>
          <w:rFonts w:eastAsia="" w:eastAsiaTheme="majorEastAsia"/>
        </w:rPr>
      </w:r>
    </w:p>
    <w:p>
      <w:pPr>
        <w:pStyle w:val="Title"/>
        <w:numPr>
          <w:ilvl w:val="0"/>
          <w:numId w:val="2"/>
        </w:numPr>
        <w:spacing w:lineRule="auto" w:line="276"/>
        <w:ind w:hanging="0" w:start="0"/>
        <w:rPr/>
      </w:pPr>
      <w:r>
        <w:rPr/>
        <w:t>Informácie o údajoch na strane pasív súvahy</w:t>
      </w:r>
    </w:p>
    <w:p>
      <w:pPr>
        <w:pStyle w:val="Heading1"/>
        <w:numPr>
          <w:ilvl w:val="0"/>
          <w:numId w:val="27"/>
        </w:numPr>
        <w:spacing w:lineRule="auto" w:line="276"/>
        <w:rPr/>
      </w:pPr>
      <w:r>
        <w:rPr/>
        <w:t>Vlastné imanie - tabuľka č.5</w:t>
      </w:r>
    </w:p>
    <w:tbl>
      <w:tblPr>
        <w:tblW w:w="10038" w:type="dxa"/>
        <w:jc w:val="start"/>
        <w:tblInd w:w="108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1447"/>
        <w:gridCol w:w="1275"/>
        <w:gridCol w:w="1134"/>
        <w:gridCol w:w="1132"/>
        <w:gridCol w:w="1134"/>
        <w:gridCol w:w="1276"/>
        <w:gridCol w:w="2640"/>
      </w:tblGrid>
      <w:tr>
        <w:trPr/>
        <w:tc>
          <w:tcPr>
            <w:tcW w:w="14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k 31.12.2024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Zvýšenie</w:t>
            </w:r>
          </w:p>
        </w:tc>
        <w:tc>
          <w:tcPr>
            <w:tcW w:w="113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Zníženie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Zostatok</w:t>
            </w:r>
          </w:p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k 31.12.2025</w:t>
            </w:r>
          </w:p>
        </w:tc>
        <w:tc>
          <w:tcPr>
            <w:tcW w:w="26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sz w:val="16"/>
                <w:szCs w:val="16"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Opis jednotlivých položiek a opis zmien jednotlivých položiek vlastného imania, najmä zmeny oceňovacích rozdielov,</w:t>
            </w:r>
          </w:p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4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Nevysporiadaný výsledok hospodárenia minulých rokov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3 937 554,05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2593,8</w:t>
            </w:r>
          </w:p>
        </w:tc>
        <w:tc>
          <w:tcPr>
            <w:tcW w:w="113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-</w:t>
            </w:r>
            <w:r>
              <w:rPr>
                <w:rFonts w:cs="Calibri" w:cstheme="minorHAnsi"/>
                <w:color w:themeColor="text1" w:val="000000"/>
                <w:sz w:val="18"/>
              </w:rPr>
              <w:t>94177,32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3845970,53</w:t>
            </w:r>
          </w:p>
        </w:tc>
        <w:tc>
          <w:tcPr>
            <w:tcW w:w="26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16"/>
                <w:szCs w:val="16"/>
              </w:rPr>
            </w:pPr>
            <w:r>
              <w:rPr>
                <w:rFonts w:cs="Calibri" w:cstheme="minorHAnsi"/>
                <w:sz w:val="16"/>
                <w:szCs w:val="16"/>
              </w:rPr>
              <w:t>Presun -</w:t>
            </w:r>
            <w:r>
              <w:rPr>
                <w:rFonts w:cs="Calibri" w:cstheme="minorHAnsi"/>
                <w:sz w:val="16"/>
                <w:szCs w:val="16"/>
              </w:rPr>
              <w:t>94177,32</w:t>
            </w:r>
            <w:r>
              <w:rPr>
                <w:rFonts w:cs="Calibri" w:cstheme="minorHAnsi"/>
                <w:sz w:val="16"/>
                <w:szCs w:val="16"/>
              </w:rPr>
              <w:t xml:space="preserve">  v dôsledku zaúčtovania prevodu </w:t>
            </w:r>
            <w:r>
              <w:rPr>
                <w:rFonts w:cs="Calibri" w:cstheme="minorHAnsi"/>
                <w:sz w:val="16"/>
                <w:szCs w:val="16"/>
              </w:rPr>
              <w:t>záporného</w:t>
            </w:r>
            <w:r>
              <w:rPr>
                <w:rFonts w:cs="Calibri" w:cstheme="minorHAnsi"/>
                <w:sz w:val="16"/>
                <w:szCs w:val="16"/>
              </w:rPr>
              <w:t xml:space="preserve"> výsledku hospodárenia za rok 2024</w:t>
            </w:r>
          </w:p>
          <w:p>
            <w:pPr>
              <w:pStyle w:val="Normal"/>
              <w:spacing w:lineRule="auto" w:line="276" w:before="120" w:after="120"/>
              <w:rPr>
                <w:rFonts w:cs="Calibri" w:cstheme="minorHAnsi"/>
                <w:sz w:val="16"/>
                <w:szCs w:val="16"/>
              </w:rPr>
            </w:pPr>
            <w:r>
              <w:rPr>
                <w:rFonts w:cs="Calibri" w:cstheme="minorHAnsi"/>
                <w:sz w:val="16"/>
                <w:szCs w:val="16"/>
              </w:rPr>
              <w:t>Zvýšenie</w:t>
            </w:r>
            <w:r>
              <w:rPr>
                <w:rFonts w:cs="Calibri" w:cstheme="minorHAnsi"/>
                <w:sz w:val="16"/>
                <w:szCs w:val="16"/>
              </w:rPr>
              <w:t xml:space="preserve"> </w:t>
            </w:r>
            <w:r>
              <w:rPr>
                <w:rFonts w:cs="Calibri" w:cstheme="minorHAnsi"/>
                <w:sz w:val="16"/>
                <w:szCs w:val="16"/>
              </w:rPr>
              <w:t>2593,80</w:t>
            </w:r>
            <w:r>
              <w:rPr>
                <w:rFonts w:cs="Calibri" w:cstheme="minorHAnsi"/>
                <w:sz w:val="16"/>
                <w:szCs w:val="16"/>
              </w:rPr>
              <w:t xml:space="preserve">  je z dôvodu úpravy minulých období *</w:t>
            </w:r>
          </w:p>
        </w:tc>
      </w:tr>
      <w:tr>
        <w:trPr>
          <w:trHeight w:val="407" w:hRule="atLeast"/>
        </w:trPr>
        <w:tc>
          <w:tcPr>
            <w:tcW w:w="1447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Výsledok hospodárenia</w:t>
            </w:r>
          </w:p>
        </w:tc>
        <w:tc>
          <w:tcPr>
            <w:tcW w:w="12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-94 177,32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-</w:t>
            </w:r>
            <w:r>
              <w:rPr>
                <w:rFonts w:cs="Calibri" w:cstheme="minorHAnsi"/>
                <w:color w:themeColor="text1" w:val="000000"/>
                <w:sz w:val="18"/>
              </w:rPr>
              <w:t>107894,13</w:t>
            </w:r>
          </w:p>
        </w:tc>
        <w:tc>
          <w:tcPr>
            <w:tcW w:w="1132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b/>
                <w:color w:themeColor="text1" w:val="000000"/>
                <w:sz w:val="18"/>
              </w:rPr>
            </w:pPr>
            <w:r>
              <w:rPr>
                <w:rFonts w:cs="Calibri" w:cstheme="minorHAnsi"/>
                <w:b/>
                <w:color w:themeColor="text1" w:val="000000"/>
                <w:sz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94177,32</w:t>
            </w:r>
          </w:p>
        </w:tc>
        <w:tc>
          <w:tcPr>
            <w:tcW w:w="1276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end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color w:themeColor="text1" w:val="000000"/>
                <w:sz w:val="18"/>
              </w:rPr>
              <w:t>-</w:t>
            </w:r>
            <w:r>
              <w:rPr>
                <w:rFonts w:cs="Calibri" w:cstheme="minorHAnsi"/>
                <w:color w:themeColor="text1" w:val="000000"/>
                <w:sz w:val="18"/>
              </w:rPr>
              <w:t>107894,13</w:t>
            </w:r>
          </w:p>
        </w:tc>
        <w:tc>
          <w:tcPr>
            <w:tcW w:w="264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  <w:color w:themeColor="text1" w:val="000000"/>
                <w:sz w:val="18"/>
              </w:rPr>
            </w:pPr>
            <w:r>
              <w:rPr>
                <w:rFonts w:cs="Calibri" w:cstheme="minorHAnsi"/>
                <w:sz w:val="16"/>
                <w:szCs w:val="16"/>
              </w:rPr>
              <w:t>Presun –</w:t>
            </w:r>
            <w:r>
              <w:rPr>
                <w:rFonts w:cs="Calibri" w:cstheme="minorHAnsi"/>
                <w:sz w:val="16"/>
                <w:szCs w:val="16"/>
              </w:rPr>
              <w:t>94177,32</w:t>
            </w:r>
            <w:r>
              <w:rPr>
                <w:rFonts w:cs="Calibri" w:cstheme="minorHAnsi"/>
                <w:sz w:val="16"/>
                <w:szCs w:val="16"/>
              </w:rPr>
              <w:t xml:space="preserve"> v dôsledku zúčtovania prevodu výsledku hospodárenia za rok 202</w:t>
            </w:r>
            <w:bookmarkStart w:id="93" w:name="OLE_LINK50"/>
            <w:bookmarkStart w:id="94" w:name="OLE_LINK51"/>
            <w:bookmarkStart w:id="95" w:name="OLE_LINK52"/>
            <w:bookmarkEnd w:id="93"/>
            <w:bookmarkEnd w:id="94"/>
            <w:bookmarkEnd w:id="95"/>
            <w:r>
              <w:rPr>
                <w:rFonts w:cs="Calibri" w:cstheme="minorHAnsi"/>
                <w:color w:themeColor="text1" w:val="000000"/>
                <w:sz w:val="18"/>
                <w:szCs w:val="16"/>
              </w:rPr>
              <w:t>4</w:t>
            </w:r>
          </w:p>
        </w:tc>
      </w:tr>
    </w:tbl>
    <w:p>
      <w:pPr>
        <w:pStyle w:val="ListParagraph"/>
        <w:spacing w:lineRule="auto" w:line="276"/>
        <w:rPr>
          <w:sz w:val="20"/>
        </w:rPr>
      </w:pPr>
      <w:r>
        <w:rPr>
          <w:sz w:val="20"/>
        </w:rPr>
        <w:t>*Významné položky účtovaných opráv minulých období – účtované v roku 2025:</w:t>
      </w:r>
    </w:p>
    <w:p>
      <w:pPr>
        <w:pStyle w:val="ListParagraph"/>
        <w:spacing w:lineRule="auto" w:line="276"/>
        <w:rPr>
          <w:sz w:val="20"/>
        </w:rPr>
      </w:pPr>
      <w:r>
        <w:rPr>
          <w:sz w:val="20"/>
        </w:rPr>
        <w:t>- 283,75 EUR – došlá faktúra z roku 2024, došla v roku 2025</w:t>
      </w:r>
    </w:p>
    <w:p>
      <w:pPr>
        <w:pStyle w:val="Heading1"/>
        <w:numPr>
          <w:ilvl w:val="0"/>
          <w:numId w:val="3"/>
        </w:numPr>
        <w:spacing w:lineRule="auto" w:line="276"/>
        <w:rPr/>
      </w:pPr>
      <w:r>
        <w:rPr/>
        <w:t>Záväzky</w:t>
      </w:r>
    </w:p>
    <w:p>
      <w:pPr>
        <w:pStyle w:val="Heading1"/>
        <w:numPr>
          <w:ilvl w:val="1"/>
          <w:numId w:val="3"/>
        </w:numPr>
        <w:spacing w:lineRule="auto" w:line="276"/>
        <w:ind w:hanging="284" w:start="851"/>
        <w:rPr/>
      </w:pPr>
      <w:r>
        <w:rPr>
          <w:rFonts w:cs="Calibri" w:cstheme="minorHAnsi"/>
          <w:szCs w:val="24"/>
        </w:rPr>
        <w:t xml:space="preserve">Rezervy - </w:t>
      </w:r>
      <w:r>
        <w:rPr/>
        <w:t xml:space="preserve">tabuľka č.6-7 </w:t>
      </w:r>
    </w:p>
    <w:p>
      <w:pPr>
        <w:pStyle w:val="Normal"/>
        <w:spacing w:lineRule="auto" w:line="276"/>
        <w:ind w:firstLine="567"/>
        <w:rPr>
          <w:b/>
        </w:rPr>
      </w:pPr>
      <w:r>
        <w:rPr/>
        <w:t>Predpokladaný rok použitia rezerv a opis významných položiek rezerv</w:t>
      </w:r>
    </w:p>
    <w:tbl>
      <w:tblPr>
        <w:tblW w:w="1008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7228"/>
        <w:gridCol w:w="2860"/>
      </w:tblGrid>
      <w:tr>
        <w:trPr>
          <w:trHeight w:val="403" w:hRule="atLeast"/>
        </w:trPr>
        <w:tc>
          <w:tcPr>
            <w:tcW w:w="72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color w:themeColor="text1" w:val="000000"/>
              </w:rPr>
            </w:pPr>
            <w:r>
              <w:rPr>
                <w:rFonts w:cs="Calibri" w:cstheme="minorHAnsi"/>
                <w:b/>
                <w:color w:themeColor="text1" w:val="000000"/>
              </w:rPr>
              <w:t>Názov položky/ Suma</w:t>
            </w:r>
          </w:p>
        </w:tc>
        <w:tc>
          <w:tcPr>
            <w:tcW w:w="28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  <w:color w:themeColor="text1" w:val="000000"/>
              </w:rPr>
            </w:pPr>
            <w:r>
              <w:rPr>
                <w:rFonts w:cs="Calibri" w:cstheme="minorHAnsi"/>
                <w:b/>
                <w:color w:themeColor="text1" w:val="000000"/>
              </w:rPr>
              <w:t>Predpokladaný rok použitia</w:t>
            </w:r>
          </w:p>
        </w:tc>
      </w:tr>
      <w:tr>
        <w:trPr>
          <w:trHeight w:val="421" w:hRule="atLeast"/>
        </w:trPr>
        <w:tc>
          <w:tcPr>
            <w:tcW w:w="722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start"/>
              <w:rPr>
                <w:rFonts w:cs="Calibri" w:cstheme="minorHAnsi"/>
                <w:color w:themeColor="text1" w:val="000000"/>
              </w:rPr>
            </w:pPr>
            <w:r>
              <w:rPr>
                <w:rFonts w:cs="Calibri" w:cstheme="minorHAnsi"/>
                <w:color w:themeColor="text1" w:val="000000"/>
              </w:rPr>
              <w:t>Rezerva – krátkodobá na overenie účtovnej závierky audítorom vo výške 2 330,00 EUR</w:t>
            </w:r>
          </w:p>
        </w:tc>
        <w:tc>
          <w:tcPr>
            <w:tcW w:w="28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color w:themeColor="text1" w:val="000000"/>
              </w:rPr>
            </w:pPr>
            <w:r>
              <w:rPr>
                <w:rFonts w:cs="Calibri" w:cstheme="minorHAnsi"/>
                <w:color w:themeColor="text1" w:val="000000"/>
              </w:rPr>
              <w:t>202</w:t>
            </w:r>
            <w:r>
              <w:rPr>
                <w:rFonts w:cs="Calibri" w:cstheme="minorHAnsi"/>
                <w:color w:themeColor="text1" w:val="000000"/>
              </w:rPr>
              <w:t>6</w:t>
            </w:r>
          </w:p>
        </w:tc>
      </w:tr>
    </w:tbl>
    <w:p>
      <w:pPr>
        <w:pStyle w:val="Heading1"/>
        <w:numPr>
          <w:ilvl w:val="1"/>
          <w:numId w:val="3"/>
        </w:numPr>
        <w:spacing w:lineRule="auto" w:line="276"/>
        <w:ind w:hanging="284" w:start="851"/>
        <w:rPr>
          <w:rFonts w:cs="Calibri" w:cstheme="minorHAnsi"/>
          <w:szCs w:val="24"/>
        </w:rPr>
      </w:pPr>
      <w:r>
        <w:rPr>
          <w:rFonts w:cs="Calibri" w:cstheme="minorHAnsi"/>
          <w:szCs w:val="24"/>
        </w:rPr>
        <w:t xml:space="preserve">Záväzky podľa doby splatnosti </w:t>
      </w:r>
    </w:p>
    <w:p>
      <w:pPr>
        <w:pStyle w:val="ListParagraph"/>
        <w:numPr>
          <w:ilvl w:val="0"/>
          <w:numId w:val="11"/>
        </w:numPr>
        <w:spacing w:lineRule="auto" w:line="276" w:before="240" w:after="120"/>
        <w:contextualSpacing w:val="false"/>
        <w:rPr>
          <w:b/>
        </w:rPr>
      </w:pPr>
      <w:r>
        <w:rPr/>
        <w:t>záväzky podľa doby splatnosti (riadky 140 a 151 súvahy) - tabuľka č.8</w:t>
      </w:r>
    </w:p>
    <w:tbl>
      <w:tblPr>
        <w:tblW w:w="10150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5913"/>
        <w:gridCol w:w="2150"/>
        <w:gridCol w:w="2087"/>
      </w:tblGrid>
      <w:tr>
        <w:trPr>
          <w:trHeight w:val="600" w:hRule="atLeast"/>
        </w:trPr>
        <w:tc>
          <w:tcPr>
            <w:tcW w:w="59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Záväzky</w:t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Zostatok k 31.12.2025</w:t>
            </w:r>
          </w:p>
        </w:tc>
        <w:tc>
          <w:tcPr>
            <w:tcW w:w="20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Zostatok k 31.12.2024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 xml:space="preserve">Záväzky z toho: 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FF0000"/>
                <w:szCs w:val="21"/>
              </w:rPr>
            </w:pPr>
            <w:r>
              <w:rPr>
                <w:rFonts w:cs="Calibri" w:cstheme="minorHAnsi"/>
                <w:color w:val="FF0000"/>
                <w:szCs w:val="21"/>
              </w:rPr>
              <w:t> 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FF0000"/>
                <w:szCs w:val="21"/>
              </w:rPr>
            </w:pPr>
            <w:r>
              <w:rPr>
                <w:rFonts w:cs="Calibri" w:cstheme="minorHAnsi"/>
                <w:color w:val="FF0000"/>
                <w:szCs w:val="21"/>
              </w:rPr>
              <w:t> </w:t>
            </w:r>
          </w:p>
        </w:tc>
      </w:tr>
      <w:tr>
        <w:trPr>
          <w:trHeight w:val="6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a)</w:t>
            </w:r>
            <w:r>
              <w:rPr>
                <w:rFonts w:ascii="Times New Roman" w:hAnsi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>
              <w:rPr>
                <w:b/>
                <w:bCs/>
                <w:color w:val="000000"/>
                <w:szCs w:val="21"/>
              </w:rPr>
              <w:t>so zostatkovou dobou splatnosti  do 1 roka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117 735,88 €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56 720,50 €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záväzky voči dodávateľom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82 169,77 €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9 775,13 €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záväzky voči zamestnancom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13 907,43 €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14 541,25 €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záväzky voči poisťovniam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9 595,25 €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9 282,79 €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záväzky voči daňovému úradu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1 941,69 €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1 201,90 €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color w:val="000000"/>
                <w:szCs w:val="21"/>
              </w:rPr>
              <w:t xml:space="preserve">     </w:t>
            </w:r>
            <w:r>
              <w:rPr>
                <w:color w:val="000000"/>
                <w:szCs w:val="21"/>
              </w:rPr>
              <w:t>Ost. záväzky – prijaté preddavky od nájomníkov 12BJ, dom č.3,4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8 509,72 €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7 484,21 €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 </w:t>
            </w: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Splátky úverov ŠFRB splatné do 1 roka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29 550,71 €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 </w:t>
            </w:r>
            <w:r>
              <w:rPr>
                <w:color w:val="000000"/>
                <w:szCs w:val="21"/>
              </w:rPr>
              <w:t>Ostatné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1 612,02 €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b)</w:t>
            </w:r>
            <w:r>
              <w:rPr>
                <w:rFonts w:ascii="Times New Roman" w:hAnsi="Times New Roman"/>
                <w:b/>
                <w:bCs/>
                <w:color w:val="000000"/>
                <w:sz w:val="14"/>
                <w:szCs w:val="14"/>
              </w:rPr>
              <w:t xml:space="preserve">    </w:t>
            </w:r>
            <w:r>
              <w:rPr>
                <w:b/>
                <w:bCs/>
                <w:color w:val="000000"/>
                <w:szCs w:val="21"/>
              </w:rPr>
              <w:t>so zostatkovou dobou splatnosti  od 1 roka do 5 rokov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639 981,59 €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541,957,60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 xml:space="preserve">         </w:t>
            </w:r>
            <w:r>
              <w:rPr>
                <w:color w:val="000000"/>
                <w:szCs w:val="21"/>
              </w:rPr>
              <w:t>záväzky zo sociálneho fondu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3 555,68 €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2 271,01 €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Times New Roman" w:hAnsi="Times New Roman"/>
                <w:color w:val="FF0000"/>
                <w:szCs w:val="21"/>
              </w:rPr>
            </w:pPr>
            <w:r>
              <w:rPr>
                <w:rFonts w:ascii="Times New Roman" w:hAnsi="Times New Roman"/>
                <w:color w:val="FF0000"/>
                <w:sz w:val="14"/>
                <w:szCs w:val="14"/>
              </w:rPr>
              <w:t xml:space="preserve">             </w:t>
            </w:r>
            <w:r>
              <w:rPr>
                <w:color w:val="000000"/>
                <w:szCs w:val="21"/>
              </w:rPr>
              <w:t>splátky úverov ŠFRB splatné 1-5 rokov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627 360,46 €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510 135,88 €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 xml:space="preserve">          </w:t>
            </w:r>
            <w:r>
              <w:rPr>
                <w:rFonts w:cs="Calibri" w:cstheme="minorHAnsi"/>
                <w:color w:val="000000"/>
                <w:szCs w:val="21"/>
              </w:rPr>
              <w:t>ostatné záväzky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9 065,45 €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c)</w:t>
            </w:r>
            <w:r>
              <w:rPr>
                <w:rFonts w:ascii="Times New Roman" w:hAnsi="Times New Roman"/>
                <w:b/>
                <w:bCs/>
                <w:color w:val="000000"/>
                <w:sz w:val="14"/>
                <w:szCs w:val="14"/>
              </w:rPr>
              <w:t xml:space="preserve">     </w:t>
            </w:r>
            <w:r>
              <w:rPr>
                <w:b/>
                <w:bCs/>
                <w:color w:val="000000"/>
                <w:szCs w:val="21"/>
              </w:rPr>
              <w:t>so zostatkovou dobou splatnosti  nad 5 rokov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0,00 €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/>
                <w:color w:val="FF0000"/>
                <w:sz w:val="14"/>
                <w:szCs w:val="14"/>
              </w:rPr>
              <w:t xml:space="preserve">             </w:t>
            </w:r>
            <w:r>
              <w:rPr>
                <w:color w:val="000000"/>
                <w:szCs w:val="21"/>
              </w:rPr>
              <w:t>splátky úverov ŠFRB splatné  nad 5 rokov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Cs/>
                <w:color w:val="000000"/>
                <w:szCs w:val="21"/>
              </w:rPr>
            </w:pPr>
            <w:r>
              <w:rPr>
                <w:bCs/>
                <w:color w:val="000000"/>
                <w:szCs w:val="21"/>
              </w:rPr>
              <w:t>0,00 €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5913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b/>
                <w:color w:val="FF0000"/>
                <w:szCs w:val="21"/>
              </w:rPr>
            </w:pPr>
            <w:r>
              <w:rPr>
                <w:b/>
                <w:szCs w:val="21"/>
              </w:rPr>
              <w:t>Záväzky po lehote splatnosti</w:t>
            </w:r>
          </w:p>
        </w:tc>
        <w:tc>
          <w:tcPr>
            <w:tcW w:w="2150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color w:val="000000"/>
                <w:szCs w:val="21"/>
              </w:rPr>
            </w:pPr>
            <w:r>
              <w:rPr>
                <w:b/>
                <w:color w:val="000000"/>
                <w:szCs w:val="21"/>
              </w:rPr>
              <w:t>0,00 €</w:t>
            </w:r>
          </w:p>
        </w:tc>
        <w:tc>
          <w:tcPr>
            <w:tcW w:w="20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color w:val="000000"/>
                <w:szCs w:val="21"/>
              </w:rPr>
            </w:pPr>
            <w:r>
              <w:rPr>
                <w:b/>
                <w:color w:val="000000"/>
                <w:szCs w:val="21"/>
              </w:rPr>
              <w:t>0,00 €</w:t>
            </w:r>
          </w:p>
        </w:tc>
      </w:tr>
    </w:tbl>
    <w:p>
      <w:pPr>
        <w:pStyle w:val="Normal"/>
        <w:spacing w:before="0" w:after="0"/>
        <w:jc w:val="start"/>
        <w:rPr/>
      </w:pPr>
      <w:r>
        <w:rPr/>
      </w:r>
    </w:p>
    <w:p>
      <w:pPr>
        <w:pStyle w:val="ListParagraph"/>
        <w:numPr>
          <w:ilvl w:val="0"/>
          <w:numId w:val="11"/>
        </w:numPr>
        <w:spacing w:lineRule="auto" w:line="276" w:before="240" w:after="120"/>
        <w:contextualSpacing w:val="false"/>
        <w:rPr>
          <w:rFonts w:cs="Calibri" w:cstheme="minorHAnsi"/>
          <w:sz w:val="24"/>
          <w:szCs w:val="24"/>
        </w:rPr>
      </w:pPr>
      <w:r>
        <w:rPr/>
        <w:t>popis</w:t>
      </w:r>
      <w:r>
        <w:rPr>
          <w:rFonts w:cs="Calibri" w:cstheme="minorHAnsi"/>
          <w:sz w:val="24"/>
          <w:szCs w:val="24"/>
        </w:rPr>
        <w:t xml:space="preserve"> </w:t>
      </w:r>
      <w:r>
        <w:rPr/>
        <w:t>významných položiek záväzkov</w:t>
      </w:r>
      <w:r>
        <w:rPr>
          <w:rFonts w:cs="Calibri" w:cstheme="minorHAnsi"/>
          <w:sz w:val="24"/>
          <w:szCs w:val="24"/>
        </w:rPr>
        <w:t xml:space="preserve"> </w:t>
      </w:r>
    </w:p>
    <w:tbl>
      <w:tblPr>
        <w:tblW w:w="10088" w:type="dxa"/>
        <w:jc w:val="start"/>
        <w:tblInd w:w="49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1650"/>
        <w:gridCol w:w="1850"/>
        <w:gridCol w:w="1700"/>
        <w:gridCol w:w="4888"/>
      </w:tblGrid>
      <w:tr>
        <w:trPr/>
        <w:tc>
          <w:tcPr>
            <w:tcW w:w="16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Záväzok</w:t>
            </w:r>
          </w:p>
        </w:tc>
        <w:tc>
          <w:tcPr>
            <w:tcW w:w="18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Hodnota záväzku k 31.12.2025</w:t>
            </w:r>
          </w:p>
        </w:tc>
        <w:tc>
          <w:tcPr>
            <w:tcW w:w="17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Hodnota záväzku k 31.12.2024</w:t>
            </w:r>
          </w:p>
        </w:tc>
        <w:tc>
          <w:tcPr>
            <w:tcW w:w="4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contextualSpacing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Opis</w:t>
            </w:r>
          </w:p>
        </w:tc>
      </w:tr>
      <w:tr>
        <w:trPr/>
        <w:tc>
          <w:tcPr>
            <w:tcW w:w="16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Úver zo ŠFRB pre ZPS Karita</w:t>
            </w:r>
          </w:p>
        </w:tc>
        <w:tc>
          <w:tcPr>
            <w:tcW w:w="18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381 602,44 €</w:t>
            </w:r>
          </w:p>
        </w:tc>
        <w:tc>
          <w:tcPr>
            <w:tcW w:w="17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399 735,31 €</w:t>
            </w:r>
          </w:p>
        </w:tc>
        <w:tc>
          <w:tcPr>
            <w:tcW w:w="4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 xml:space="preserve">Úver bol prijatý na výstavbu ZPS  v sume 572.350 EUR so splatnosťou do roku 2046. </w:t>
            </w:r>
          </w:p>
        </w:tc>
      </w:tr>
      <w:tr>
        <w:trPr/>
        <w:tc>
          <w:tcPr>
            <w:tcW w:w="16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Úver zo ŠFRB pre 12 BJ</w:t>
            </w:r>
          </w:p>
        </w:tc>
        <w:tc>
          <w:tcPr>
            <w:tcW w:w="18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128 521,42 €</w:t>
            </w:r>
          </w:p>
        </w:tc>
        <w:tc>
          <w:tcPr>
            <w:tcW w:w="17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139 951,28 €</w:t>
            </w:r>
          </w:p>
        </w:tc>
        <w:tc>
          <w:tcPr>
            <w:tcW w:w="4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 xml:space="preserve">Úver bol prijatý na výstavbu 12-BJ  v sume 331.109 EUR so splatnosťou do roku 2036. </w:t>
            </w:r>
          </w:p>
        </w:tc>
      </w:tr>
      <w:tr>
        <w:trPr/>
        <w:tc>
          <w:tcPr>
            <w:tcW w:w="165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/>
              <w:t xml:space="preserve">Úver zo ŠFRB pre </w:t>
            </w:r>
            <w:r>
              <w:rPr/>
              <w:t>bytovky 4011,44</w:t>
            </w:r>
          </w:p>
        </w:tc>
        <w:tc>
          <w:tcPr>
            <w:tcW w:w="185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98 639,66 €</w:t>
            </w:r>
          </w:p>
        </w:tc>
        <w:tc>
          <w:tcPr>
            <w:tcW w:w="17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0,00 €</w:t>
            </w:r>
          </w:p>
        </w:tc>
        <w:tc>
          <w:tcPr>
            <w:tcW w:w="4888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Načerpáva sa – bytovky vo výstavbe</w:t>
            </w:r>
          </w:p>
        </w:tc>
      </w:tr>
      <w:tr>
        <w:trPr/>
        <w:tc>
          <w:tcPr>
            <w:tcW w:w="165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/>
              <w:t xml:space="preserve">Úver zo ŠFRB pre </w:t>
            </w:r>
            <w:r>
              <w:rPr/>
              <w:t>TZ 35BJ</w:t>
            </w:r>
          </w:p>
        </w:tc>
        <w:tc>
          <w:tcPr>
            <w:tcW w:w="185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18 584,92 €</w:t>
            </w:r>
          </w:p>
        </w:tc>
        <w:tc>
          <w:tcPr>
            <w:tcW w:w="17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0,00 €</w:t>
            </w:r>
          </w:p>
        </w:tc>
        <w:tc>
          <w:tcPr>
            <w:tcW w:w="4888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Načerpáva sa – bytovky vo výstavbe</w:t>
            </w:r>
          </w:p>
        </w:tc>
      </w:tr>
      <w:tr>
        <w:trPr/>
        <w:tc>
          <w:tcPr>
            <w:tcW w:w="16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  <w:t>SPOLU</w:t>
            </w:r>
          </w:p>
        </w:tc>
        <w:tc>
          <w:tcPr>
            <w:tcW w:w="185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627 372,48 €</w:t>
            </w:r>
          </w:p>
        </w:tc>
        <w:tc>
          <w:tcPr>
            <w:tcW w:w="17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vAlign w:val="center"/>
          </w:tcPr>
          <w:p>
            <w:pPr>
              <w:pStyle w:val="Normal"/>
              <w:spacing w:lineRule="auto" w:line="276" w:before="120" w:after="120"/>
              <w:contextualSpacing/>
              <w:jc w:val="end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539 686,59 €</w:t>
            </w:r>
          </w:p>
        </w:tc>
        <w:tc>
          <w:tcPr>
            <w:tcW w:w="48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contextualSpacing/>
              <w:rPr>
                <w:rFonts w:cs="Calibri" w:cstheme="minorHAnsi"/>
                <w:sz w:val="20"/>
              </w:rPr>
            </w:pPr>
            <w:r>
              <w:rPr>
                <w:rFonts w:cs="Calibri" w:cstheme="minorHAnsi"/>
                <w:sz w:val="20"/>
              </w:rPr>
            </w:r>
          </w:p>
        </w:tc>
      </w:tr>
    </w:tbl>
    <w:p>
      <w:pPr>
        <w:pStyle w:val="Heading1"/>
        <w:numPr>
          <w:ilvl w:val="0"/>
          <w:numId w:val="3"/>
        </w:numPr>
        <w:spacing w:lineRule="auto" w:line="276"/>
        <w:rPr>
          <w:rFonts w:cs="Calibri" w:cstheme="minorHAnsi"/>
          <w:bCs/>
          <w:szCs w:val="24"/>
        </w:rPr>
      </w:pPr>
      <w:r>
        <w:rPr>
          <w:rFonts w:cs="Calibri" w:cstheme="minorHAnsi"/>
          <w:bCs/>
          <w:szCs w:val="24"/>
        </w:rPr>
        <w:t xml:space="preserve">Bankové úvery a ostatné prijaté návratné finančné výpomoci </w:t>
      </w:r>
    </w:p>
    <w:p>
      <w:pPr>
        <w:pStyle w:val="ListParagraph"/>
        <w:numPr>
          <w:ilvl w:val="0"/>
          <w:numId w:val="12"/>
        </w:numPr>
        <w:spacing w:lineRule="auto" w:line="276" w:before="240" w:after="120"/>
        <w:contextualSpacing w:val="false"/>
        <w:rPr/>
      </w:pPr>
      <w:r>
        <w:rPr/>
        <w:t xml:space="preserve">dlhodobé bankové úvery a krátkodobé bankové úvery - tabuľka č. 9 v roku 2024 bola splatená posledná istiny bankového úveru vo výške 37 500,- EUR, zaplatené úroky vo výške 1 310,93 EUR. </w:t>
      </w:r>
    </w:p>
    <w:p>
      <w:pPr>
        <w:pStyle w:val="ListParagraph"/>
        <w:numPr>
          <w:ilvl w:val="0"/>
          <w:numId w:val="12"/>
        </w:numPr>
        <w:spacing w:lineRule="auto" w:line="276" w:before="240" w:after="120"/>
        <w:contextualSpacing w:val="false"/>
        <w:rPr>
          <w:rFonts w:cs="Calibri" w:cstheme="minorHAnsi"/>
          <w:sz w:val="24"/>
          <w:szCs w:val="24"/>
        </w:rPr>
      </w:pPr>
      <w:r>
        <w:rPr/>
        <w:t>popis zabezpečenia dlhodobého bankového úveru alebo krátkodobého bankového úveru – úver k 10/2025 splatený.</w:t>
      </w:r>
    </w:p>
    <w:tbl>
      <w:tblPr>
        <w:tblW w:w="10348" w:type="dxa"/>
        <w:jc w:val="start"/>
        <w:tblInd w:w="7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960"/>
        <w:gridCol w:w="5388"/>
      </w:tblGrid>
      <w:tr>
        <w:trPr/>
        <w:tc>
          <w:tcPr>
            <w:tcW w:w="49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Druh bankového úveru podľa splatnosti /krátkodobý, dlhodobý/</w:t>
            </w:r>
          </w:p>
        </w:tc>
        <w:tc>
          <w:tcPr>
            <w:tcW w:w="53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F2F2F2" w:val="clear"/>
          </w:tcPr>
          <w:p>
            <w:pPr>
              <w:pStyle w:val="Normal"/>
              <w:spacing w:lineRule="auto" w:line="276" w:before="120" w:after="120"/>
              <w:jc w:val="center"/>
              <w:rPr>
                <w:rFonts w:cs="Calibri" w:cstheme="minorHAnsi"/>
                <w:b/>
              </w:rPr>
            </w:pPr>
            <w:r>
              <w:rPr>
                <w:rFonts w:cs="Calibri" w:cstheme="minorHAnsi"/>
                <w:b/>
              </w:rPr>
              <w:t>Popis zabezpečenia dlhodobého bankového úveru alebo krátkodobého bankového úveru</w:t>
            </w:r>
          </w:p>
        </w:tc>
      </w:tr>
      <w:tr>
        <w:trPr/>
        <w:tc>
          <w:tcPr>
            <w:tcW w:w="496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>Dlhodobý - Prima banka a.s. Liptovský Mikuláš</w:t>
            </w:r>
          </w:p>
        </w:tc>
        <w:tc>
          <w:tcPr>
            <w:tcW w:w="5388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</w:tcPr>
          <w:p>
            <w:pPr>
              <w:pStyle w:val="Normal"/>
              <w:spacing w:lineRule="auto" w:line="276" w:before="12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  <w:t xml:space="preserve">Bianko zmenka </w:t>
            </w:r>
          </w:p>
        </w:tc>
      </w:tr>
    </w:tbl>
    <w:p>
      <w:pPr>
        <w:pStyle w:val="Normal"/>
        <w:spacing w:lineRule="auto" w:line="276" w:before="240" w:after="120"/>
        <w:rPr/>
      </w:pPr>
      <w:r>
        <w:rPr/>
      </w:r>
    </w:p>
    <w:p>
      <w:pPr>
        <w:pStyle w:val="Normal"/>
        <w:spacing w:lineRule="auto" w:line="276" w:before="240" w:after="120"/>
        <w:rPr/>
      </w:pPr>
      <w:r>
        <w:rPr/>
        <w:t xml:space="preserve">               </w:t>
      </w:r>
      <w:r>
        <w:rPr/>
        <w:t>V roku 2024 obec neprijala žiadny nový bankový úver ani finančnú výpomoc.</w:t>
      </w:r>
    </w:p>
    <w:p>
      <w:pPr>
        <w:pStyle w:val="ListParagraph"/>
        <w:numPr>
          <w:ilvl w:val="0"/>
          <w:numId w:val="12"/>
        </w:numPr>
        <w:spacing w:lineRule="auto" w:line="276" w:before="240" w:after="120"/>
        <w:contextualSpacing w:val="false"/>
        <w:rPr/>
      </w:pPr>
      <w:r>
        <w:rPr/>
        <w:t>dlhodobé emitované dlhopisy a krátkodobé emitované dlhopisy (riadky 150 a 176 súvahy):</w:t>
      </w:r>
    </w:p>
    <w:p>
      <w:pPr>
        <w:pStyle w:val="Normal"/>
        <w:spacing w:lineRule="auto" w:line="276" w:before="240" w:after="120"/>
        <w:rPr/>
      </w:pPr>
      <w:r>
        <w:rPr/>
        <w:t xml:space="preserve">               </w:t>
      </w:r>
      <w:r>
        <w:rPr/>
        <w:t>Obec nemá žiadne emitované dlhopisy.</w:t>
      </w:r>
    </w:p>
    <w:p>
      <w:pPr>
        <w:pStyle w:val="ListParagraph"/>
        <w:numPr>
          <w:ilvl w:val="0"/>
          <w:numId w:val="12"/>
        </w:numPr>
        <w:spacing w:lineRule="auto" w:line="276" w:before="240" w:after="120"/>
        <w:contextualSpacing w:val="false"/>
        <w:rPr>
          <w:rFonts w:cs="Calibri" w:cstheme="minorHAnsi"/>
          <w:sz w:val="24"/>
          <w:szCs w:val="24"/>
        </w:rPr>
      </w:pPr>
      <w:r>
        <w:rPr/>
        <w:t>prijaté dlhodobé návratné finančné výpomoci a krátkodobé návratné finančné výpomoci :</w:t>
      </w:r>
    </w:p>
    <w:p>
      <w:pPr>
        <w:pStyle w:val="Normal"/>
        <w:spacing w:lineRule="auto" w:line="276" w:before="240" w:after="120"/>
        <w:rPr/>
      </w:pPr>
      <w:r>
        <w:rPr/>
        <w:t xml:space="preserve">               </w:t>
      </w:r>
      <w:r>
        <w:rPr/>
        <w:t>Obec neeviduje žiadne návratné finančné výpomoci.</w:t>
      </w:r>
    </w:p>
    <w:p>
      <w:pPr>
        <w:pStyle w:val="Heading1"/>
        <w:numPr>
          <w:ilvl w:val="0"/>
          <w:numId w:val="3"/>
        </w:numPr>
        <w:spacing w:lineRule="auto" w:line="276"/>
        <w:rPr>
          <w:rFonts w:cs="Calibri" w:cstheme="minorHAnsi"/>
          <w:bCs/>
          <w:szCs w:val="24"/>
        </w:rPr>
      </w:pPr>
      <w:r>
        <w:rPr>
          <w:rFonts w:cs="Calibri" w:cstheme="minorHAnsi"/>
          <w:bCs/>
          <w:szCs w:val="24"/>
        </w:rPr>
        <w:t xml:space="preserve">Časové rozlíšenie </w:t>
      </w:r>
    </w:p>
    <w:p>
      <w:pPr>
        <w:pStyle w:val="ListParagraph"/>
        <w:numPr>
          <w:ilvl w:val="0"/>
          <w:numId w:val="13"/>
        </w:numPr>
        <w:spacing w:lineRule="auto" w:line="276" w:before="240" w:after="120"/>
        <w:contextualSpacing w:val="false"/>
        <w:rPr/>
      </w:pPr>
      <w:r>
        <w:rPr/>
        <w:t xml:space="preserve">popis významných položiek časového rozlíšenia výdavkov budúcich období a výnosov budúcich období </w:t>
      </w:r>
    </w:p>
    <w:tbl>
      <w:tblPr>
        <w:tblW w:w="9800" w:type="dxa"/>
        <w:jc w:val="start"/>
        <w:tblInd w:w="-5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7000"/>
        <w:gridCol w:w="1413"/>
        <w:gridCol w:w="1387"/>
      </w:tblGrid>
      <w:tr>
        <w:trPr>
          <w:trHeight w:val="57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Popis významnej položky časového rozlíšenia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Zostatok k 31.12.2025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lineRule="auto" w:line="276"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rFonts w:cs="Calibri" w:cstheme="minorHAnsi"/>
                <w:b/>
                <w:bCs/>
                <w:color w:val="000000"/>
                <w:szCs w:val="21"/>
              </w:rPr>
              <w:t>Zostatok k 31.12.2024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Výnosy budúcich období (sú 384spolu z toho: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2 109 060,32 €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1 114 679,27 €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KT-  Revitalizácia námestia 1. etapa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54 570,41 €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62 674,71 €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- Požiarna zbrojnica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194 770,66 €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203 557,66 €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KT-  Revitalizácia námestia 2. etapa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226 564,71 €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234 574,62 €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- 12 b.j.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46 880,33 €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50 162,81 €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- Kultúrny dom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74 277,35 €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76 236,35 €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- Základná škola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234 269,35 €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238 197,31 €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– Inžinierske siete Valentka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8 076,62 €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10 400,66 €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 – Kamery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KT-  Prístrešky na separovaný zber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-0,06 €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0,06 €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KT- Multifunkčné ihrisko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19 996,60 €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19 996,60 €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KT- hasičské auto  CAS 32 T 148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1 300,02 €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Cintorínske poplatky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4 674,83 €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4 714,26 €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rFonts w:cs="Calibri" w:cstheme="minorHAnsi"/>
                <w:color w:val="000000"/>
                <w:szCs w:val="21"/>
              </w:rPr>
              <w:t>Budova – ihrisko - darovaná budova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9 222,47 €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9 554,87 €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WiFi4EU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7 125,00 €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8 625,00 €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Stoličkový výťah Karita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313,02 €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Hasičské auto Opel Movano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26 777,62 €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1 360,98 €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Darované autá v r.2021 /Octavia, Opel Astra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2 016,01 €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86,99 €</w:t>
            </w:r>
          </w:p>
        </w:tc>
      </w:tr>
      <w:tr>
        <w:trPr>
          <w:trHeight w:val="300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KT – MIRRI zvýšenie kapacity MŠ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124 170,74 €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133 343,45 €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KT  - traktor Enviro</w:t>
            </w:r>
          </w:p>
        </w:tc>
        <w:tc>
          <w:tcPr>
            <w:tcW w:w="14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61 032,38 €</w:t>
            </w:r>
          </w:p>
        </w:tc>
        <w:tc>
          <w:tcPr>
            <w:tcW w:w="1387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71 871,02 €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Nájomné byty MDSR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840 000,00 €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CBA – technické zhodnotenie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10 736,84 €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Vodozádržné opatrenia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36 398,10 €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Mlyn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53 964,86 €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VO -  1. Etapa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68 324,12 €</w:t>
            </w:r>
          </w:p>
        </w:tc>
      </w:tr>
      <w:tr>
        <w:trPr>
          <w:trHeight w:val="339" w:hRule="atLeast"/>
        </w:trPr>
        <w:tc>
          <w:tcPr>
            <w:tcW w:w="7000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Sadové úpravy</w:t>
            </w:r>
          </w:p>
        </w:tc>
        <w:tc>
          <w:tcPr>
            <w:tcW w:w="14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0,00 €</w:t>
            </w:r>
          </w:p>
        </w:tc>
        <w:tc>
          <w:tcPr>
            <w:tcW w:w="1387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76" w:before="0" w:after="0"/>
              <w:jc w:val="end"/>
              <w:rPr>
                <w:rFonts w:ascii="Calibri" w:hAnsi="Calibri"/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9 243,28 €</w:t>
            </w:r>
          </w:p>
        </w:tc>
      </w:tr>
    </w:tbl>
    <w:p>
      <w:pPr>
        <w:pStyle w:val="Normal"/>
        <w:spacing w:lineRule="auto" w:line="276" w:before="0" w:after="0"/>
        <w:jc w:val="start"/>
        <w:rPr>
          <w:rFonts w:ascii="Cambria" w:hAnsi="Cambria" w:eastAsia="" w:cs="" w:asciiTheme="majorHAnsi" w:cstheme="majorBidi" w:eastAsiaTheme="majorEastAsia" w:hAnsiTheme="majorHAnsi"/>
          <w:b/>
          <w:spacing w:val="-10"/>
          <w:kern w:val="2"/>
          <w:sz w:val="28"/>
          <w:szCs w:val="56"/>
        </w:rPr>
      </w:pPr>
      <w:r>
        <w:rPr>
          <w:rFonts w:eastAsia="" w:cs="" w:cstheme="majorBidi" w:eastAsiaTheme="majorEastAsia" w:ascii="Cambria" w:hAnsi="Cambria"/>
          <w:b/>
          <w:spacing w:val="-10"/>
          <w:kern w:val="2"/>
          <w:sz w:val="28"/>
          <w:szCs w:val="56"/>
        </w:rPr>
      </w:r>
      <w:r>
        <w:br w:type="page"/>
      </w:r>
    </w:p>
    <w:p>
      <w:pPr>
        <w:pStyle w:val="Title"/>
        <w:numPr>
          <w:ilvl w:val="0"/>
          <w:numId w:val="2"/>
        </w:numPr>
        <w:spacing w:lineRule="auto" w:line="276" w:before="0" w:after="240"/>
        <w:ind w:hanging="0" w:start="0"/>
        <w:rPr/>
      </w:pPr>
      <w:r>
        <w:rPr/>
        <w:t xml:space="preserve">Informácie o výnosoch a nákladoch </w:t>
      </w:r>
    </w:p>
    <w:p>
      <w:pPr>
        <w:pStyle w:val="Heading1"/>
        <w:numPr>
          <w:ilvl w:val="0"/>
          <w:numId w:val="28"/>
        </w:numPr>
        <w:spacing w:lineRule="auto" w:line="276"/>
        <w:ind w:hanging="360" w:start="284"/>
        <w:rPr/>
      </w:pPr>
      <w:r>
        <w:rPr/>
        <w:t>Výnosy - popis a výška významných položiek výnosov</w:t>
      </w:r>
    </w:p>
    <w:tbl>
      <w:tblPr>
        <w:tblW w:w="10113" w:type="dxa"/>
        <w:jc w:val="start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6425"/>
        <w:gridCol w:w="1875"/>
        <w:gridCol w:w="1813"/>
      </w:tblGrid>
      <w:tr>
        <w:trPr>
          <w:trHeight w:val="57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AEAAAA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bookmarkStart w:id="96" w:name="RANGE!A1"/>
            <w:r>
              <w:rPr>
                <w:b/>
                <w:bCs/>
                <w:color w:val="000000"/>
                <w:szCs w:val="21"/>
              </w:rPr>
              <w:t xml:space="preserve">Popis /číslo účtu a názov/ </w:t>
            </w:r>
            <w:bookmarkEnd w:id="96"/>
          </w:p>
        </w:tc>
        <w:tc>
          <w:tcPr>
            <w:tcW w:w="187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AEAAAA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Suma k 31.12.2025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AEAAAA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Suma k 31.12.2024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a)  tržby za vlastné výkony  a tovar 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2369,39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2600,02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602 - Tržby z predaja služieb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  <w:highlight w:val="none"/>
                <w:shd w:fill="auto" w:val="clear"/>
              </w:rPr>
            </w:pPr>
            <w:r>
              <w:rPr>
                <w:b w:val="false"/>
                <w:bCs w:val="false"/>
                <w:color w:val="000000"/>
                <w:szCs w:val="21"/>
                <w:shd w:fill="auto" w:val="clear"/>
              </w:rPr>
              <w:t>2369,39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  <w:highlight w:val="none"/>
                <w:shd w:fill="auto" w:val="clear"/>
              </w:rPr>
            </w:pPr>
            <w:r>
              <w:rPr>
                <w:b w:val="false"/>
                <w:bCs w:val="false"/>
                <w:color w:val="000000"/>
                <w:szCs w:val="21"/>
                <w:shd w:fill="auto" w:val="clear"/>
              </w:rPr>
              <w:t>2 600,02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b)  zmena stavu vnútroorganizačných zásob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c)  624 - aktivácia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d)  daňové a colné výnosy a výnosy z poplatkov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849343,56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956661,89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632 - Daňové výnosy samosprávy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622124,93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720 651,17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633 – Výnosy z poplatkov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227218,63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236 010,72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e)  finančné výnosy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165,6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171,99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661 - Tržby z predaja CP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662 - Úroky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165,6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171,99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665 – Výnosy z dlhodobého finančného majetku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f)  mimoriadne výnosy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672 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t xml:space="preserve">- </w:t>
            </w:r>
            <w:r>
              <w:rPr>
                <w:b w:val="false"/>
                <w:bCs w:val="false"/>
                <w:color w:val="000000"/>
                <w:szCs w:val="21"/>
              </w:rPr>
              <w:t>Náhrady škôd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g)  výnosy z transferov a rozpočtových príjmov v obciach, VÚC   a v RO a PO zriadených obcou alebo VÚC                     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512587,85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480350,69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691 - Výnosy z bežných transferov z rozpočtu obce, VÚC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1041,22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692 - Výnosy z kapitálových transferov z rozpočtu obce, VÚC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693 - Výnosy samosprávy z bežných transferov zo ŠR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65864,99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56 748,48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694 - Výnosy samosprávy z kapitálových transferov zo ŠR</w:t>
            </w:r>
          </w:p>
        </w:tc>
        <w:tc>
          <w:tcPr>
            <w:tcW w:w="187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17642,13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27 064,72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695 - Výnosy samosprávy z bežných transferov od EÚ</w:t>
            </w:r>
          </w:p>
        </w:tc>
        <w:tc>
          <w:tcPr>
            <w:tcW w:w="187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696 - Výnosy samosprávy z kapitálových transferov od EÚ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41374,28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35 987,82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697 - Výnosy samosprávy z bežných transferov od ostatných subjektov mimo verejnej správy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8170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4 275,00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698 - Výnosy samosprávy z kapitálových transferov od ostatných subjektov mimo verejnej správy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15683,16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9 067,00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699 - Výnosy samosprávy  z odvodu rozpočtových príjmov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362812,07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</w:r>
          </w:p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347 207,67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h)  ostatné výnosy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47343,23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48 578,69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641 – Tržby z predaja DNM a DHM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320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3 520,00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642 - Tržby z predaja materiálu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3800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645 - Ostatné pokuty, penále a úroky z omeškania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648 - Ostatné výnosy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43223,23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45 058,69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i)   zúčtovanie rezerv, opravných položiek, časového rozlíšenia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3132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0CECE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1370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653 </w:t>
            </w:r>
            <w:r>
              <w:rPr>
                <w:b w:val="false"/>
                <w:bCs w:val="false"/>
                <w:color w:val="000000"/>
                <w:sz w:val="14"/>
                <w:szCs w:val="14"/>
              </w:rPr>
              <w:t xml:space="preserve">- </w:t>
            </w:r>
            <w:r>
              <w:rPr>
                <w:b w:val="false"/>
                <w:bCs w:val="false"/>
                <w:color w:val="000000"/>
                <w:szCs w:val="21"/>
              </w:rPr>
              <w:t>Zúčtovanie ostatných rezerv z prevádzkovej činnosti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1230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1 200,0</w:t>
            </w:r>
          </w:p>
        </w:tc>
      </w:tr>
      <w:tr>
        <w:trPr>
          <w:trHeight w:val="265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658- Zúčtovanie ostatných OP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1902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170</w:t>
            </w:r>
          </w:p>
        </w:tc>
      </w:tr>
    </w:tbl>
    <w:p>
      <w:pPr>
        <w:pStyle w:val="Heading1"/>
        <w:numPr>
          <w:ilvl w:val="0"/>
          <w:numId w:val="3"/>
        </w:numPr>
        <w:spacing w:lineRule="auto" w:line="276" w:before="600" w:after="240"/>
        <w:ind w:hanging="357" w:start="714"/>
        <w:rPr/>
      </w:pPr>
      <w:r>
        <w:rPr/>
        <w:t>Náklady - popis a výška významných položiek nákladov</w:t>
      </w:r>
    </w:p>
    <w:tbl>
      <w:tblPr>
        <w:tblW w:w="10113" w:type="dxa"/>
        <w:jc w:val="start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1" w:noVBand="1" w:lastRow="0" w:firstColumn="1" w:lastColumn="0" w:noHBand="0" w:val="04a0"/>
      </w:tblPr>
      <w:tblGrid>
        <w:gridCol w:w="6425"/>
        <w:gridCol w:w="1875"/>
        <w:gridCol w:w="1813"/>
      </w:tblGrid>
      <w:tr>
        <w:trPr>
          <w:trHeight w:val="57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 xml:space="preserve">Popis /číslo účtu a názov/ </w:t>
            </w:r>
          </w:p>
        </w:tc>
        <w:tc>
          <w:tcPr>
            <w:tcW w:w="1875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Suma k 31.12.2025</w:t>
            </w:r>
          </w:p>
        </w:tc>
        <w:tc>
          <w:tcPr>
            <w:tcW w:w="1813" w:type="dxa"/>
            <w:tcBorders>
              <w:top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F2F2F2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rFonts w:ascii="Calibri" w:hAnsi="Calibri"/>
                <w:b/>
                <w:bCs/>
                <w:color w:val="000000"/>
                <w:szCs w:val="21"/>
              </w:rPr>
            </w:pPr>
            <w:r>
              <w:rPr>
                <w:b/>
                <w:bCs/>
                <w:color w:val="000000"/>
                <w:szCs w:val="21"/>
              </w:rPr>
              <w:t>Suma k 31.12.2024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a)  spotrebované nákupy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89 153,75 €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114 388,97 €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501 - Spotreba materiálu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54 346,46 €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76 865,43 €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502 - Spotreba energie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34 807,29 €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37 523,54 €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b)  služby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177 367,68 €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161 269,00 €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511 - Opravy a udržiavanie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37 652,72 €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19 032,99 €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512 - Cestovné</w:t>
            </w:r>
          </w:p>
        </w:tc>
        <w:tc>
          <w:tcPr>
            <w:tcW w:w="18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3,20 €</w:t>
            </w:r>
          </w:p>
        </w:tc>
        <w:tc>
          <w:tcPr>
            <w:tcW w:w="1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608,54 €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513 - Náklady na reprezentáciu</w:t>
            </w:r>
          </w:p>
        </w:tc>
        <w:tc>
          <w:tcPr>
            <w:tcW w:w="18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6 030,45 €</w:t>
            </w:r>
          </w:p>
        </w:tc>
        <w:tc>
          <w:tcPr>
            <w:tcW w:w="1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10 641,13 €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518 - Ostatné služby</w:t>
            </w:r>
          </w:p>
        </w:tc>
        <w:tc>
          <w:tcPr>
            <w:tcW w:w="18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133 681,31 €</w:t>
            </w:r>
          </w:p>
        </w:tc>
        <w:tc>
          <w:tcPr>
            <w:tcW w:w="1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130 986,34 €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c)  osobné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340 699,17 €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316 646,28 €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521 - Mzdové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234 665,85 €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218 489,71 €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524 - Zákonné sociálne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84 572,11 €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78 867,11 €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525 – Ostatné sociálne poistenie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4 372,17 €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3 694,09 €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527 - Zákonné sociálne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17 089,04 €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15 595,37 €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d)  dane a poplatky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13 063,96 €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4 327,52 €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538 - Ostatné dane a poplatky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13 063,96 €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4 327,52 €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e)  odpisy, rezervy a opravné položky 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211 500,95 €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209 080,55 €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551 - Odpisy  DNM a DHM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209 170,95 €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198 679,55 €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553 - Tvorba ostatných rezerv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2 330,00 €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2 330,00 €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 xml:space="preserve">           </w:t>
            </w:r>
            <w:r>
              <w:rPr>
                <w:b w:val="false"/>
                <w:bCs w:val="false"/>
                <w:color w:val="000000"/>
                <w:szCs w:val="21"/>
              </w:rPr>
              <w:t>rezerva na audit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2 330,00 €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2 330,00 €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558 - Tvorba ostatných opravných položiek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8 071,00 €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f)  finančné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48 349,27 €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16 180,26 €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561 - Predané CP a podiely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562 - Úroky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13 111,64 €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6 974,38 €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568 - Ostatné finančné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35 237,63 €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9 205,88 €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g)  mimoriadne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572 - Škody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h)  náklady na transfery a náklady z odvodov príjmov</w:t>
            </w:r>
          </w:p>
        </w:tc>
        <w:tc>
          <w:tcPr>
            <w:tcW w:w="18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618 521,12 €</w:t>
            </w:r>
          </w:p>
        </w:tc>
        <w:tc>
          <w:tcPr>
            <w:tcW w:w="1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739 748,18 €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584 - Náklady na transfery z rozpočtu obce, VÚC do RO, PO zriadených obcou alebo VÚC</w:t>
            </w:r>
          </w:p>
        </w:tc>
        <w:tc>
          <w:tcPr>
            <w:tcW w:w="1875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597 496,12 €</w:t>
            </w:r>
          </w:p>
        </w:tc>
        <w:tc>
          <w:tcPr>
            <w:tcW w:w="1813" w:type="dxa"/>
            <w:tcBorders>
              <w:top w:val="single" w:sz="4" w:space="0" w:color="000000"/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698 799,96 €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585 - Náklady na transfery z rozpočtu obce, VÚC ostatným subjektov verejnej správy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8 768,22 €</w:t>
            </w:r>
          </w:p>
        </w:tc>
      </w:tr>
      <w:tr>
        <w:trPr>
          <w:trHeight w:val="57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586 - Náklady na transfery z rozpočtu obce, VÚC subjektov mimo verejnej správy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21 025,00 €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32 180,00 €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589 - Náklady z budúceho odvodu príjmov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i)  ostatné náklady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24 179,86 €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rFonts w:ascii="Calibri" w:hAnsi="Calibri"/>
                <w:b w:val="false"/>
                <w:bCs w:val="false"/>
                <w:color w:val="000000"/>
                <w:szCs w:val="21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22 269,70 €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541 - ZC predaného DNM a DHM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542- Predaný materiál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544 - Zmluvné pokuty, penále a úroky z omeškania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31,50 €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55,00 €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545 - Ostatné pokuty, penále a úroky z omeškania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105,70 €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546 - Odpis pohľadávky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170,00 €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548 - Ostatné náklady na prevádzkovú činnosť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24 148,36 €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21 939,00 €</w:t>
            </w:r>
          </w:p>
        </w:tc>
      </w:tr>
      <w:tr>
        <w:trPr>
          <w:trHeight w:val="401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549 - Manká a škody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j)  dane z príjmov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000000" w:fill="D8D8D8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  <w:tr>
        <w:trPr>
          <w:trHeight w:val="300" w:hRule="atLeast"/>
        </w:trPr>
        <w:tc>
          <w:tcPr>
            <w:tcW w:w="6425" w:type="dxa"/>
            <w:tcBorders>
              <w:start w:val="single" w:sz="4" w:space="0" w:color="000000"/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591 - Splatná daň z príjmov – zrážková daň</w:t>
            </w:r>
          </w:p>
        </w:tc>
        <w:tc>
          <w:tcPr>
            <w:tcW w:w="1875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0,00 €</w:t>
            </w:r>
          </w:p>
        </w:tc>
        <w:tc>
          <w:tcPr>
            <w:tcW w:w="1813" w:type="dxa"/>
            <w:tcBorders>
              <w:bottom w:val="single" w:sz="4" w:space="0" w:color="000000"/>
              <w:end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before="0" w:after="0"/>
              <w:jc w:val="end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color w:val="000000"/>
                <w:szCs w:val="21"/>
              </w:rPr>
              <w:t>0,00 €</w:t>
            </w:r>
          </w:p>
        </w:tc>
      </w:tr>
    </w:tbl>
    <w:p>
      <w:pPr>
        <w:pStyle w:val="Normal"/>
        <w:rPr/>
      </w:pPr>
      <w:r>
        <w:rPr/>
      </w:r>
    </w:p>
    <w:p>
      <w:pPr>
        <w:pStyle w:val="Heading1"/>
        <w:numPr>
          <w:ilvl w:val="0"/>
          <w:numId w:val="29"/>
        </w:numPr>
        <w:spacing w:lineRule="auto" w:line="276"/>
        <w:rPr/>
      </w:pPr>
      <w:r>
        <w:rPr/>
        <w:t xml:space="preserve">Majetok a záväzky zabezpečené derivátmi </w:t>
      </w:r>
    </w:p>
    <w:p>
      <w:pPr>
        <w:pStyle w:val="Normal"/>
        <w:spacing w:lineRule="auto" w:line="276"/>
        <w:ind w:start="708"/>
        <w:rPr/>
      </w:pPr>
      <w:r>
        <w:rPr/>
        <w:t>Obec nemá žiadny majetok zabezpečený derivátmi.</w:t>
      </w:r>
    </w:p>
    <w:p>
      <w:pPr>
        <w:pStyle w:val="Title"/>
        <w:numPr>
          <w:ilvl w:val="0"/>
          <w:numId w:val="2"/>
        </w:numPr>
        <w:spacing w:lineRule="auto" w:line="276"/>
        <w:ind w:hanging="0" w:start="0"/>
        <w:rPr/>
      </w:pPr>
      <w:r>
        <w:rPr/>
        <w:t>Informácie o iných aktívach a iných pasívach</w:t>
      </w:r>
    </w:p>
    <w:p>
      <w:pPr>
        <w:pStyle w:val="Heading1"/>
        <w:numPr>
          <w:ilvl w:val="0"/>
          <w:numId w:val="30"/>
        </w:numPr>
        <w:spacing w:lineRule="auto" w:line="276"/>
        <w:rPr/>
      </w:pPr>
      <w:r>
        <w:rPr/>
        <w:t xml:space="preserve">Iné aktíva a iné pasíva </w:t>
      </w:r>
    </w:p>
    <w:p>
      <w:pPr>
        <w:pStyle w:val="ListParagraph"/>
        <w:numPr>
          <w:ilvl w:val="0"/>
          <w:numId w:val="14"/>
        </w:numPr>
        <w:spacing w:lineRule="auto" w:line="276" w:before="240" w:after="120"/>
        <w:contextualSpacing w:val="false"/>
        <w:rPr>
          <w:b/>
        </w:rPr>
      </w:pPr>
      <w:r>
        <w:rPr/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>
      <w:pPr>
        <w:pStyle w:val="Normal"/>
        <w:spacing w:lineRule="auto" w:line="276"/>
        <w:ind w:firstLine="708"/>
        <w:rPr>
          <w:b/>
        </w:rPr>
      </w:pPr>
      <w:r>
        <w:rPr/>
        <w:t>Obec nemá vyššie uvedené aktíva.</w:t>
      </w:r>
    </w:p>
    <w:p>
      <w:pPr>
        <w:pStyle w:val="ListParagraph"/>
        <w:numPr>
          <w:ilvl w:val="0"/>
          <w:numId w:val="14"/>
        </w:numPr>
        <w:spacing w:lineRule="auto" w:line="276" w:before="240" w:after="120"/>
        <w:contextualSpacing w:val="false"/>
        <w:rPr/>
      </w:pPr>
      <w:r>
        <w:rPr/>
        <w:t>opis a hodnota iných pasív, vyplývajúcich zo súdnych rozhodnutí, z poskytnutých záruk, zo všeobecne záväzných právnych predpisov, z ručenia podľa jednotlivých druhov ručenia, takýmito inými pasívami sú:</w:t>
      </w:r>
    </w:p>
    <w:p>
      <w:pPr>
        <w:pStyle w:val="ListParagraph"/>
        <w:numPr>
          <w:ilvl w:val="1"/>
          <w:numId w:val="14"/>
        </w:numPr>
        <w:spacing w:lineRule="auto" w:line="276" w:before="240" w:after="120"/>
        <w:contextualSpacing w:val="false"/>
        <w:rPr>
          <w:b/>
        </w:rPr>
      </w:pPr>
      <w:r>
        <w:rPr/>
        <w:t xml:space="preserve">možná povinnosť, ktorá vznikla ako dôsledok minulej udalosti a ktorej existencia závisí od toho, či nastane alebo nenastane jedna alebo viac neistých udalostí v budúcnosti, ktorých vznik nezávisí od účtovnej jednotky, alebo </w:t>
      </w:r>
    </w:p>
    <w:p>
      <w:pPr>
        <w:pStyle w:val="ListParagraph"/>
        <w:numPr>
          <w:ilvl w:val="1"/>
          <w:numId w:val="14"/>
        </w:numPr>
        <w:spacing w:lineRule="auto" w:line="276" w:before="240" w:after="120"/>
        <w:contextualSpacing w:val="false"/>
        <w:rPr>
          <w:b/>
        </w:rPr>
      </w:pPr>
      <w:r>
        <w:rPr>
          <w:b/>
        </w:rPr>
        <w:t xml:space="preserve">povinnosť, </w:t>
      </w:r>
      <w:r>
        <w:rPr/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>
      <w:pPr>
        <w:pStyle w:val="Normal"/>
        <w:spacing w:lineRule="auto" w:line="276"/>
        <w:ind w:firstLine="708" w:start="372"/>
        <w:rPr>
          <w:b/>
        </w:rPr>
      </w:pPr>
      <w:r>
        <w:rPr/>
        <w:t>Obec nemá vyššie uvedené pasíva.</w:t>
      </w:r>
    </w:p>
    <w:p>
      <w:pPr>
        <w:pStyle w:val="ListParagraph"/>
        <w:numPr>
          <w:ilvl w:val="0"/>
          <w:numId w:val="14"/>
        </w:numPr>
        <w:spacing w:lineRule="auto" w:line="276" w:before="240" w:after="120"/>
        <w:contextualSpacing w:val="false"/>
        <w:rPr>
          <w:b/>
        </w:rPr>
      </w:pPr>
      <w:r>
        <w:rPr/>
        <w:t>zoznam nehnuteľných kultúrnych pamiatok v správe alebo vo vlastníctve účtovnej jednotky –</w:t>
      </w:r>
    </w:p>
    <w:p>
      <w:pPr>
        <w:pStyle w:val="ListParagraph"/>
        <w:spacing w:lineRule="auto" w:line="276" w:before="240" w:after="120"/>
        <w:contextualSpacing w:val="false"/>
        <w:rPr>
          <w:b/>
        </w:rPr>
      </w:pPr>
      <w:r>
        <w:rPr/>
        <w:t>Obec nemá v správe alebo vo vlastníctve žiadnu nehnuteľnú kultúrnu pamiatku.</w:t>
      </w:r>
    </w:p>
    <w:p>
      <w:pPr>
        <w:pStyle w:val="ListParagraph"/>
        <w:numPr>
          <w:ilvl w:val="0"/>
          <w:numId w:val="14"/>
        </w:numPr>
        <w:spacing w:lineRule="auto" w:line="276" w:before="240" w:after="120"/>
        <w:contextualSpacing w:val="false"/>
        <w:rPr/>
      </w:pPr>
      <w:r>
        <w:rPr/>
        <w:t>informácia, či sú iné aktíva a iné pasíva vykázané voči účtovnej jednotke súhrnného celku</w:t>
      </w:r>
    </w:p>
    <w:p>
      <w:pPr>
        <w:pStyle w:val="Normal"/>
        <w:spacing w:lineRule="auto" w:line="276"/>
        <w:ind w:start="708"/>
        <w:rPr/>
      </w:pPr>
      <w:r>
        <w:rPr/>
        <w:t>Obec nemá náplň pre túto položku.</w:t>
      </w:r>
    </w:p>
    <w:p>
      <w:pPr>
        <w:pStyle w:val="Normal"/>
        <w:spacing w:lineRule="auto" w:line="276"/>
        <w:ind w:start="708"/>
        <w:rPr/>
      </w:pPr>
      <w:r>
        <w:rPr/>
        <w:t xml:space="preserve">Významné položky ostatných finančných povinností, ktoré sa nevykazujú v účtovných výkazoch. </w:t>
      </w:r>
    </w:p>
    <w:p>
      <w:pPr>
        <w:pStyle w:val="Normal"/>
        <w:spacing w:lineRule="auto" w:line="276"/>
        <w:ind w:start="708"/>
        <w:rPr/>
      </w:pPr>
      <w:r>
        <w:rPr/>
        <w:t>Obec nemá náplň pre túto položku.</w:t>
      </w:r>
    </w:p>
    <w:p>
      <w:pPr>
        <w:pStyle w:val="Normal"/>
        <w:spacing w:before="0" w:after="0"/>
        <w:jc w:val="start"/>
        <w:rPr/>
      </w:pPr>
      <w:r>
        <w:rPr/>
      </w:r>
      <w:r>
        <w:br w:type="page"/>
      </w:r>
    </w:p>
    <w:p>
      <w:pPr>
        <w:pStyle w:val="Title"/>
        <w:numPr>
          <w:ilvl w:val="0"/>
          <w:numId w:val="2"/>
        </w:numPr>
        <w:spacing w:lineRule="auto" w:line="276" w:before="0" w:after="240"/>
        <w:ind w:hanging="0" w:start="0"/>
        <w:rPr/>
      </w:pPr>
      <w:r>
        <w:rPr/>
        <w:t>Informácie o spriaznených osobách a o ekonomických vzťahoch účtovnej jednotky a spriaznených osôb</w:t>
      </w:r>
    </w:p>
    <w:p>
      <w:pPr>
        <w:pStyle w:val="Heading1"/>
        <w:numPr>
          <w:ilvl w:val="0"/>
          <w:numId w:val="31"/>
        </w:numPr>
        <w:spacing w:lineRule="auto" w:line="276"/>
        <w:rPr/>
      </w:pPr>
      <w:r>
        <w:rPr/>
        <w:t>Informácie o spriaznených osobách a o ekonomických vzťahoch účtovnej jednotky a spriaznených osôb</w:t>
      </w:r>
    </w:p>
    <w:p>
      <w:pPr>
        <w:pStyle w:val="Normal"/>
        <w:spacing w:lineRule="auto" w:line="276"/>
        <w:ind w:firstLine="360"/>
        <w:rPr/>
      </w:pPr>
      <w:r>
        <w:rPr/>
        <w:t>Spriaznenými osobami pre obec sú :</w:t>
      </w:r>
    </w:p>
    <w:p>
      <w:pPr>
        <w:pStyle w:val="ListParagraph"/>
        <w:numPr>
          <w:ilvl w:val="0"/>
          <w:numId w:val="1"/>
        </w:numPr>
        <w:spacing w:lineRule="auto" w:line="276"/>
        <w:rPr/>
      </w:pPr>
      <w:r>
        <w:rPr/>
        <w:t xml:space="preserve">starosta obce, </w:t>
      </w:r>
    </w:p>
    <w:p>
      <w:pPr>
        <w:pStyle w:val="ListParagraph"/>
        <w:numPr>
          <w:ilvl w:val="0"/>
          <w:numId w:val="1"/>
        </w:numPr>
        <w:spacing w:lineRule="auto" w:line="276"/>
        <w:rPr/>
      </w:pPr>
      <w:r>
        <w:rPr/>
        <w:t xml:space="preserve">poslanci obecného zastupiteľstva, </w:t>
      </w:r>
    </w:p>
    <w:p>
      <w:pPr>
        <w:pStyle w:val="ListParagraph"/>
        <w:numPr>
          <w:ilvl w:val="0"/>
          <w:numId w:val="1"/>
        </w:numPr>
        <w:spacing w:lineRule="auto" w:line="276"/>
        <w:rPr/>
      </w:pPr>
      <w:r>
        <w:rPr/>
        <w:t>hlavný kontrolór obce,</w:t>
      </w:r>
    </w:p>
    <w:p>
      <w:pPr>
        <w:pStyle w:val="ListParagraph"/>
        <w:numPr>
          <w:ilvl w:val="0"/>
          <w:numId w:val="1"/>
        </w:numPr>
        <w:spacing w:lineRule="auto" w:line="276"/>
        <w:rPr/>
      </w:pPr>
      <w:r>
        <w:rPr/>
        <w:t>obchodné spoločnosti, v štruktúrach ktorých sú poslanci obecného zastupiteľstva.</w:t>
      </w:r>
    </w:p>
    <w:p>
      <w:pPr>
        <w:pStyle w:val="Normal"/>
        <w:spacing w:lineRule="auto" w:line="276"/>
        <w:ind w:firstLine="360"/>
        <w:rPr/>
      </w:pPr>
      <w:r>
        <w:rPr/>
      </w:r>
    </w:p>
    <w:p>
      <w:pPr>
        <w:pStyle w:val="Normal"/>
        <w:spacing w:lineRule="auto" w:line="276"/>
        <w:ind w:firstLine="360"/>
        <w:rPr/>
      </w:pPr>
      <w:r>
        <w:rPr/>
        <w:t>V účtovnom období boli uskutočnené obchody so spriaznenými osobami:</w:t>
      </w:r>
    </w:p>
    <w:tbl>
      <w:tblPr>
        <w:tblStyle w:val="Mriekatabuky"/>
        <w:tblW w:w="9209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2829"/>
        <w:gridCol w:w="2551"/>
        <w:gridCol w:w="1986"/>
        <w:gridCol w:w="1843"/>
      </w:tblGrid>
      <w:tr>
        <w:trPr/>
        <w:tc>
          <w:tcPr>
            <w:tcW w:w="2829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rPr>
                <w:b/>
              </w:rPr>
            </w:pPr>
            <w:r>
              <w:rPr>
                <w:rFonts w:eastAsia="Times New Roman" w:cs="Times New Roman"/>
                <w:b/>
                <w:kern w:val="0"/>
                <w:szCs w:val="20"/>
                <w:lang w:val="sk-SK" w:eastAsia="sk-SK" w:bidi="ar-SA"/>
              </w:rPr>
              <w:t>Spriaznená osoba</w:t>
            </w:r>
          </w:p>
        </w:tc>
        <w:tc>
          <w:tcPr>
            <w:tcW w:w="2551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rPr>
                <w:b/>
              </w:rPr>
            </w:pPr>
            <w:r>
              <w:rPr>
                <w:rFonts w:eastAsia="Times New Roman" w:cs="Times New Roman"/>
                <w:b/>
                <w:kern w:val="0"/>
                <w:szCs w:val="20"/>
                <w:lang w:val="sk-SK" w:eastAsia="sk-SK" w:bidi="ar-SA"/>
              </w:rPr>
              <w:t>Druh obchodu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rPr>
                <w:b/>
              </w:rPr>
            </w:pPr>
            <w:r>
              <w:rPr>
                <w:rFonts w:eastAsia="Times New Roman" w:cs="Times New Roman"/>
                <w:b/>
                <w:kern w:val="0"/>
                <w:szCs w:val="20"/>
                <w:lang w:val="sk-SK" w:eastAsia="sk-SK" w:bidi="ar-SA"/>
              </w:rPr>
              <w:t>Hodnotové vyjadrenie obchodu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jc w:val="start"/>
              <w:rPr>
                <w:b/>
              </w:rPr>
            </w:pPr>
            <w:r>
              <w:rPr>
                <w:rFonts w:eastAsia="Times New Roman" w:cs="Times New Roman"/>
                <w:b/>
                <w:kern w:val="0"/>
                <w:szCs w:val="20"/>
                <w:lang w:val="sk-SK" w:eastAsia="sk-SK" w:bidi="ar-SA"/>
              </w:rPr>
              <w:t>Informácia o cene obchodu</w:t>
            </w:r>
          </w:p>
        </w:tc>
      </w:tr>
      <w:tr>
        <w:trPr/>
        <w:tc>
          <w:tcPr>
            <w:tcW w:w="2829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jc w:val="start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  <w:t>Poslanec OZ –</w:t>
            </w:r>
          </w:p>
          <w:p>
            <w:pPr>
              <w:pStyle w:val="Normal"/>
              <w:widowControl/>
              <w:suppressAutoHyphens w:val="true"/>
              <w:spacing w:lineRule="auto" w:line="276" w:before="120" w:after="120"/>
              <w:jc w:val="start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  <w:t>Ing. Martin Sameliak - konateľ LK-SERVIS, spol. s r. o.</w:t>
            </w:r>
          </w:p>
        </w:tc>
        <w:tc>
          <w:tcPr>
            <w:tcW w:w="2551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jc w:val="start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  <w:t>Služby – pomocné práce strojom – mulčovanie, nakladanie vykladanie zeminy, prevoz peliet – obecné budovy</w:t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jc w:val="center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76" w:before="120" w:after="120"/>
              <w:jc w:val="center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  <w:t>3 612,00 EUR</w:t>
            </w:r>
          </w:p>
        </w:tc>
        <w:tc>
          <w:tcPr>
            <w:tcW w:w="1843" w:type="dxa"/>
            <w:tcBorders/>
          </w:tcPr>
          <w:p>
            <w:pPr>
              <w:pStyle w:val="Normal"/>
              <w:widowControl/>
              <w:suppressAutoHyphens w:val="true"/>
              <w:spacing w:lineRule="auto" w:line="276" w:before="120" w:after="120"/>
              <w:jc w:val="center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76" w:before="120" w:after="120"/>
              <w:jc w:val="center"/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</w:pPr>
            <w:r>
              <w:rPr>
                <w:rFonts w:eastAsia="Times New Roman" w:cs="Times New Roman"/>
                <w:kern w:val="0"/>
                <w:szCs w:val="20"/>
                <w:lang w:val="sk-SK" w:eastAsia="sk-SK" w:bidi="ar-SA"/>
              </w:rPr>
              <w:t>Cena obvyklá</w:t>
            </w:r>
          </w:p>
        </w:tc>
      </w:tr>
    </w:tbl>
    <w:p>
      <w:pPr>
        <w:pStyle w:val="Normal"/>
        <w:spacing w:lineRule="auto" w:line="276"/>
        <w:rPr/>
      </w:pPr>
      <w:r>
        <w:rPr/>
      </w:r>
    </w:p>
    <w:p>
      <w:pPr>
        <w:pStyle w:val="Title"/>
        <w:numPr>
          <w:ilvl w:val="0"/>
          <w:numId w:val="2"/>
        </w:numPr>
        <w:spacing w:lineRule="auto" w:line="276"/>
        <w:ind w:hanging="0" w:start="0"/>
        <w:rPr/>
      </w:pPr>
      <w:r>
        <w:rPr/>
        <w:t xml:space="preserve">Informácie o rozpočte a hodnotenie plnenia rozpočtu </w:t>
      </w:r>
    </w:p>
    <w:p>
      <w:pPr>
        <w:pStyle w:val="Heading1"/>
        <w:numPr>
          <w:ilvl w:val="0"/>
          <w:numId w:val="0"/>
        </w:numPr>
        <w:spacing w:lineRule="auto" w:line="276"/>
        <w:ind w:hanging="0" w:start="720"/>
        <w:rPr/>
      </w:pPr>
      <w:r>
        <w:rPr/>
        <w:t>Informácie o rozpočte a hodnotenie plnenia rozpočtu - tabuľka č.12-14</w:t>
      </w:r>
    </w:p>
    <w:p>
      <w:pPr>
        <w:pStyle w:val="Normal"/>
        <w:spacing w:lineRule="auto" w:line="276"/>
        <w:rPr/>
      </w:pPr>
      <w:r>
        <w:rPr/>
        <w:t>Textová časť k tabuľke č.12-14:</w:t>
      </w:r>
    </w:p>
    <w:p>
      <w:pPr>
        <w:pStyle w:val="Normal"/>
        <w:spacing w:lineRule="auto" w:line="276"/>
        <w:rPr>
          <w:highlight w:val="yellow"/>
        </w:rPr>
      </w:pPr>
      <w:r>
        <w:rPr/>
        <w:t>Rozpočet Obce Partizánska Ľupča na rok 2025 bol schválený obecným zastupiteľstvom dňa 1</w:t>
      </w:r>
      <w:r>
        <w:rPr/>
        <w:t>1</w:t>
      </w:r>
      <w:r>
        <w:rPr/>
        <w:t xml:space="preserve">.12.2025 uznesením č. </w:t>
      </w:r>
      <w:r>
        <w:rPr/>
        <w:t>66</w:t>
      </w:r>
      <w:r>
        <w:rPr/>
        <w:t>/</w:t>
      </w:r>
      <w:r>
        <w:rPr/>
        <w:t>6</w:t>
      </w:r>
      <w:r>
        <w:rPr/>
        <w:t xml:space="preserve">/2024. </w:t>
      </w:r>
    </w:p>
    <w:p>
      <w:pPr>
        <w:pStyle w:val="Normal"/>
        <w:spacing w:lineRule="auto" w:line="276"/>
        <w:rPr/>
      </w:pPr>
      <w:r>
        <w:rPr>
          <w:b/>
        </w:rPr>
        <w:t>Výška dlhu</w:t>
      </w:r>
      <w:r>
        <w:rPr/>
        <w:t xml:space="preserve"> podľa § 17 ods. 7 -8 zákonač.583/2004 Z. z. o rozpočtových pravidlách územnej samosprávy a o zmene a doplnení niektorých zákonov v z. n. p. za bežné účtovné obdobie a bezprostredne predchádzajúce účtovné obdobie - tabuľka č.15.</w:t>
      </w:r>
    </w:p>
    <w:p>
      <w:pPr>
        <w:pStyle w:val="Title"/>
        <w:numPr>
          <w:ilvl w:val="0"/>
          <w:numId w:val="2"/>
        </w:numPr>
        <w:spacing w:lineRule="auto" w:line="276"/>
        <w:ind w:hanging="0" w:start="0"/>
        <w:rPr/>
      </w:pPr>
      <w:r>
        <w:rPr/>
        <w:t>Informácie o skutočnostiach, ktoré nastali po dni, ku ktorému sa zostavuje účtovná závierka do dňa zostavenia účtovnej závierky</w:t>
      </w:r>
    </w:p>
    <w:p>
      <w:pPr>
        <w:pStyle w:val="Normal"/>
        <w:rPr/>
      </w:pPr>
      <w:r>
        <w:rPr/>
        <w:t xml:space="preserve">Po 31. decembri </w:t>
      </w:r>
      <w:r>
        <w:rPr>
          <w:iCs/>
        </w:rPr>
        <w:t>2025</w:t>
      </w:r>
      <w:r>
        <w:rPr/>
        <w:t xml:space="preserve"> nenastali také udalosti, ktoré by si vyžadovali zverejnenie alebo vykázanie v účtovnej závierke za rok 2024.</w:t>
      </w:r>
    </w:p>
    <w:p>
      <w:pPr>
        <w:pStyle w:val="Title"/>
        <w:numPr>
          <w:ilvl w:val="0"/>
          <w:numId w:val="2"/>
        </w:numPr>
        <w:ind w:hanging="0" w:start="0"/>
        <w:rPr/>
      </w:pPr>
      <w:r>
        <w:rPr/>
        <w:t xml:space="preserve"> </w:t>
      </w:r>
      <w:r>
        <w:rPr/>
        <w:t xml:space="preserve">Udalosti osobitného významu </w:t>
      </w:r>
    </w:p>
    <w:p>
      <w:pPr>
        <w:pStyle w:val="Normal"/>
        <w:rPr/>
      </w:pPr>
      <w:r>
        <w:rPr/>
        <w:t>Vedenie obce vyhodnotilo potenciálne dopady na neustále zvyšovanie cien a</w:t>
      </w:r>
      <w:bookmarkStart w:id="97" w:name="_GoBack"/>
      <w:bookmarkEnd w:id="97"/>
      <w:r>
        <w:rPr/>
        <w:t xml:space="preserve"> dospelo k záveru, že ani zvýšenie cien energií a iných artiklov nemali v roku 2025 významný vplyv na schopnosť obce plniť základné funkcie, ktoré jej vyplývajú zo zákona o obecnom zriadení. </w:t>
      </w:r>
    </w:p>
    <w:p>
      <w:pPr>
        <w:pStyle w:val="Heading1"/>
        <w:numPr>
          <w:ilvl w:val="0"/>
          <w:numId w:val="0"/>
        </w:numPr>
        <w:ind w:hanging="0" w:start="720"/>
        <w:rPr/>
      </w:pPr>
      <w:r>
        <w:rPr/>
      </w:r>
    </w:p>
    <w:p>
      <w:pPr>
        <w:pStyle w:val="Normal"/>
        <w:spacing w:lineRule="auto" w:line="276" w:before="120" w:after="120"/>
        <w:rPr>
          <w:rFonts w:cs="Calibri" w:cstheme="minorHAnsi"/>
          <w:b/>
          <w:sz w:val="24"/>
          <w:szCs w:val="24"/>
          <w:u w:val="single"/>
        </w:rPr>
      </w:pPr>
      <w:r>
        <w:rPr>
          <w:rFonts w:cs="Calibri" w:cstheme="minorHAnsi"/>
          <w:b/>
          <w:sz w:val="24"/>
          <w:szCs w:val="24"/>
          <w:u w:val="single"/>
        </w:rPr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1134" w:right="849" w:gutter="0" w:header="709" w:top="2127" w:footer="709" w:bottom="127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Cambria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ahoma">
    <w:charset w:val="ee" w:characterSet="windows-1250"/>
    <w:family w:val="swiss"/>
    <w:pitch w:val="variable"/>
  </w:font>
  <w:font w:name="Arial Narrow">
    <w:charset w:val="ee" w:characterSet="windows-1250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Calibri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ind w:end="360"/>
      <w:rPr/>
    </w:pPr>
    <w:r>
      <w:rPr/>
      <mc:AlternateContent>
        <mc:Choice Requires="wps">
          <w:drawing>
            <wp:anchor distT="0" distB="0" distL="0" distR="0" simplePos="0" relativeHeight="43" behindDoc="1" locked="0" layoutInCell="0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None/>
              <wp:docPr id="4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4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Footer"/>
                            <w:spacing w:before="120" w:after="12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0pt;margin-top:0.05pt;width:1.1pt;height:1.1pt;mso-wrap-style:square;v-text-anchor:top;mso-position-horizontal:center;mso-position-horizontal-relative:margin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Footer"/>
                      <w:spacing w:before="120" w:after="12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ind w:end="360"/>
      <w:rPr/>
    </w:pPr>
    <w:r>
      <w:rPr/>
      <mc:AlternateContent>
        <mc:Choice Requires="wps">
          <w:drawing>
            <wp:anchor distT="0" distB="0" distL="0" distR="0" simplePos="0" relativeHeight="40" behindDoc="1" locked="0" layoutInCell="0" allowOverlap="1">
              <wp:simplePos x="0" y="0"/>
              <wp:positionH relativeFrom="page">
                <wp:posOffset>3870325</wp:posOffset>
              </wp:positionH>
              <wp:positionV relativeFrom="paragraph">
                <wp:posOffset>213360</wp:posOffset>
              </wp:positionV>
              <wp:extent cx="135255" cy="237490"/>
              <wp:effectExtent l="0" t="0" r="0" b="0"/>
              <wp:wrapNone/>
              <wp:docPr id="5" name="Rámec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5360" cy="237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sdt>
                          <w:sdtPr>
                            <w:id w:val="378752515"/>
                            <w:docPartObj>
                              <w:docPartGallery w:val="Page Numbers (Bottom of Page)"/>
                              <w:docPartUnique w:val="true"/>
                            </w:docPartObj>
                          </w:sdtPr>
                          <w:sdtContent>
                            <w:p>
                              <w:pPr>
                                <w:pStyle w:val="Footer"/>
                                <w:spacing w:before="120" w:after="120"/>
                                <w:rPr>
                                  <w:rStyle w:val="PageNumber"/>
                                </w:rPr>
                              </w:pPr>
                              <w:r>
                                <w:rPr>
                                  <w:rStyle w:val="PageNumber"/>
                                </w:rPr>
                                <w:fldChar w:fldCharType="begin"/>
                              </w:r>
                              <w:r>
                                <w:rPr>
                                  <w:rStyle w:val="PageNumber"/>
                                </w:rPr>
                                <w:instrText xml:space="preserve"> PAGE </w:instrTex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separate"/>
                              </w:r>
                              <w:r>
                                <w:rPr>
                                  <w:rStyle w:val="PageNumber"/>
                                </w:rPr>
                                <w:t>20</w: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304.75pt;margin-top:16.8pt;width:10.6pt;height:18.65pt;mso-wrap-style:square;v-text-anchor:top;mso-position-horizontal-relative:page">
              <v:fill o:detectmouseclick="t" type="solid" color2="black" opacity="0"/>
              <v:stroke color="#3465a4" joinstyle="round" endcap="flat"/>
              <v:textbox>
                <w:txbxContent>
                  <w:sdt>
                    <w:sdtPr>
                      <w:id w:val="378752515"/>
                      <w:docPartObj>
                        <w:docPartGallery w:val="Page Numbers (Bottom of Page)"/>
                        <w:docPartUnique w:val="true"/>
                      </w:docPartObj>
                    </w:sdtPr>
                    <w:sdtContent>
                      <w:p>
                        <w:pPr>
                          <w:pStyle w:val="Footer"/>
                          <w:spacing w:before="120" w:after="120"/>
                          <w:rPr>
                            <w:rStyle w:val="PageNumber"/>
                          </w:rPr>
                        </w:pPr>
                        <w:r>
                          <w:rPr>
                            <w:rStyle w:val="PageNumber"/>
                          </w:rPr>
                          <w:fldChar w:fldCharType="begin"/>
                        </w:r>
                        <w:r>
                          <w:rPr>
                            <w:rStyle w:val="PageNumber"/>
                          </w:rPr>
                          <w:instrText xml:space="preserve"> PAGE </w:instrText>
                        </w:r>
                        <w:r>
                          <w:rPr>
                            <w:rStyle w:val="PageNumber"/>
                          </w:rPr>
                          <w:fldChar w:fldCharType="separate"/>
                        </w:r>
                        <w:r>
                          <w:rPr>
                            <w:rStyle w:val="PageNumber"/>
                          </w:rPr>
                          <w:t>20</w:t>
                        </w:r>
                        <w:r>
                          <w:rPr>
                            <w:rStyle w:val="PageNumber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120" w:after="120"/>
      <w:ind w:end="360"/>
      <w:rPr/>
    </w:pPr>
    <w:r>
      <w:rPr/>
      <mc:AlternateContent>
        <mc:Choice Requires="wps">
          <w:drawing>
            <wp:anchor distT="0" distB="0" distL="0" distR="0" simplePos="0" relativeHeight="40" behindDoc="1" locked="0" layoutInCell="0" allowOverlap="1">
              <wp:simplePos x="0" y="0"/>
              <wp:positionH relativeFrom="page">
                <wp:posOffset>3870325</wp:posOffset>
              </wp:positionH>
              <wp:positionV relativeFrom="paragraph">
                <wp:posOffset>213360</wp:posOffset>
              </wp:positionV>
              <wp:extent cx="135255" cy="237490"/>
              <wp:effectExtent l="0" t="0" r="0" b="0"/>
              <wp:wrapNone/>
              <wp:docPr id="6" name="Rámec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5360" cy="237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sdt>
                          <w:sdtPr>
                            <w:id w:val="378752515"/>
                            <w:docPartObj>
                              <w:docPartGallery w:val="Page Numbers (Bottom of Page)"/>
                              <w:docPartUnique w:val="true"/>
                            </w:docPartObj>
                          </w:sdtPr>
                          <w:sdtContent>
                            <w:p>
                              <w:pPr>
                                <w:pStyle w:val="Footer"/>
                                <w:spacing w:before="120" w:after="120"/>
                                <w:rPr>
                                  <w:rStyle w:val="PageNumber"/>
                                </w:rPr>
                              </w:pPr>
                              <w:r>
                                <w:rPr>
                                  <w:rStyle w:val="PageNumber"/>
                                </w:rPr>
                                <w:fldChar w:fldCharType="begin"/>
                              </w:r>
                              <w:r>
                                <w:rPr>
                                  <w:rStyle w:val="PageNumber"/>
                                </w:rPr>
                                <w:instrText xml:space="preserve"> PAGE </w:instrTex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separate"/>
                              </w:r>
                              <w:r>
                                <w:rPr>
                                  <w:rStyle w:val="PageNumber"/>
                                </w:rPr>
                                <w:t>20</w:t>
                              </w:r>
                              <w:r>
                                <w:rPr>
                                  <w:rStyle w:val="PageNumber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fillcolor="white" stroked="f" o:allowincell="f" style="position:absolute;margin-left:304.75pt;margin-top:16.8pt;width:10.6pt;height:18.65pt;mso-wrap-style:square;v-text-anchor:top;mso-position-horizontal-relative:page">
              <v:fill o:detectmouseclick="t" type="solid" color2="black" opacity="0"/>
              <v:stroke color="#3465a4" joinstyle="round" endcap="flat"/>
              <v:textbox>
                <w:txbxContent>
                  <w:sdt>
                    <w:sdtPr>
                      <w:id w:val="378752515"/>
                      <w:docPartObj>
                        <w:docPartGallery w:val="Page Numbers (Bottom of Page)"/>
                        <w:docPartUnique w:val="true"/>
                      </w:docPartObj>
                    </w:sdtPr>
                    <w:sdtContent>
                      <w:p>
                        <w:pPr>
                          <w:pStyle w:val="Footer"/>
                          <w:spacing w:before="120" w:after="120"/>
                          <w:rPr>
                            <w:rStyle w:val="PageNumber"/>
                          </w:rPr>
                        </w:pPr>
                        <w:r>
                          <w:rPr>
                            <w:rStyle w:val="PageNumber"/>
                          </w:rPr>
                          <w:fldChar w:fldCharType="begin"/>
                        </w:r>
                        <w:r>
                          <w:rPr>
                            <w:rStyle w:val="PageNumber"/>
                          </w:rPr>
                          <w:instrText xml:space="preserve"> PAGE </w:instrText>
                        </w:r>
                        <w:r>
                          <w:rPr>
                            <w:rStyle w:val="PageNumber"/>
                          </w:rPr>
                          <w:fldChar w:fldCharType="separate"/>
                        </w:r>
                        <w:r>
                          <w:rPr>
                            <w:rStyle w:val="PageNumber"/>
                          </w:rPr>
                          <w:t>20</w:t>
                        </w:r>
                        <w:r>
                          <w:rPr>
                            <w:rStyle w:val="PageNumber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12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spacing w:lineRule="auto" w:line="276" w:before="120" w:after="120"/>
      <w:ind w:end="-82"/>
      <w:jc w:val="center"/>
      <w:rPr>
        <w:rFonts w:cs="Calibri" w:cstheme="minorHAnsi"/>
        <w:b/>
        <w:sz w:val="22"/>
        <w:szCs w:val="24"/>
      </w:rPr>
    </w:pPr>
    <w:r>
      <w:rPr>
        <w:rFonts w:cs="Calibri" w:cstheme="minorHAnsi"/>
        <w:b/>
        <w:sz w:val="22"/>
        <w:szCs w:val="24"/>
      </w:rPr>
      <w:t>Obec Partizánska Ľupča</w:t>
    </w:r>
  </w:p>
  <w:p>
    <w:pPr>
      <w:pStyle w:val="Header"/>
      <w:spacing w:lineRule="auto" w:line="276" w:before="120" w:after="0"/>
      <w:jc w:val="center"/>
      <w:rPr>
        <w:rFonts w:cs="Calibri" w:cstheme="minorHAnsi"/>
        <w:b/>
        <w:sz w:val="22"/>
        <w:szCs w:val="24"/>
      </w:rPr>
    </w:pPr>
    <w:r>
      <w:rPr>
        <w:rFonts w:cs="Calibri" w:cstheme="minorHAnsi"/>
        <w:b/>
        <w:sz w:val="22"/>
        <w:szCs w:val="24"/>
      </w:rPr>
      <w:t>Poznámky individuálnej účtovnej závierky zostavenej k 31. decembru 2025</w:t>
    </w:r>
  </w:p>
  <w:p>
    <w:pPr>
      <w:pStyle w:val="Header"/>
      <w:spacing w:lineRule="auto" w:line="276" w:before="120" w:after="0"/>
      <w:jc w:val="center"/>
      <w:rPr>
        <w:rFonts w:cs="Calibri" w:cstheme="minorHAnsi"/>
        <w:sz w:val="22"/>
        <w:szCs w:val="24"/>
      </w:rPr>
    </w:pPr>
    <w:r>
      <w:rPr/>
      <mc:AlternateContent>
        <mc:Choice Requires="wps">
          <w:drawing>
            <wp:inline distT="0" distB="0" distL="0" distR="0">
              <wp:extent cx="6301105" cy="635"/>
              <wp:effectExtent l="0" t="0" r="0" b="0"/>
              <wp:docPr id="2" name="Útvar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0108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fillcolor="#a0a0a0" stroked="f" o:allowincell="f" style="position:absolute;margin-left:0pt;margin-top:-0.1pt;width:496.1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708" w:leader="none"/>
        <w:tab w:val="center" w:pos="4536" w:leader="none"/>
        <w:tab w:val="right" w:pos="9072" w:leader="none"/>
      </w:tabs>
      <w:spacing w:lineRule="auto" w:line="276" w:before="120" w:after="120"/>
      <w:ind w:end="-82"/>
      <w:jc w:val="center"/>
      <w:rPr>
        <w:rFonts w:cs="Calibri" w:cstheme="minorHAnsi"/>
        <w:b/>
        <w:sz w:val="22"/>
        <w:szCs w:val="24"/>
      </w:rPr>
    </w:pPr>
    <w:r>
      <w:rPr>
        <w:rFonts w:cs="Calibri" w:cstheme="minorHAnsi"/>
        <w:b/>
        <w:sz w:val="22"/>
        <w:szCs w:val="24"/>
      </w:rPr>
      <w:t>Obec Partizánska Ľupča</w:t>
    </w:r>
  </w:p>
  <w:p>
    <w:pPr>
      <w:pStyle w:val="Header"/>
      <w:spacing w:lineRule="auto" w:line="276" w:before="120" w:after="0"/>
      <w:jc w:val="center"/>
      <w:rPr>
        <w:rFonts w:cs="Calibri" w:cstheme="minorHAnsi"/>
        <w:b/>
        <w:sz w:val="22"/>
        <w:szCs w:val="24"/>
      </w:rPr>
    </w:pPr>
    <w:r>
      <w:rPr>
        <w:rFonts w:cs="Calibri" w:cstheme="minorHAnsi"/>
        <w:b/>
        <w:sz w:val="22"/>
        <w:szCs w:val="24"/>
      </w:rPr>
      <w:t>Poznámky individuálnej účtovnej závierky zostavenej k 31. decembru 2025</w:t>
    </w:r>
  </w:p>
  <w:p>
    <w:pPr>
      <w:pStyle w:val="Header"/>
      <w:spacing w:lineRule="auto" w:line="276" w:before="120" w:after="0"/>
      <w:jc w:val="center"/>
      <w:rPr>
        <w:rFonts w:cs="Calibri" w:cstheme="minorHAnsi"/>
        <w:sz w:val="22"/>
        <w:szCs w:val="24"/>
      </w:rPr>
    </w:pPr>
    <w:r>
      <w:rPr/>
      <mc:AlternateContent>
        <mc:Choice Requires="wps">
          <w:drawing>
            <wp:inline distT="0" distB="0" distL="0" distR="0">
              <wp:extent cx="6301105" cy="635"/>
              <wp:effectExtent l="0" t="0" r="0" b="0"/>
              <wp:docPr id="3" name="Útvar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01080" cy="720"/>
                      </a:xfrm>
                      <a:prstGeom prst="rect">
                        <a:avLst/>
                      </a:prstGeom>
                      <a:solidFill>
                        <a:srgbClr val="a0a0a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  <wp14:sizeRelH relativeFrom="page">
                <wp14:pctWidth>100000</wp14:pctWidth>
              </wp14:sizeRelH>
            </wp:inline>
          </w:drawing>
        </mc:Choice>
        <mc:Fallback>
          <w:pict>
            <v:rect id="shape_0" fillcolor="#a0a0a0" stroked="f" o:allowincell="f" style="position:absolute;margin-left:0pt;margin-top:-0.1pt;width:496.1pt;height:0pt;mso-wrap-style:none;v-text-anchor:middle;mso-position-vertical:top">
              <v:fill o:detectmouseclick="t" type="solid" color2="#5f5f5f"/>
              <v:stroke color="#3465a4" joinstyle="round" endcap="flat"/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start"/>
      <w:pPr>
        <w:tabs>
          <w:tab w:val="num" w:pos="720"/>
        </w:tabs>
        <w:ind w:start="720" w:hanging="360"/>
      </w:pPr>
      <w:rPr>
        <w:rFonts w:ascii="Times New Roman" w:hAnsi="Times New Roman" w:cs="Times New Roman" w:hint="default"/>
        <w:color w:val="auto"/>
      </w:rPr>
    </w:lvl>
    <w:lvl w:ilvl="1">
      <w:start w:val="1"/>
      <w:numFmt w:val="bullet"/>
      <w:lvlText w:val="o"/>
      <w:lvlJc w:val="start"/>
      <w:pPr>
        <w:tabs>
          <w:tab w:val="num" w:pos="144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216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288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360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432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504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576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6480"/>
        </w:tabs>
        <w:ind w:star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Článok %1."/>
      <w:lvlJc w:val="start"/>
      <w:pPr>
        <w:tabs>
          <w:tab w:val="num" w:pos="0"/>
        </w:tabs>
        <w:ind w:start="5444" w:hanging="340"/>
      </w:pPr>
      <w:rPr>
        <w:rFonts w:cs="Times New Roman"/>
        <w:b/>
        <w:bCs w:val="false"/>
        <w:i w:val="false"/>
        <w:iCs w:val="false"/>
        <w:caps w:val="false"/>
        <w:smallCaps w:val="false"/>
        <w:strike w:val="false"/>
        <w:dstrike w:val="false"/>
        <w:outline w:val="false"/>
        <w:shadow w:val="false"/>
        <w:emboss w:val="false"/>
        <w:imprint w:val="false"/>
        <w:vanish w:val="false"/>
        <w:spacing w:val="0"/>
        <w:kern w:val="0"/>
        <w:position w:val="0"/>
        <w:sz w:val="20"/>
        <w:u w:val="none"/>
        <w:effect w:val="none"/>
        <w:vertAlign w:val="baseline"/>
        <w:em w:val="no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>
          <w14:cntxtAlts/>
        </w14:cntxtAlts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4">
    <w:lvl w:ilvl="0">
      <w:start w:val="1"/>
      <w:numFmt w:val="bullet"/>
      <w:lvlText w:val=""/>
      <w:lvlJc w:val="start"/>
      <w:pPr>
        <w:tabs>
          <w:tab w:val="num" w:pos="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bullet"/>
      <w:lvlText w:val=""/>
      <w:lvlJc w:val="start"/>
      <w:pPr>
        <w:tabs>
          <w:tab w:val="num" w:pos="0"/>
        </w:tabs>
        <w:ind w:star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decimal"/>
      <w:lvlText w:val="%1)"/>
      <w:lvlJc w:val="start"/>
      <w:pPr>
        <w:tabs>
          <w:tab w:val="num" w:pos="0"/>
        </w:tabs>
        <w:ind w:start="360" w:hanging="360"/>
      </w:pPr>
      <w:rPr>
        <w:b w:val="false"/>
        <w:color w:val="auto"/>
      </w:rPr>
    </w:lvl>
    <w:lvl w:ilvl="1">
      <w:start w:val="1"/>
      <w:numFmt w:val="decimal"/>
      <w:lvlText w:val="%1.%2."/>
      <w:lvlJc w:val="start"/>
      <w:pPr>
        <w:tabs>
          <w:tab w:val="num" w:pos="0"/>
        </w:tabs>
        <w:ind w:start="792" w:hanging="432"/>
      </w:pPr>
      <w:rPr/>
    </w:lvl>
    <w:lvl w:ilvl="2">
      <w:start w:val="1"/>
      <w:numFmt w:val="decimal"/>
      <w:lvlText w:val="%1.%2.%3."/>
      <w:lvlJc w:val="start"/>
      <w:pPr>
        <w:tabs>
          <w:tab w:val="num" w:pos="0"/>
        </w:tabs>
        <w:ind w:start="1224" w:hanging="504"/>
      </w:pPr>
      <w:rPr/>
    </w:lvl>
    <w:lvl w:ilvl="3">
      <w:start w:val="1"/>
      <w:numFmt w:val="decimal"/>
      <w:lvlText w:val="%1.%2.%3.%4."/>
      <w:lvlJc w:val="start"/>
      <w:pPr>
        <w:tabs>
          <w:tab w:val="num" w:pos="0"/>
        </w:tabs>
        <w:ind w:start="1728" w:hanging="648"/>
      </w:pPr>
      <w:rPr/>
    </w:lvl>
    <w:lvl w:ilvl="4">
      <w:start w:val="1"/>
      <w:numFmt w:val="decimal"/>
      <w:lvlText w:val="%1.%2.%3.%4.%5."/>
      <w:lvlJc w:val="start"/>
      <w:pPr>
        <w:tabs>
          <w:tab w:val="num" w:pos="0"/>
        </w:tabs>
        <w:ind w:start="2232" w:hanging="792"/>
      </w:pPr>
      <w:rPr/>
    </w:lvl>
    <w:lvl w:ilvl="5">
      <w:start w:val="1"/>
      <w:numFmt w:val="decimal"/>
      <w:lvlText w:val="%1.%2.%3.%4.%5.%6."/>
      <w:lvlJc w:val="start"/>
      <w:pPr>
        <w:tabs>
          <w:tab w:val="num" w:pos="0"/>
        </w:tabs>
        <w:ind w:start="2736" w:hanging="936"/>
      </w:pPr>
      <w:rPr/>
    </w:lvl>
    <w:lvl w:ilvl="6">
      <w:start w:val="1"/>
      <w:numFmt w:val="decimal"/>
      <w:lvlText w:val="%1.%2.%3.%4.%5.%6.%7."/>
      <w:lvlJc w:val="start"/>
      <w:pPr>
        <w:tabs>
          <w:tab w:val="num" w:pos="0"/>
        </w:tabs>
        <w:ind w:start="3240" w:hanging="1080"/>
      </w:pPr>
      <w:rPr/>
    </w:lvl>
    <w:lvl w:ilvl="7">
      <w:start w:val="1"/>
      <w:numFmt w:val="decimal"/>
      <w:lvlText w:val="%1.%2.%3.%4.%5.%6.%7.%8."/>
      <w:lvlJc w:val="start"/>
      <w:pPr>
        <w:tabs>
          <w:tab w:val="num" w:pos="0"/>
        </w:tabs>
        <w:ind w:start="3744" w:hanging="1224"/>
      </w:pPr>
      <w:rPr/>
    </w:lvl>
    <w:lvl w:ilvl="8">
      <w:start w:val="1"/>
      <w:numFmt w:val="decimal"/>
      <w:lvlText w:val="%1.%2.%3.%4.%5.%6.%7.%8.%9."/>
      <w:lvlJc w:val="start"/>
      <w:pPr>
        <w:tabs>
          <w:tab w:val="num" w:pos="0"/>
        </w:tabs>
        <w:ind w:start="4320" w:hanging="1440"/>
      </w:pPr>
      <w:rPr/>
    </w:lvl>
  </w:abstractNum>
  <w:abstractNum w:abstractNumId="7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8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38"/>
      <w:numFmt w:val="decimal"/>
      <w:lvlText w:val="%3"/>
      <w:lvlJc w:val="start"/>
      <w:pPr>
        <w:tabs>
          <w:tab w:val="num" w:pos="0"/>
        </w:tabs>
        <w:ind w:start="2340" w:hanging="36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9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0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1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2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  <w:sz w:val="21"/>
        <w:szCs w:val="21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  <w:sz w:val="21"/>
        <w:szCs w:val="21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4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>
        <w:b w:val="false"/>
      </w:rPr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>
        <w:b w:val="false"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5">
    <w:lvl w:ilvl="0">
      <w:numFmt w:val="bullet"/>
      <w:lvlText w:val="-"/>
      <w:lvlJc w:val="start"/>
      <w:pPr>
        <w:tabs>
          <w:tab w:val="num" w:pos="0"/>
        </w:tabs>
        <w:ind w:star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16">
    <w:lvl w:ilvl="0">
      <w:numFmt w:val="bullet"/>
      <w:lvlText w:val="-"/>
      <w:lvlJc w:val="start"/>
      <w:pPr>
        <w:tabs>
          <w:tab w:val="num" w:pos="0"/>
        </w:tabs>
        <w:ind w:star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6480" w:hanging="360"/>
      </w:pPr>
      <w:rPr>
        <w:rFonts w:ascii="Wingdings" w:hAnsi="Wingdings" w:cs="Wingdings" w:hint="default"/>
      </w:rPr>
    </w:lvl>
  </w:abstractNum>
  <w:abstractNum w:abstractNumId="17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8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19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0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1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2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3">
    <w:lvl w:ilvl="0">
      <w:start w:val="1"/>
      <w:numFmt w:val="decimal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928" w:hanging="360"/>
      </w:pPr>
      <w:rPr>
        <w:b/>
      </w:rPr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>
        <w:b w:val="false"/>
        <w:sz w:val="21"/>
      </w:rPr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34"/>
      <w:numFmt w:val="decimal"/>
      <w:lvlText w:val="%5"/>
      <w:lvlJc w:val="start"/>
      <w:pPr>
        <w:tabs>
          <w:tab w:val="num" w:pos="0"/>
        </w:tabs>
        <w:ind w:start="3600" w:hanging="360"/>
      </w:pPr>
      <w:rPr>
        <w:rFonts w:cs="Calibri" w:cstheme="minorHAnsi"/>
        <w:color w:themeColor="text1" w:val="000000"/>
      </w:rPr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3"/>
    <w:lvlOverride w:ilvl="0">
      <w:startOverride w:val="1"/>
    </w:lvlOverride>
  </w:num>
  <w:num w:numId="26">
    <w:abstractNumId w:val="3"/>
    <w:lvlOverride w:ilvl="0">
      <w:startOverride w:val="1"/>
    </w:lvlOverride>
  </w:num>
  <w:num w:numId="27">
    <w:abstractNumId w:val="3"/>
    <w:lvlOverride w:ilvl="0">
      <w:startOverride w:val="1"/>
    </w:lvlOverride>
  </w:num>
  <w:num w:numId="28">
    <w:abstractNumId w:val="3"/>
    <w:lvlOverride w:ilvl="0">
      <w:startOverride w:val="1"/>
    </w:lvlOverride>
  </w:num>
  <w:num w:numId="29">
    <w:abstractNumId w:val="3"/>
    <w:lvlOverride w:ilvl="0">
      <w:startOverride w:val="1"/>
    </w:lvlOverride>
  </w:num>
  <w:num w:numId="30">
    <w:abstractNumId w:val="3"/>
    <w:lvlOverride w:ilvl="0">
      <w:startOverride w:val="1"/>
    </w:lvlOverride>
  </w:num>
  <w:num w:numId="31">
    <w:abstractNumId w:val="3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</w:latentStyles>
  <w:style w:type="paragraph" w:styleId="Normal" w:default="1">
    <w:name w:val="Normal"/>
    <w:qFormat/>
    <w:rsid w:val="0067683c"/>
    <w:pPr>
      <w:widowControl/>
      <w:suppressAutoHyphens w:val="true"/>
      <w:bidi w:val="0"/>
      <w:spacing w:before="120" w:after="120"/>
      <w:jc w:val="both"/>
    </w:pPr>
    <w:rPr>
      <w:rFonts w:ascii="Calibri" w:hAnsi="Calibri" w:eastAsia="Times New Roman" w:cs="Times New Roman" w:asciiTheme="minorHAnsi" w:hAnsiTheme="minorHAnsi"/>
      <w:color w:val="auto"/>
      <w:kern w:val="0"/>
      <w:sz w:val="21"/>
      <w:szCs w:val="20"/>
      <w:lang w:val="sk-SK" w:eastAsia="sk-SK" w:bidi="ar-SA"/>
    </w:rPr>
  </w:style>
  <w:style w:type="paragraph" w:styleId="Heading1">
    <w:name w:val="heading 1"/>
    <w:basedOn w:val="Normal"/>
    <w:next w:val="Normal"/>
    <w:link w:val="Nadpis1Char"/>
    <w:qFormat/>
    <w:rsid w:val="00e87b1f"/>
    <w:pPr>
      <w:keepNext w:val="true"/>
      <w:keepLines/>
      <w:numPr>
        <w:ilvl w:val="0"/>
        <w:numId w:val="3"/>
      </w:numPr>
      <w:spacing w:before="360" w:after="240"/>
      <w:outlineLvl w:val="0"/>
    </w:pPr>
    <w:rPr>
      <w:rFonts w:ascii="Cambria" w:hAnsi="Cambria" w:eastAsia="" w:cs="" w:asciiTheme="majorHAnsi" w:cstheme="majorBidi" w:eastAsiaTheme="majorEastAsia" w:hAnsiTheme="majorHAnsi"/>
      <w:b/>
      <w:color w:themeColor="text1" w:val="000000"/>
      <w:sz w:val="24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rsid w:val="00491430"/>
    <w:rPr/>
  </w:style>
  <w:style w:type="character" w:styleId="ZkladntextChar" w:customStyle="1">
    <w:name w:val="Základný text Char"/>
    <w:qFormat/>
    <w:rsid w:val="00f054ea"/>
    <w:rPr>
      <w:sz w:val="18"/>
    </w:rPr>
  </w:style>
  <w:style w:type="character" w:styleId="HlavikaChar" w:customStyle="1">
    <w:name w:val="Hlavička Char"/>
    <w:basedOn w:val="DefaultParagraphFont"/>
    <w:qFormat/>
    <w:rsid w:val="0065096d"/>
    <w:rPr/>
  </w:style>
  <w:style w:type="character" w:styleId="NzovChar" w:customStyle="1">
    <w:name w:val="Názov Char"/>
    <w:basedOn w:val="DefaultParagraphFont"/>
    <w:qFormat/>
    <w:rsid w:val="004b5d55"/>
    <w:rPr>
      <w:rFonts w:ascii="Cambria" w:hAnsi="Cambria" w:eastAsia="" w:cs="" w:asciiTheme="majorHAnsi" w:cstheme="majorBidi" w:eastAsiaTheme="majorEastAsia" w:hAnsiTheme="majorHAnsi"/>
      <w:b/>
      <w:spacing w:val="-10"/>
      <w:kern w:val="2"/>
      <w:sz w:val="28"/>
      <w:szCs w:val="56"/>
    </w:rPr>
  </w:style>
  <w:style w:type="character" w:styleId="Nadpis1Char" w:customStyle="1">
    <w:name w:val="Nadpis 1 Char"/>
    <w:basedOn w:val="DefaultParagraphFont"/>
    <w:qFormat/>
    <w:rsid w:val="00e87b1f"/>
    <w:rPr>
      <w:rFonts w:ascii="Cambria" w:hAnsi="Cambria" w:eastAsia="" w:cs="" w:asciiTheme="majorHAnsi" w:cstheme="majorBidi" w:eastAsiaTheme="majorEastAsia" w:hAnsiTheme="majorHAnsi"/>
      <w:b/>
      <w:color w:themeColor="text1" w:val="000000"/>
      <w:sz w:val="24"/>
      <w:szCs w:val="32"/>
    </w:rPr>
  </w:style>
  <w:style w:type="character" w:styleId="CommentReference">
    <w:name w:val="annotation reference"/>
    <w:basedOn w:val="DefaultParagraphFont"/>
    <w:semiHidden/>
    <w:unhideWhenUsed/>
    <w:qFormat/>
    <w:rsid w:val="00130b6e"/>
    <w:rPr>
      <w:sz w:val="16"/>
      <w:szCs w:val="16"/>
    </w:rPr>
  </w:style>
  <w:style w:type="character" w:styleId="TextkomentraChar" w:customStyle="1">
    <w:name w:val="Text komentára Char"/>
    <w:basedOn w:val="DefaultParagraphFont"/>
    <w:semiHidden/>
    <w:qFormat/>
    <w:rsid w:val="00130b6e"/>
    <w:rPr>
      <w:rFonts w:ascii="Calibri" w:hAnsi="Calibri" w:asciiTheme="minorHAnsi" w:hAnsiTheme="minorHAnsi"/>
    </w:rPr>
  </w:style>
  <w:style w:type="character" w:styleId="PredmetkomentraChar" w:customStyle="1">
    <w:name w:val="Predmet komentára Char"/>
    <w:basedOn w:val="TextkomentraChar"/>
    <w:link w:val="annotationsubject"/>
    <w:semiHidden/>
    <w:qFormat/>
    <w:rsid w:val="00130b6e"/>
    <w:rPr>
      <w:rFonts w:ascii="Calibri" w:hAnsi="Calibri" w:asciiTheme="minorHAnsi" w:hAnsiTheme="minorHAnsi"/>
      <w:b/>
      <w:bCs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rsid w:val="00cc5302"/>
    <w:pPr>
      <w:ind w:start="426"/>
    </w:pPr>
    <w:rPr>
      <w:sz w:val="18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BodyText"/>
    <w:qFormat/>
    <w:rsid w:val="00cc5302"/>
    <w:pPr>
      <w:tabs>
        <w:tab w:val="clear" w:pos="708"/>
        <w:tab w:val="left" w:pos="426" w:leader="none"/>
      </w:tabs>
      <w:ind w:hanging="426"/>
    </w:pPr>
    <w:rPr>
      <w:b/>
    </w:rPr>
  </w:style>
  <w:style w:type="paragraph" w:styleId="Header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120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end="-79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bf1bbc"/>
    <w:pPr>
      <w:spacing w:before="120" w:after="120"/>
      <w:ind w:start="720"/>
      <w:contextualSpacing/>
    </w:pPr>
    <w:rPr/>
  </w:style>
  <w:style w:type="paragraph" w:styleId="Title">
    <w:name w:val="Title"/>
    <w:basedOn w:val="Normal"/>
    <w:next w:val="Normal"/>
    <w:link w:val="NzovChar"/>
    <w:qFormat/>
    <w:rsid w:val="004b5d55"/>
    <w:pPr>
      <w:numPr>
        <w:ilvl w:val="0"/>
        <w:numId w:val="2"/>
      </w:numPr>
      <w:spacing w:before="720" w:after="240"/>
      <w:ind w:hanging="0" w:start="0"/>
      <w:jc w:val="center"/>
    </w:pPr>
    <w:rPr>
      <w:rFonts w:ascii="Cambria" w:hAnsi="Cambria" w:eastAsia="" w:cs="" w:asciiTheme="majorHAnsi" w:cstheme="majorBidi" w:eastAsiaTheme="majorEastAsia" w:hAnsiTheme="majorHAnsi"/>
      <w:b/>
      <w:spacing w:val="-10"/>
      <w:kern w:val="2"/>
      <w:sz w:val="28"/>
      <w:szCs w:val="56"/>
    </w:rPr>
  </w:style>
  <w:style w:type="paragraph" w:styleId="CommentText">
    <w:name w:val="annotation text"/>
    <w:basedOn w:val="Normal"/>
    <w:link w:val="TextkomentraChar"/>
    <w:semiHidden/>
    <w:unhideWhenUsed/>
    <w:rsid w:val="00130b6e"/>
    <w:pPr/>
    <w:rPr>
      <w:sz w:val="20"/>
    </w:rPr>
  </w:style>
  <w:style w:type="paragraph" w:styleId="annotationsubject">
    <w:name w:val="annotation subject"/>
    <w:basedOn w:val="CommentText"/>
    <w:next w:val="CommentText"/>
    <w:link w:val="PredmetkomentraChar"/>
    <w:semiHidden/>
    <w:unhideWhenUsed/>
    <w:qFormat/>
    <w:rsid w:val="00130b6e"/>
    <w:pPr/>
    <w:rPr>
      <w:b/>
      <w:bCs/>
    </w:rPr>
  </w:style>
  <w:style w:type="paragraph" w:styleId="Revision">
    <w:name w:val="Revision"/>
    <w:uiPriority w:val="99"/>
    <w:semiHidden/>
    <w:qFormat/>
    <w:rsid w:val="00130b6e"/>
    <w:pPr>
      <w:widowControl/>
      <w:suppressAutoHyphens w:val="true"/>
      <w:bidi w:val="0"/>
      <w:spacing w:before="0" w:after="0"/>
      <w:jc w:val="start"/>
    </w:pPr>
    <w:rPr>
      <w:rFonts w:ascii="Calibri" w:hAnsi="Calibri" w:eastAsia="Times New Roman" w:cs="Times New Roman" w:asciiTheme="minorHAnsi" w:hAnsiTheme="minorHAnsi"/>
      <w:color w:val="auto"/>
      <w:kern w:val="0"/>
      <w:sz w:val="21"/>
      <w:szCs w:val="20"/>
      <w:lang w:val="sk-SK" w:eastAsia="sk-SK" w:bidi="ar-SA"/>
    </w:rPr>
  </w:style>
  <w:style w:type="paragraph" w:styleId="NormalWeb">
    <w:name w:val="Normal (Web)"/>
    <w:basedOn w:val="Normal"/>
    <w:uiPriority w:val="99"/>
    <w:semiHidden/>
    <w:unhideWhenUsed/>
    <w:qFormat/>
    <w:rsid w:val="00383fdc"/>
    <w:pPr>
      <w:spacing w:beforeAutospacing="1" w:afterAutospacing="1"/>
      <w:jc w:val="start"/>
    </w:pPr>
    <w:rPr>
      <w:rFonts w:ascii="Times New Roman" w:hAnsi="Times New Roman"/>
      <w:sz w:val="24"/>
      <w:szCs w:val="24"/>
    </w:rPr>
  </w:style>
  <w:style w:type="paragraph" w:styleId="NoSpacing">
    <w:name w:val="No Spacing"/>
    <w:uiPriority w:val="1"/>
    <w:qFormat/>
    <w:rsid w:val="00da3483"/>
    <w:pPr>
      <w:widowControl/>
      <w:suppressAutoHyphens w:val="true"/>
      <w:bidi w:val="0"/>
      <w:spacing w:before="0" w:after="0"/>
      <w:jc w:val="both"/>
    </w:pPr>
    <w:rPr>
      <w:rFonts w:ascii="Calibri" w:hAnsi="Calibri" w:eastAsia="Times New Roman" w:cs="Times New Roman" w:asciiTheme="minorHAnsi" w:hAnsiTheme="minorHAnsi"/>
      <w:color w:val="auto"/>
      <w:kern w:val="0"/>
      <w:sz w:val="21"/>
      <w:szCs w:val="20"/>
      <w:lang w:val="sk-SK" w:eastAsia="sk-SK" w:bidi="ar-SA"/>
    </w:rPr>
  </w:style>
  <w:style w:type="paragraph" w:styleId="Obsahrmcauser">
    <w:name w:val="Obsah rámca (user)"/>
    <w:basedOn w:val="Normal"/>
    <w:qFormat/>
    <w:pPr/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8D1942-AD9C-4B20-A6BF-2196BB56E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3151</TotalTime>
  <Application>LibreOffice/25.8.5.2$Windows_X86_64 LibreOffice_project/9c8b85f387cc00a89945a79c9e6239f32e450ac2</Application>
  <AppVersion>15.0000</AppVersion>
  <Pages>20</Pages>
  <Words>4360</Words>
  <Characters>23119</Characters>
  <CharactersWithSpaces>27012</CharactersWithSpaces>
  <Paragraphs>892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2023-03-20T10:25:00Z</dcterms:created>
  <dc:creator>admin</dc:creator>
  <dc:description/>
  <dc:language>sk-SK</dc:language>
  <cp:lastModifiedBy/>
  <cp:lastPrinted>2025-03-20T10:28:00Z</cp:lastPrinted>
  <dcterms:modified xsi:type="dcterms:W3CDTF">2026-03-26T12:27:32Z</dcterms:modified>
  <cp:revision>32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