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36"/>
          <w:szCs w:val="24"/>
          <w:u w:val="single"/>
        </w:rPr>
      </w:pPr>
      <w:r>
        <w:rPr>
          <w:b/>
          <w:sz w:val="36"/>
          <w:szCs w:val="24"/>
          <w:u w:val="single"/>
        </w:rPr>
        <w:t>Poznámky k 31.12.2025</w:t>
      </w:r>
    </w:p>
    <w:p>
      <w:pPr>
        <w:pStyle w:val="Normal"/>
        <w:jc w:val="center"/>
        <w:rPr>
          <w:b/>
          <w:sz w:val="36"/>
          <w:szCs w:val="24"/>
          <w:u w:val="single"/>
        </w:rPr>
      </w:pPr>
      <w:r>
        <w:rPr>
          <w:b/>
          <w:sz w:val="36"/>
          <w:szCs w:val="24"/>
          <w:u w:val="single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7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Nižná Boca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left"/>
              <w:rPr/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sz w:val="36"/>
              </w:rPr>
            </w:pPr>
            <w:r>
              <w:rPr>
                <w:sz w:val="24"/>
                <w:szCs w:val="24"/>
              </w:rPr>
              <w:t>Nižná Boca č. 3, 032 34 Malužiná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00315648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</w:t>
            </w:r>
            <w:bookmarkStart w:id="0" w:name="__DdeLink__2686_1639708795"/>
            <w:r>
              <w:rPr>
                <w:sz w:val="24"/>
                <w:szCs w:val="24"/>
              </w:rPr>
              <w:t>y</w:t>
            </w:r>
            <w:bookmarkEnd w:id="0"/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riadna za účtovné obodobie od 1.1. 2025 do 31.12.2025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7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7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Silvia Skusilová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Hromádka, zástupca starostky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numPr>
                <w:ilvl w:val="0"/>
                <w:numId w:val="18"/>
              </w:numPr>
              <w:ind w:hanging="142"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nie je delený na útvary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</w:t>
        <w:tab/>
        <w:tab/>
        <w:tab/>
        <w:tab/>
        <w:t xml:space="preserve">- áno     </w:t>
      </w:r>
    </w:p>
    <w:p>
      <w:pPr>
        <w:pStyle w:val="Normal"/>
        <w:ind w:hanging="0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hanging="0"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                                                                                      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6"/>
        <w:gridCol w:w="3122"/>
      </w:tblGrid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odyText"/>
              <w:ind w:hanging="0"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  <w:p>
            <w:pPr>
              <w:pStyle w:val="Normal"/>
              <w:ind w:hanging="0"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odyText"/>
              <w:ind w:hanging="0"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BodyText"/>
              <w:ind w:hanging="0"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hanging="283" w:left="284"/>
              <w:jc w:val="both"/>
              <w:rPr>
                <w:sz w:val="24"/>
              </w:rPr>
            </w:pPr>
            <w:r>
              <w:rPr>
                <w:sz w:val="24"/>
              </w:rPr>
              <w:t>časové rozlíšenie na strane pasím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odyText"/>
              <w:ind w:hanging="0"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>
      <w:pPr>
        <w:pStyle w:val="Normal"/>
        <w:ind w:hanging="0"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hanging="0"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 prvým dňom mesiaca nasledujúceho po uvedení dlhodobého majetku do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BodyText"/>
        <w:ind w:hanging="0" w:left="0"/>
        <w:rPr>
          <w:sz w:val="24"/>
          <w:szCs w:val="24"/>
        </w:rPr>
      </w:pPr>
      <w:r>
        <w:rPr>
          <w:sz w:val="24"/>
          <w:szCs w:val="24"/>
        </w:rPr>
        <w:t xml:space="preserve">Spôsob zostavenia odpisového plánu – programové vybavenie v programe Topset Solutions s.r.o., Stupava.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1-6 v zmysle zákona č.595/2003 Z.z. o dani z príjmov v z.n.p. Predpokladaná doba používania a odpisové sadzby sú stanovené vnútorným predpisom.</w:t>
      </w:r>
    </w:p>
    <w:p>
      <w:pPr>
        <w:pStyle w:val="BodyText"/>
        <w:ind w:hanging="0" w:left="0"/>
        <w:rPr>
          <w:sz w:val="24"/>
          <w:szCs w:val="24"/>
        </w:rPr>
      </w:pPr>
      <w:r>
        <w:rPr>
          <w:sz w:val="24"/>
          <w:szCs w:val="24"/>
        </w:rPr>
        <w:t>Účtovné odpisy sa zaokrúhľujú na najbližší eurocent matematicky.</w:t>
      </w:r>
    </w:p>
    <w:p>
      <w:pPr>
        <w:pStyle w:val="BodyText"/>
        <w:ind w:hanging="0" w:left="0"/>
        <w:rPr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>
      <w:pPr>
        <w:pStyle w:val="BodyText"/>
        <w:ind w:hanging="0" w:left="0"/>
        <w:rPr>
          <w:sz w:val="24"/>
          <w:szCs w:val="24"/>
        </w:rPr>
      </w:pPr>
      <w:r>
        <w:rPr>
          <w:sz w:val="24"/>
          <w:szCs w:val="24"/>
        </w:rPr>
        <w:t>V roku 2021 sa neupravovala doba odpisovania.</w:t>
      </w:r>
    </w:p>
    <w:p>
      <w:pPr>
        <w:pStyle w:val="BodyText"/>
        <w:ind w:hanging="0" w:left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62"/>
        <w:gridCol w:w="3069"/>
        <w:gridCol w:w="3041"/>
      </w:tblGrid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50,00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dlhodobý nehmotný a hmotný majetok – skupina 7 sa odpisuje 2 roky.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0,01 Eur do 2 400,00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/>
      </w:pPr>
      <w:r>
        <w:rPr>
          <w:sz w:val="24"/>
        </w:rPr>
        <w:t>Drobný hmotný majetok od 0,01 Eur do 1 700,00 Eur, ktorý podľa vnútorného predpisu účtovnej jednotky nie je dlhodobým hmotným majetkom sa účtuje priamo do nákladov na účet 501. Podľa predpokladanej doby používania sa zaeviduje do operatívno technickej evidencie.</w:t>
      </w:r>
    </w:p>
    <w:p>
      <w:pPr>
        <w:pStyle w:val="Pismenka"/>
        <w:tabs>
          <w:tab w:val="clear" w:pos="426"/>
        </w:tabs>
        <w:ind w:hanging="425" w:left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ind w:hanging="0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opravnou položkou.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fldChar w:fldCharType="begin">
          <w:ffData>
            <w:name w:val="Bookmark"/>
            <w:enabled/>
            <w:calcOnExit w:val="0"/>
            <w:checkBox>
              <w:sizeAuto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" w:name="Bookmark"/>
      <w:bookmarkStart w:id="2" w:name="Bookmark"/>
      <w:bookmarkEnd w:id="2"/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bookmarkStart w:id="3" w:name="Bookmark_Kópie_1"/>
      <w:bookmarkStart w:id="4" w:name="__Fieldmark__313_3722177511"/>
      <w:bookmarkStart w:id="5" w:name="__Fieldmark__387_1639708795"/>
      <w:bookmarkStart w:id="6" w:name="__Fieldmark__315_1463304535"/>
      <w:bookmarkStart w:id="7" w:name="Bookmark_Kópie_1"/>
      <w:bookmarkEnd w:id="3"/>
      <w:bookmarkEnd w:id="4"/>
      <w:bookmarkEnd w:id="5"/>
      <w:bookmarkEnd w:id="6"/>
      <w:bookmarkEnd w:id="7"/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</w:t>
        <w:tab/>
        <w:tab/>
        <w:t xml:space="preserve">           </w:t>
      </w:r>
      <w:r>
        <w:fldChar w:fldCharType="begin">
          <w:ffData>
            <w:name w:val="Bookmark Kópie 1 Kópie 1"/>
            <w:enabled/>
            <w:calcOnExit w:val="0"/>
            <w:checkBox>
              <w:sizeAuto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8" w:name="Bookmark_Kópie_1_Kópie_1"/>
      <w:bookmarkStart w:id="9" w:name="Bookmark_Kópie_1_Kópie_1"/>
      <w:bookmarkEnd w:id="9"/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bookmarkStart w:id="10" w:name="Bookmark_Kópie_1_Kópie_1"/>
      <w:bookmarkStart w:id="11" w:name="__Fieldmark__330_3722177511"/>
      <w:bookmarkStart w:id="12" w:name="__Fieldmark__404_1639708795"/>
      <w:bookmarkStart w:id="13" w:name="__Fieldmark__329_1463304535"/>
      <w:bookmarkStart w:id="14" w:name="Bookmark_Kópie_1_Kópie_1"/>
      <w:bookmarkEnd w:id="10"/>
      <w:bookmarkEnd w:id="11"/>
      <w:bookmarkEnd w:id="12"/>
      <w:bookmarkEnd w:id="13"/>
      <w:bookmarkEnd w:id="14"/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2"/>
            <w:enabled/>
            <w:calcOnExit w:val="0"/>
            <w:checkBox>
              <w:sizeAuto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5" w:name="Bookmark_Kópie_2"/>
      <w:bookmarkStart w:id="16" w:name="Bookmark_Kópie_2"/>
      <w:bookmarkEnd w:id="16"/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bookmarkStart w:id="17" w:name="Bookmark_Kópie_2_Kópie_1"/>
      <w:bookmarkStart w:id="18" w:name="__Fieldmark__350_3722177511"/>
      <w:bookmarkStart w:id="19" w:name="__Fieldmark__418_1639708795"/>
      <w:bookmarkStart w:id="20" w:name="__Fieldmark__346_1463304535"/>
      <w:bookmarkStart w:id="21" w:name="Bookmark_Kópie_2"/>
      <w:bookmarkEnd w:id="17"/>
      <w:bookmarkEnd w:id="18"/>
      <w:bookmarkEnd w:id="19"/>
      <w:bookmarkEnd w:id="20"/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</w:t>
      </w:r>
      <w:r>
        <w:fldChar w:fldCharType="begin">
          <w:ffData>
            <w:name w:val="Bookmark Kópie 3"/>
            <w:enabled/>
            <w:calcOnExit w:val="0"/>
            <w:checkBox>
              <w:sizeAuto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>
        <w:rPr>
          <w:rFonts w:cs="Tahoma"/>
          <w:b/>
          <w:bCs/>
          <w:sz w:val="24"/>
          <w:szCs w:val="24"/>
        </w:rPr>
        <w:fldChar w:fldCharType="separate"/>
      </w:r>
      <w:bookmarkStart w:id="22" w:name="Bookmark_Kópie_3"/>
      <w:bookmarkStart w:id="23" w:name="Bookmark_Kópie_3"/>
      <w:bookmarkEnd w:id="23"/>
      <w:r>
        <w:rPr>
          <w:rFonts w:cs="Tahoma"/>
          <w:b/>
          <w:bCs/>
          <w:sz w:val="24"/>
          <w:szCs w:val="24"/>
        </w:rPr>
      </w:r>
      <w:r>
        <w:rPr>
          <w:rFonts w:cs="Tahoma"/>
          <w:b/>
          <w:bCs/>
          <w:sz w:val="24"/>
          <w:szCs w:val="24"/>
        </w:rPr>
        <w:fldChar w:fldCharType="end"/>
      </w:r>
      <w:bookmarkStart w:id="24" w:name="Bookmark_Kópie_3_Kópie_1"/>
      <w:bookmarkStart w:id="25" w:name="__Fieldmark__367_3722177511"/>
      <w:bookmarkStart w:id="26" w:name="__Fieldmark__429_1639708795"/>
      <w:bookmarkStart w:id="27" w:name="__Fieldmark__360_1463304535"/>
      <w:bookmarkStart w:id="28" w:name="Bookmark_Kópie_3"/>
      <w:bookmarkEnd w:id="24"/>
      <w:bookmarkEnd w:id="25"/>
      <w:bookmarkEnd w:id="26"/>
      <w:bookmarkEnd w:id="27"/>
      <w:bookmarkEnd w:id="28"/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4"/>
            <w:enabled/>
            <w:calcOnExit w:val="0"/>
            <w:checkBox>
              <w:sizeAuto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29" w:name="Bookmark_Kópie_4"/>
      <w:bookmarkStart w:id="30" w:name="Bookmark_Kópie_4"/>
      <w:bookmarkEnd w:id="30"/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bookmarkStart w:id="31" w:name="Bookmark_Kópie_4_Kópie_1"/>
      <w:bookmarkStart w:id="32" w:name="__Fieldmark__385_3722177511"/>
      <w:bookmarkStart w:id="33" w:name="__Fieldmark__441_1639708795"/>
      <w:bookmarkStart w:id="34" w:name="__Fieldmark__375_1463304535"/>
      <w:bookmarkStart w:id="35" w:name="Bookmark_Kópie_4"/>
      <w:bookmarkEnd w:id="31"/>
      <w:bookmarkEnd w:id="32"/>
      <w:bookmarkEnd w:id="33"/>
      <w:bookmarkEnd w:id="34"/>
      <w:bookmarkEnd w:id="3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BodyText"/>
        <w:ind w:hanging="0"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BodyText"/>
        <w:ind w:hanging="0"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Účovná jednotka tvorila opravné položky k nedokončeným investíciám podľa vnútorného predpisu do výšky predpokladaných odpisov odpisov, keby bola investícia zaradená.</w:t>
      </w:r>
    </w:p>
    <w:p>
      <w:pPr>
        <w:pStyle w:val="BodyText"/>
        <w:ind w:hanging="0"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BodyText"/>
        <w:ind w:hanging="0"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tbl>
      <w:tblPr>
        <w:tblW w:w="91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556"/>
        <w:gridCol w:w="7624"/>
      </w:tblGrid>
      <w:tr>
        <w:trPr/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7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25 % menovitej hodnoty pohľadávky bez príslušenstva</w:t>
            </w:r>
          </w:p>
        </w:tc>
      </w:tr>
      <w:tr>
        <w:trPr/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7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50 % menovitej hodnoty pohľadávky bez príslušenstva</w:t>
            </w:r>
          </w:p>
        </w:tc>
      </w:tr>
      <w:tr>
        <w:trPr/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7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 100 % menovitej hodnoty pohľadávky bez príslušenstva</w:t>
            </w:r>
          </w:p>
        </w:tc>
      </w:tr>
    </w:tbl>
    <w:p>
      <w:pPr>
        <w:pStyle w:val="BodyText"/>
        <w:ind w:hanging="0"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prijatý od cudzích subjektov - sa  zúčtuje do výnosov  vo vecnej a časovej súvislosti s nákladmi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 subjektom - sa  zúčtuje do nákladov po splnení podmienok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hanging="425" w:left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hanging="425" w:left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hanging="284" w:left="284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96" w:type="dxa"/>
        <w:jc w:val="left"/>
        <w:tblInd w:w="0" w:type="dxa"/>
        <w:tblLayout w:type="fixed"/>
        <w:tblCellMar>
          <w:top w:w="55" w:type="dxa"/>
          <w:left w:w="54" w:type="dxa"/>
          <w:bottom w:w="55" w:type="dxa"/>
          <w:right w:w="55" w:type="dxa"/>
        </w:tblCellMar>
      </w:tblPr>
      <w:tblGrid>
        <w:gridCol w:w="627"/>
        <w:gridCol w:w="6115"/>
        <w:gridCol w:w="1651"/>
        <w:gridCol w:w="1703"/>
      </w:tblGrid>
      <w:tr>
        <w:trPr>
          <w:trHeight w:val="506" w:hRule="atLeast"/>
        </w:trPr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user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user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významnej položky prírastkov a úbytkov dlhodobého majetku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Prírastok v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Úbytok v €</w:t>
            </w:r>
          </w:p>
        </w:tc>
      </w:tr>
      <w:tr>
        <w:trPr/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Technické zhodnotenie budovy KD zateplenie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6 200,00 €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2" w:hRule="atLeast"/>
        </w:trPr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Technické zhodnotenie budovy KD schodisko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15 957,37 €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Kontajnerové stojiská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42 195,44 €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4" w:hRule="atLeast"/>
        </w:trPr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OM Grand pred Krámcom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2 970,30 €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4" w:hRule="atLeast"/>
        </w:trPr>
        <w:tc>
          <w:tcPr>
            <w:tcW w:w="6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022</w:t>
            </w:r>
          </w:p>
        </w:tc>
        <w:tc>
          <w:tcPr>
            <w:tcW w:w="6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Malotraktor + mulčovač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17 988,75 €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08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hanging="284" w:left="284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2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041"/>
        <w:gridCol w:w="5987"/>
      </w:tblGrid>
      <w:tr>
        <w:trPr/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Majetok je poistený do výšky 945 637,88 Eur  - „balík združený živel“ ročné poistné 605,51 Eur</w:t>
            </w:r>
          </w:p>
        </w:tc>
      </w:tr>
      <w:tr>
        <w:trPr/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Multifunkčné ihrisko – poistná suma 43 939,67 Eur,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ročné poistné 94,32 Eur</w:t>
            </w:r>
          </w:p>
        </w:tc>
      </w:tr>
      <w:tr>
        <w:trPr/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zákonné pistenie motorového vozidla</w:t>
            </w:r>
          </w:p>
        </w:tc>
        <w:tc>
          <w:tcPr>
            <w:tcW w:w="5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Obecná V3S – ročné poistné 399,20 Eur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hanging="0" w:left="426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hanging="284" w:left="284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ind w:hanging="0" w:left="284"/>
        <w:jc w:val="both"/>
        <w:rPr>
          <w:sz w:val="24"/>
          <w:szCs w:val="24"/>
        </w:rPr>
      </w:pPr>
      <w:r>
        <w:rPr>
          <w:sz w:val="24"/>
          <w:szCs w:val="24"/>
        </w:rPr>
        <w:t>Nie je zriadené záložné právo na dlhodobý majetok obce.</w:t>
      </w:r>
    </w:p>
    <w:p>
      <w:pPr>
        <w:pStyle w:val="Normal"/>
        <w:ind w:hanging="0" w:left="284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hanging="284" w:left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>
      <w:pPr>
        <w:pStyle w:val="Pismenka"/>
        <w:tabs>
          <w:tab w:val="clear" w:pos="426"/>
        </w:tabs>
        <w:ind w:hanging="0" w:left="284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97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7"/>
        <w:gridCol w:w="4761"/>
      </w:tblGrid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77 250,18 €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Softvér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637,88 €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1 492 647,30 €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47 969,28 €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Dopravné prostriedky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Dlhodobý nehmotný majetok - ÚPD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16 236,45 €</w:t>
            </w:r>
          </w:p>
        </w:tc>
      </w:tr>
      <w:tr>
        <w:trPr>
          <w:trHeight w:val="290" w:hRule="atLeast"/>
        </w:trPr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Drobný dlhodobý hmotný majetok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4 304,27 €</w:t>
            </w:r>
          </w:p>
        </w:tc>
      </w:tr>
    </w:tbl>
    <w:p>
      <w:pPr>
        <w:pStyle w:val="Pismenka"/>
        <w:numPr>
          <w:ilvl w:val="0"/>
          <w:numId w:val="5"/>
        </w:numPr>
        <w:ind w:hanging="284" w:left="284"/>
        <w:rPr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2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7"/>
        <w:gridCol w:w="3997"/>
      </w:tblGrid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3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v správe majetok, ku ktorému nemá vlastnícke právo.</w:t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>V roku 2025 bola navýšená opravná položka vytvorená v r. 2016 k rozostavanej stavbe ČOV do výšky predpokladaných odpisov od začiatku r. výstavby – 2008.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963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0"/>
        <w:gridCol w:w="996"/>
        <w:gridCol w:w="706"/>
        <w:gridCol w:w="712"/>
        <w:gridCol w:w="1274"/>
        <w:gridCol w:w="2553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31.12.2024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31.12.2025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042 - Projektová dokumentácia  - vodovod IV. stavba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>4 528,64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>4 528,64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Vytvorenie OP do výšky odpisov od roku nadobudnutia PD</w:t>
            </w:r>
          </w:p>
        </w:tc>
      </w:tr>
      <w:tr>
        <w:trPr>
          <w:trHeight w:val="1197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PD – kanalizácia a začatá výstavba ČOV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117960,31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7092,57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125052,88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 a vybudovania ČOV – nedokončené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projektová dokumentácia – prístupová komunikácia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5005,29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5005,29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  <w:tr>
        <w:trPr>
          <w:trHeight w:val="475" w:hRule="atLeast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042- Projektová dokumentácia GP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2162,90</w:t>
            </w:r>
          </w:p>
        </w:tc>
        <w:tc>
          <w:tcPr>
            <w:tcW w:w="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</w:t>
            </w:r>
          </w:p>
        </w:tc>
        <w:tc>
          <w:tcPr>
            <w:tcW w:w="7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2162,90</w:t>
            </w:r>
          </w:p>
        </w:tc>
        <w:tc>
          <w:tcPr>
            <w:tcW w:w="25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Vo - modernizácia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247,50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247,5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495,00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041 - UPN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2268,50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2268,50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4537,00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</w:tbl>
    <w:p>
      <w:pPr>
        <w:pStyle w:val="Normal"/>
        <w:ind w:hanging="0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hanging="284" w:left="284"/>
        <w:rPr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Nie je účtovaná opravná položka k dlhodobému finančnému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majetkové podiely v iných spoločnostiach.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Normal"/>
        <w:ind w:hanging="0"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78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37"/>
        <w:gridCol w:w="902"/>
        <w:gridCol w:w="1080"/>
        <w:gridCol w:w="923"/>
        <w:gridCol w:w="994"/>
        <w:gridCol w:w="1844"/>
        <w:gridCol w:w="1701"/>
      </w:tblGrid>
      <w:tr>
        <w:trPr/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Názov emitenta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jc w:val="center"/>
              <w:rPr/>
            </w:pPr>
            <w:r>
              <w:rPr/>
              <w:t>cenného papiera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Podiel v %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jc w:val="center"/>
              <w:rPr/>
            </w:pPr>
            <w:r>
              <w:rPr/>
              <w:t>k 31.12. 2024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jc w:val="center"/>
              <w:rPr/>
            </w:pPr>
            <w:r>
              <w:rPr/>
              <w:t>k 31.12. 2025</w:t>
            </w:r>
          </w:p>
        </w:tc>
      </w:tr>
      <w:tr>
        <w:trPr/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Liptovská vodárenská spoločnosť, a.s.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Eur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0,228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</w:tr>
    </w:tbl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hanging="2520" w:left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>
      <w:pPr>
        <w:pStyle w:val="Normal"/>
        <w:numPr>
          <w:ilvl w:val="0"/>
          <w:numId w:val="8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ind w:hanging="0" w:left="284"/>
        <w:jc w:val="both"/>
        <w:rPr/>
      </w:pPr>
      <w:r>
        <w:rPr>
          <w:sz w:val="24"/>
          <w:szCs w:val="24"/>
        </w:rPr>
        <w:t>Obec má zaúčtované na účte 112 – Materiál na sklade knihy „ v celkovej sume 264 Eur.</w:t>
      </w:r>
    </w:p>
    <w:p>
      <w:pPr>
        <w:pStyle w:val="Normal"/>
        <w:ind w:hanging="0" w:left="284"/>
        <w:jc w:val="both"/>
        <w:rPr>
          <w:sz w:val="24"/>
          <w:szCs w:val="24"/>
        </w:rPr>
      </w:pPr>
      <w:r>
        <w:rPr>
          <w:sz w:val="24"/>
          <w:szCs w:val="24"/>
        </w:rPr>
        <w:t>Opravná položka k zásobám nebola tvorená.</w:t>
      </w:r>
    </w:p>
    <w:p>
      <w:pPr>
        <w:pStyle w:val="Normal"/>
        <w:ind w:hanging="0" w:left="28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9"/>
        </w:numPr>
        <w:ind w:hanging="284" w:left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hanging="0" w:left="28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/>
        <w:rPr/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Obec má pohľadávky po lehote splatnosti  – daň z nehnuteľností z r. 2016 – 2025, a za nezaplatený poplatok za odvoz komunálneho odpadu.  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692"/>
        <w:gridCol w:w="846"/>
        <w:gridCol w:w="1559"/>
        <w:gridCol w:w="1562"/>
        <w:gridCol w:w="3265"/>
      </w:tblGrid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highlight w:val="none"/>
                <w:shd w:fill="auto" w:val="clear"/>
              </w:rPr>
            </w:pPr>
            <w:r>
              <w:rPr>
                <w:b/>
                <w:shd w:fill="auto" w:val="clear"/>
              </w:rPr>
              <w:t>Opis</w:t>
            </w:r>
          </w:p>
        </w:tc>
      </w:tr>
      <w:tr>
        <w:trPr>
          <w:trHeight w:val="482" w:hRule="atLeast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Daňová pohľadávka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1093,00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1088,91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Pohľadávka voči FO – DzN z r. 2016-2025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Nedaňová pohľadávka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750,95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541,93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Pohľadávka voči FO za miestny poplatok 2016-2025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pohľadávky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243,98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243,98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Ostatná pohľadávka</w:t>
            </w:r>
          </w:p>
        </w:tc>
      </w:tr>
    </w:tbl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hanging="284" w:left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hanging="0" w:lef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Obec vytvorila opravnú položku k pohľadávkam podľa vnútorného predpisu.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tbl>
      <w:tblPr>
        <w:tblW w:w="992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2"/>
        <w:gridCol w:w="852"/>
        <w:gridCol w:w="853"/>
        <w:gridCol w:w="849"/>
        <w:gridCol w:w="1134"/>
        <w:gridCol w:w="2835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31.12.2024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Nedaňové – poplatok za komunálny odpad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183,70 €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25,32€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183,70 €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zvýšila z dôvodu navýšenia doby splatnosti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color w:val="FF0000"/>
              </w:rPr>
            </w:pPr>
            <w:r>
              <w:rPr/>
              <w:t>Daňové – daň z nehnut.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682,16 €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678,07 €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4,09 €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znížila z dôvodu zaplatenia pohľadávky</w:t>
            </w:r>
          </w:p>
        </w:tc>
      </w:tr>
    </w:tbl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c) 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Obec eviduje pohľadávky po lehote splatnosti voči FO   - daň z nehnuteľností a miestny poplatok za komunálny odpad, voči PO – daň z nehnuteľností.</w:t>
      </w:r>
    </w:p>
    <w:p>
      <w:pPr>
        <w:pStyle w:val="Pismenka"/>
        <w:tabs>
          <w:tab w:val="clear" w:pos="426"/>
        </w:tabs>
        <w:ind w:hanging="0" w:lef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391"/>
        <w:gridCol w:w="1281"/>
        <w:gridCol w:w="1419"/>
        <w:gridCol w:w="2973"/>
      </w:tblGrid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brutto  Eur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31.12.2025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brutto  Eur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 toho pohľadávky po lehote splatnosti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suma, popis</w:t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Dlhodobé pohľadávky z toho: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Obec nemá dlhodobé  pohľadávky</w:t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hanging="0" w:left="678"/>
              <w:rPr/>
            </w:pPr>
            <w:r>
              <w:rPr/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Krátkodobé pohľadávky z toho: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5793,97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2144,82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hanging="142" w:left="214"/>
              <w:rPr/>
            </w:pPr>
            <w:r>
              <w:rPr/>
              <w:t>pohľadávky na dani z nehnuteľnosti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2437,95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1088,91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hanging="142" w:left="214"/>
              <w:rPr/>
            </w:pPr>
            <w:r>
              <w:rPr/>
              <w:t>pohľadávky za KO a DSO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3053,26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541,93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hanging="142" w:left="214"/>
              <w:rPr/>
            </w:pPr>
            <w:r>
              <w:rPr/>
              <w:t>pohľadávky – vúčt.el.energie, vodné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190,26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243,98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hanging="142" w:left="214"/>
              <w:rPr/>
            </w:pPr>
            <w:r>
              <w:rPr/>
              <w:t>Pohľadávky voči zamestnancom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112,5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270,00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d) 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36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24"/>
        <w:gridCol w:w="1417"/>
        <w:gridCol w:w="1423"/>
      </w:tblGrid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 Eur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31.12.2025 Eur</w:t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5793,97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2144,82</w:t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hanging="284" w:left="356"/>
              <w:rPr/>
            </w:pPr>
            <w:r>
              <w:rPr/>
              <w:t>so zostatkovou dobou splatnosti do 1 roka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2437,95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1088,91</w:t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3356,02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1055,91</w:t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hanging="284" w:left="356"/>
              <w:rPr/>
            </w:pPr>
            <w:r>
              <w:rPr/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hanging="284" w:left="356"/>
              <w:rPr/>
            </w:pPr>
            <w:r>
              <w:rPr/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8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hanging="284" w:left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hanging="0" w:left="284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962"/>
        <w:gridCol w:w="2404"/>
        <w:gridCol w:w="2699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31.12.2025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Pokladnica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926,84 €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1 290,37 €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Ceniny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>
          <w:trHeight w:val="187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Bankové účty -  bežný účet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128 394,36 €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104 363,37 €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Krátkodobým finančným majetkom môže obec voľne disponovať.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68"/>
        <w:gridCol w:w="2410"/>
        <w:gridCol w:w="2128"/>
      </w:tblGrid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31.12.2025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1 157,31 €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1517,53 €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697"/>
        <w:gridCol w:w="1281"/>
        <w:gridCol w:w="1130"/>
        <w:gridCol w:w="1134"/>
        <w:gridCol w:w="1136"/>
        <w:gridCol w:w="1130"/>
        <w:gridCol w:w="2273"/>
      </w:tblGrid>
      <w:tr>
        <w:trPr/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31.12.2024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31.12.2025</w:t>
            </w:r>
          </w:p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428 - Nevysporiadaný výsledok hosp. minulých rokov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402779,89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+2034,36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+29199,65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434013,90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431 - Výsledok hospodárenia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29199,65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49289,30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-29199,65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49289,30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Presun  preúčtovanie HV za rok 2025</w:t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</w:t>
      </w:r>
    </w:p>
    <w:p>
      <w:pPr>
        <w:pStyle w:val="Pismenka"/>
        <w:tabs>
          <w:tab w:val="clear" w:pos="426"/>
        </w:tabs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p>
      <w:pPr>
        <w:pStyle w:val="Pismenka"/>
        <w:tabs>
          <w:tab w:val="clear" w:pos="426"/>
        </w:tabs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8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33"/>
        <w:gridCol w:w="2548"/>
      </w:tblGrid>
      <w:tr>
        <w:trPr>
          <w:trHeight w:val="260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Názov položky / Eur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>
        <w:trPr/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Obec vykazuje rezervu na  vykonanie auditu účtovnej závierky za r. 2025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2026</w:t>
            </w:r>
          </w:p>
        </w:tc>
      </w:tr>
    </w:tbl>
    <w:p>
      <w:pPr>
        <w:pStyle w:val="Normal"/>
        <w:ind w:hanging="0" w:left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Normal"/>
        <w:ind w:hanging="0" w:left="284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Obec má záväzky v lehote splatnosti voči zamestnancom, sociálnej poisťovni, zdravotným poisťovniam, daňovému úradu, dodávateľom.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5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385"/>
        <w:gridCol w:w="2551"/>
        <w:gridCol w:w="1822"/>
      </w:tblGrid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k 31.12.2024 v €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31.12.2025 v €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375,74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469,08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hanging="142" w:left="318"/>
              <w:rPr/>
            </w:pPr>
            <w:r>
              <w:rPr/>
              <w:t>záväzky zo sociálne 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375,14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469,08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ostatné záväzky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7120,43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8546,89</w:t>
            </w:r>
          </w:p>
        </w:tc>
      </w:tr>
    </w:tbl>
    <w:p>
      <w:pPr>
        <w:pStyle w:val="Pismenka"/>
        <w:numPr>
          <w:ilvl w:val="0"/>
          <w:numId w:val="12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hanging="0" w:lef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Všetky krátkodobé záväzky obce sú v lehote splatnosti do jedného roka.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hanging="284" w:left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>
      <w:pPr>
        <w:pStyle w:val="Pismenka"/>
        <w:tabs>
          <w:tab w:val="clear" w:pos="426"/>
        </w:tabs>
        <w:ind w:hanging="0" w:left="284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9"/>
        <w:gridCol w:w="1701"/>
        <w:gridCol w:w="1982"/>
        <w:gridCol w:w="2979"/>
      </w:tblGrid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31.12.2024 v €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31.12.2025 v €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>
        <w:trPr>
          <w:trHeight w:val="27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zamestnancovm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3159,78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3880,10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Mzdy za  12/25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SP a ZP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1841,67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2428,92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Odvod y do poisťovní za 12/25</w:t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3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hanging="0" w:left="0"/>
        <w:rPr/>
      </w:pPr>
      <w:r>
        <w:rPr>
          <w:b w:val="false"/>
          <w:sz w:val="24"/>
          <w:szCs w:val="24"/>
        </w:rPr>
        <w:t xml:space="preserve">    </w:t>
      </w:r>
      <w:r>
        <w:rPr>
          <w:b w:val="false"/>
          <w:sz w:val="24"/>
          <w:szCs w:val="24"/>
        </w:rPr>
        <w:t xml:space="preserve">Obec v roku 2024 uzavrela  s  Prima bankou Slovensko, a.s., Źilina </w:t>
      </w:r>
      <w:r>
        <w:rPr>
          <w:b w:val="false"/>
          <w:i w:val="false"/>
          <w:caps w:val="false"/>
          <w:smallCaps w:val="false"/>
          <w:color w:val="111111"/>
          <w:spacing w:val="0"/>
          <w:sz w:val="24"/>
          <w:szCs w:val="24"/>
        </w:rPr>
        <w:t>Zmluvu o Municipálnom úvere -Eurofondy č.09/001/24</w:t>
      </w:r>
      <w:r>
        <w:rPr>
          <w:b w:val="false"/>
          <w:sz w:val="24"/>
          <w:szCs w:val="24"/>
        </w:rPr>
        <w:t xml:space="preserve"> na Predfinancovanie NFP – účel – rekonštrukcia miestnej komunikácie. Vroku 2025 časť úveru splatila z dotácie na rekonštrukciu miestnej komunikácie a zvyšok istiny spláca v mesačných splátkach</w:t>
      </w:r>
    </w:p>
    <w:p>
      <w:pPr>
        <w:pStyle w:val="Pismenka"/>
        <w:widowControl/>
        <w:tabs>
          <w:tab w:val="clear" w:pos="426"/>
        </w:tabs>
        <w:bidi w:val="0"/>
        <w:spacing w:lineRule="auto" w:line="240" w:before="0" w:after="0"/>
        <w:ind w:hanging="0" w:left="0" w:right="0"/>
        <w:jc w:val="both"/>
        <w:rPr/>
      </w:pPr>
      <w:r>
        <w:rPr>
          <w:b/>
          <w:bCs/>
          <w:sz w:val="24"/>
          <w:szCs w:val="24"/>
        </w:rPr>
        <w:t>K 31.122025 bola nesplatená hodnota úveru vo výške 22004,30 Eur.</w:t>
      </w:r>
    </w:p>
    <w:p>
      <w:pPr>
        <w:pStyle w:val="Pismenka"/>
        <w:numPr>
          <w:ilvl w:val="0"/>
          <w:numId w:val="13"/>
        </w:numPr>
        <w:ind w:hanging="284" w:left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false"/>
          <w:sz w:val="24"/>
          <w:szCs w:val="24"/>
        </w:rPr>
        <w:t>dlhodobého bankového úveru alebo krátkodobého bankového úveru – nebolo dohodnuté žiadne zabezpečenie</w:t>
      </w:r>
    </w:p>
    <w:p>
      <w:pPr>
        <w:pStyle w:val="Pismenka"/>
        <w:numPr>
          <w:ilvl w:val="0"/>
          <w:numId w:val="0"/>
        </w:numPr>
        <w:ind w:hanging="0" w:left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numPr>
          <w:ilvl w:val="0"/>
          <w:numId w:val="11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popis významných položiek časového rozlíšenia výdavkov budúcich období a výnosov budúcich  období v Eur</w:t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4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4"/>
        <w:gridCol w:w="2125"/>
        <w:gridCol w:w="1849"/>
      </w:tblGrid>
      <w:tr>
        <w:trPr/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>k 31.12.2024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 k 31.12.2025</w:t>
            </w:r>
          </w:p>
        </w:tc>
      </w:tr>
      <w:tr>
        <w:trPr/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Výdavky budúcich období spolu z toho: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>
        <w:trPr>
          <w:trHeight w:val="265" w:hRule="atLeast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>
          <w:trHeight w:val="209" w:hRule="atLeast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Výnosy budúcich období spolu z toho: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702879,75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757780,31</w:t>
            </w:r>
          </w:p>
        </w:tc>
      </w:tr>
      <w:tr>
        <w:trPr/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v Eur</w:t>
      </w:r>
    </w:p>
    <w:tbl>
      <w:tblPr>
        <w:tblW w:w="952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2123"/>
        <w:gridCol w:w="1871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Stav k 31.12.2024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Stav k 31.12.2025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VO ihrisko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2370,36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1580,28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ihrisko - Špánik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3984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3696,00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BO vodovod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378141,92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362164,16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ČOV a kanalizácia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29957,55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23650,71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VBO schodisko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4960,32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strechy KD</w:t>
            </w:r>
          </w:p>
        </w:tc>
        <w:tc>
          <w:tcPr>
            <w:tcW w:w="21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35919,45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33895,77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Odberný objekt na vodu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956,58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790,38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Drevuliak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243,2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MK s vyznačením cyklotrasy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38669,80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84498,68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Viacúčelové ihrisko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14487,55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12988,75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Stavebné úpravy budovy obecného úradu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3584,38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3477,70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Autobusová zastávka 1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1478,91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1056,39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Autobusová zastávka 2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1478,91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1056,39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Zmeny a doplnok UPD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6805,50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4537,00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Zateplenie KD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94541,02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88603,54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Vykurovanie KD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77305,70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72474,14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Wifi pre teba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12954,92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11768,24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Malotraktor</w:t>
            </w:r>
          </w:p>
        </w:tc>
        <w:tc>
          <w:tcPr>
            <w:tcW w:w="21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13106,05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Stojiská</w:t>
            </w:r>
          </w:p>
        </w:tc>
        <w:tc>
          <w:tcPr>
            <w:tcW w:w="21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23635,44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OM na vodu Grand pred Krámcom</w:t>
            </w:r>
          </w:p>
        </w:tc>
        <w:tc>
          <w:tcPr>
            <w:tcW w:w="21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2879,04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Javisko</w:t>
            </w:r>
          </w:p>
        </w:tc>
        <w:tc>
          <w:tcPr>
            <w:tcW w:w="21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6961,33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702879,751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757780,31</w:t>
            </w:r>
          </w:p>
        </w:tc>
      </w:tr>
    </w:tbl>
    <w:p>
      <w:pPr>
        <w:pStyle w:val="Pismenka"/>
        <w:tabs>
          <w:tab w:val="clear" w:pos="426"/>
        </w:tabs>
        <w:ind w:hanging="0" w:left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hanging="0" w:left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 v Eur</w:t>
      </w:r>
    </w:p>
    <w:tbl>
      <w:tblPr>
        <w:tblW w:w="10035" w:type="dxa"/>
        <w:jc w:val="left"/>
        <w:tblInd w:w="0" w:type="dxa"/>
        <w:tblLayout w:type="fixed"/>
        <w:tblCellMar>
          <w:top w:w="0" w:type="dxa"/>
          <w:left w:w="65" w:type="dxa"/>
          <w:bottom w:w="0" w:type="dxa"/>
          <w:right w:w="70" w:type="dxa"/>
        </w:tblCellMar>
      </w:tblPr>
      <w:tblGrid>
        <w:gridCol w:w="5835"/>
        <w:gridCol w:w="2040"/>
        <w:gridCol w:w="2160"/>
      </w:tblGrid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Opis /číslo účtu a názov/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4 180,59 €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7 351,69 €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602 - Tržby z predaja služieb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4 180,59 €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7 351,69 €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604 - Tržby za tovar 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622 - Aktivácia vnútroorganizačných služieb z 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624 - Aktivácia DHM z 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139 602,79 €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167 860,68 €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numPr>
                <w:ilvl w:val="0"/>
                <w:numId w:val="22"/>
              </w:numPr>
              <w:ind w:hanging="142" w:left="318" w:right="0"/>
              <w:rPr/>
            </w:pPr>
            <w:r>
              <w:rPr/>
              <w:t>podielové dane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126 381,07 €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151 553,98 €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633 - Výnosy z poplatkov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13 221,72 €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16 306,70 €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678,07 €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661 - Tržby z predaja CP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662 - Úroky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668 - Ostatné finančné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678,07 €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50 623,66 €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54 348,67 €</w:t>
            </w:r>
          </w:p>
        </w:tc>
      </w:tr>
      <w:tr>
        <w:trPr>
          <w:trHeight w:val="129" w:hRule="atLeast"/>
        </w:trPr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693 - Výnosy samosprávy z bežných transferov zo ŠR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3 739,84 €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1 338,04 €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694 - Výnosy samosprávy z kapitálových transferov zo ŠR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44 401,00 €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46 736,51 €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696 - Výnosy samosprávy z kapitálových transferov od EÚ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697 - Výnosy samosprávy z bežných transferov od ostatných subjektov VS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933,13 €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4 897,88 €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698 - Výnosy samosprávy z kapitálových transferov od ostatných subjektov mimo verejnej správy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1 549,68 €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1 376,24 €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</w:rPr>
            </w:pPr>
            <w:r>
              <w:rPr>
                <w:b/>
              </w:rPr>
              <w:t>1 506,00 €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</w:rPr>
            </w:pPr>
            <w:r>
              <w:rPr>
                <w:b/>
              </w:rPr>
              <w:t>1 554,45 €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641 - Tržby z predaja DNM a DHM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642 - Tržby z predaja materiálu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644 - Zmluvné pokuty, penále a úroky z omeškania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645 - Ostatné pokuty, penále a úroky z omeškania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216,00 €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646 - Výnosy z odpísaných pohľadávok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648 - Ostatné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1 290,00 €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1 554,45 €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653 - Zúčtovanie ostatných rezerv z prevádzkovej činnosti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800,00 €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800,00 €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</w:tbl>
    <w:p>
      <w:pPr>
        <w:pStyle w:val="Normal"/>
        <w:ind w:hanging="0" w:left="284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 v Eur</w:t>
      </w:r>
    </w:p>
    <w:p>
      <w:pPr>
        <w:pStyle w:val="Normal"/>
        <w:ind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41" w:type="dxa"/>
        <w:jc w:val="left"/>
        <w:tblInd w:w="0" w:type="dxa"/>
        <w:tblLayout w:type="fixed"/>
        <w:tblCellMar>
          <w:top w:w="0" w:type="dxa"/>
          <w:left w:w="65" w:type="dxa"/>
          <w:bottom w:w="0" w:type="dxa"/>
          <w:right w:w="70" w:type="dxa"/>
        </w:tblCellMar>
      </w:tblPr>
      <w:tblGrid>
        <w:gridCol w:w="5832"/>
        <w:gridCol w:w="2043"/>
        <w:gridCol w:w="2166"/>
      </w:tblGrid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Zostatok k  31.12.2024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Zostatok k  31.12.2025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13 644,33 €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13 123,47 €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501 - Spotreba materiálu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6 123,40 €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4 983,51 €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502 - Spotreba energie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7 520,93 €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8 139,96 €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25 162,15 €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31 067,26 €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511 - Opravy a udržiavanie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354,40 €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3 653,31 €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407,42 €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936,44 €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513 - Náklady na reprezentáciu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1 399,74 €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2 882,08 €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518 - Ostatné služby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23 000,59 €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23 595,43 €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59 265,62 €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62 077,27 €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521 - Mzdové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42 502,97 €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44 338,54 €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14 587,59 €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15 872,89 €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527 - Zákonné sociálne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2 175,06 €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1 865,84 €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1 360,00 €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3 748,85 €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532 - Daň z nehnuteľností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538 - Ostatné dane a poplatky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1 360,00 €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3 748,85 €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64 290,64 €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67 034,75 €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551 - Odpisy  DNM a DHM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45 595,63 €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56 580,86 €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553 - Tvorba ostatných rezerv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800,00 €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820,00 €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558 - Tvorba ostatných opravných položiek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17 895,01 €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9 633,89 €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737,14 €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2 004,84 €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561 - Predané CP a podiely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562 - Úroky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423,20 €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1 599,32 €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568 - Ostatné finančné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313,94 €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405,52 €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1 880,26 €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1 584,45 €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584 - Náklady na transfery z rozpočtu obce, VÚC do RO, PO zriadených obcou alebo VUC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585 - Náklady na transfery z rozpočtu obce, VÚC ostatným subjektov verejnej správy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142,70 €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1 439,45 €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586 - Náklady na transfery z rozpočtu obce, VÚC subjektov mimo verejnej správy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1 630,50 €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145,00 €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587 - Náklady na ostatné transfery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107,06 €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588 - Náklady z odvodu príjmov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589 - Náklady z budúceho odvodu príjmov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ind w:hanging="0" w:left="720" w:right="0"/>
              <w:rPr>
                <w:b/>
              </w:rPr>
            </w:pPr>
            <w:r>
              <w:rPr>
                <w:b/>
              </w:rPr>
              <w:t>h) ostatné náklady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1 173,24 €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2 663,37 €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541 - ZC predaného DNM a DHM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542 - Predaný materiál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544 - Zmluvné pokuty, penále a úroky z omeškania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545 - Ostatné pokuty, penále a úroky z omeškania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546 - Odpis pohľadávky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548 - Ostatné náklady na prevádzkovú činnosť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1 173,24 €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2663,37 €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549 - Manká a škody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hanging="185" w:left="185" w:right="0"/>
              <w:rPr/>
            </w:pPr>
            <w:r>
              <w:rPr>
                <w:b/>
              </w:rPr>
              <w:t>i) dane z príjmov -</w:t>
            </w:r>
            <w:r>
              <w:rPr/>
              <w:t>591 - Splatná daň z príjmov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</w:tbl>
    <w:p>
      <w:pPr>
        <w:pStyle w:val="Normal"/>
        <w:ind w:hanging="0" w:left="284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hanging="0" w:left="284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94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105"/>
        <w:gridCol w:w="3122"/>
        <w:gridCol w:w="2271"/>
      </w:tblGrid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Významné položky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 Eur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- OTE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10666,43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Kontajnery čierne plastnové  1000 l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2 332,80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18"/>
                <w:szCs w:val="18"/>
              </w:rPr>
              <w:t>Podpis pohľadávky TKO 2013-2015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83,95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Známky pre psov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87,12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tabs>
          <w:tab w:val="clear" w:pos="426"/>
        </w:tabs>
        <w:ind w:hanging="0" w:left="36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hanging="284"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hanging="0" w:lef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>Rozpočet obce bol schválený obecným zastupiteľstvom dňa</w:t>
      </w:r>
      <w:r>
        <w:rPr>
          <w:color w:val="auto"/>
          <w:sz w:val="24"/>
          <w:szCs w:val="24"/>
        </w:rPr>
        <w:t xml:space="preserve"> 13.12.2024  uz</w:t>
      </w:r>
      <w:r>
        <w:rPr>
          <w:sz w:val="24"/>
          <w:szCs w:val="24"/>
        </w:rPr>
        <w:t>nesením OZ č.49/2024.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7 - 8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 v účtovnej závierke za rok 2025.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419429949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419429949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ind w:hanging="0" w:left="0" w:right="-82"/>
      <w:jc w:val="center"/>
      <w:rPr>
        <w:sz w:val="24"/>
        <w:szCs w:val="24"/>
      </w:rPr>
    </w:pPr>
    <w:r>
      <w:rPr>
        <w:sz w:val="24"/>
        <w:szCs w:val="24"/>
      </w:rPr>
      <w:t>Obec Nižná Boca, IČO: 00315648</w:t>
    </w:r>
  </w:p>
  <w:p>
    <w:pPr>
      <w:pStyle w:val="Header"/>
      <w:pBdr>
        <w:bottom w:val="single" w:sz="4" w:space="1" w:color="000000"/>
      </w:pBdr>
      <w:jc w:val="center"/>
      <w:rPr>
        <w:rFonts w:ascii="Times New Roman" w:hAnsi="Times New Roman"/>
        <w:b w:val="false"/>
        <w:bCs w:val="false"/>
        <w:i w:val="false"/>
        <w:iCs w:val="false"/>
        <w:sz w:val="24"/>
        <w:szCs w:val="24"/>
      </w:rPr>
    </w:pPr>
    <w:sdt>
      <w:sdtPr>
        <w:alias w:val="Nadpis"/>
        <w:id w:val="180507019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eastAsia="" w:cs="" w:cstheme="majorBidi" w:eastAsiaTheme="majorEastAsia"/>
            <w:b w:val="false"/>
            <w:bCs w:val="false"/>
            <w:i w:val="false"/>
            <w:iCs w:val="false"/>
            <w:sz w:val="24"/>
            <w:szCs w:val="24"/>
          </w:rPr>
        </w:r>
        <w:r>
          <w:rPr>
            <w:rFonts w:eastAsia="" w:cs="" w:cstheme="majorBidi" w:eastAsiaTheme="majorEastAsia"/>
            <w:b w:val="false"/>
            <w:bCs w:val="false"/>
            <w:i w:val="false"/>
            <w:iCs w:val="false"/>
            <w:sz w:val="24"/>
            <w:szCs w:val="24"/>
          </w:rPr>
          <w:t>Poznámky  individuálnej účtovnej závierky  zostavenej k 31. decembru 2025</w:t>
        </w:r>
      </w:sdtContent>
    </w:sdt>
  </w:p>
  <w:p>
    <w:pPr>
      <w:pStyle w:val="Header"/>
      <w:rPr>
        <w:i/>
        <w:sz w:val="24"/>
        <w:szCs w:val="24"/>
      </w:rPr>
    </w:pPr>
    <w:r>
      <w:rPr>
        <w:i/>
        <w:sz w:val="24"/>
        <w:szCs w:val="24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ind w:hanging="0" w:left="0" w:right="-82"/>
      <w:jc w:val="center"/>
      <w:rPr>
        <w:sz w:val="24"/>
        <w:szCs w:val="24"/>
      </w:rPr>
    </w:pPr>
    <w:r>
      <w:rPr>
        <w:sz w:val="24"/>
        <w:szCs w:val="24"/>
      </w:rPr>
      <w:t>Obec Nižná Boca, IČO: 00315648</w:t>
    </w:r>
  </w:p>
  <w:p>
    <w:pPr>
      <w:pStyle w:val="Header"/>
      <w:pBdr>
        <w:bottom w:val="single" w:sz="4" w:space="1" w:color="000000"/>
      </w:pBdr>
      <w:jc w:val="center"/>
      <w:rPr>
        <w:rFonts w:ascii="Times New Roman" w:hAnsi="Times New Roman"/>
        <w:b w:val="false"/>
        <w:bCs w:val="false"/>
        <w:i w:val="false"/>
        <w:iCs w:val="false"/>
        <w:sz w:val="24"/>
        <w:szCs w:val="24"/>
      </w:rPr>
    </w:pPr>
    <w:sdt>
      <w:sdtPr>
        <w:alias w:val="Nadpis"/>
        <w:id w:val="180507019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eastAsia="" w:cs="" w:cstheme="majorBidi" w:eastAsiaTheme="majorEastAsia"/>
            <w:b w:val="false"/>
            <w:bCs w:val="false"/>
            <w:i w:val="false"/>
            <w:iCs w:val="false"/>
            <w:sz w:val="24"/>
            <w:szCs w:val="24"/>
          </w:rPr>
        </w:r>
        <w:r>
          <w:rPr>
            <w:rFonts w:eastAsia="" w:cs="" w:cstheme="majorBidi" w:eastAsiaTheme="majorEastAsia"/>
            <w:b w:val="false"/>
            <w:bCs w:val="false"/>
            <w:i w:val="false"/>
            <w:iCs w:val="false"/>
            <w:sz w:val="24"/>
            <w:szCs w:val="24"/>
          </w:rPr>
          <w:t>Poznámky  individuálnej účtovnej závierky  zostavenej k 31. decembru 2025</w:t>
        </w:r>
      </w:sdtContent>
    </w:sdt>
  </w:p>
  <w:p>
    <w:pPr>
      <w:pStyle w:val="Header"/>
      <w:rPr>
        <w:i/>
        <w:sz w:val="24"/>
        <w:szCs w:val="24"/>
      </w:rPr>
    </w:pPr>
    <w:r>
      <w:rPr>
        <w:i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8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9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2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/>
    </w:lvl>
  </w:abstractNum>
  <w:abstractNum w:abstractNumId="2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</w:numbering>
</file>

<file path=word/settings.xml><?xml version="1.0" encoding="utf-8"?>
<w:settings xmlns:w="http://schemas.openxmlformats.org/wordprocessingml/2006/main">
  <w:zoom w:percent="89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3761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TextbublinyChar" w:customStyle="1">
    <w:name w:val="Text bubliny Char"/>
    <w:basedOn w:val="DefaultParagraphFont"/>
    <w:semiHidden/>
    <w:qFormat/>
    <w:rsid w:val="00f3761a"/>
    <w:rPr>
      <w:rFonts w:ascii="Tahoma" w:hAnsi="Tahoma" w:eastAsia="Times New Roman" w:cs="Tahoma"/>
      <w:sz w:val="16"/>
      <w:szCs w:val="16"/>
      <w:lang w:eastAsia="sk-SK"/>
    </w:rPr>
  </w:style>
  <w:style w:type="character" w:styleId="PageNumber">
    <w:name w:val="page number"/>
    <w:basedOn w:val="DefaultParagraphFont"/>
    <w:qFormat/>
    <w:rsid w:val="00f3761a"/>
    <w:rPr/>
  </w:style>
  <w:style w:type="character" w:styleId="ZkladntextChar" w:customStyle="1">
    <w:name w:val="Základný text Char"/>
    <w:basedOn w:val="DefaultParagraphFont"/>
    <w:qFormat/>
    <w:rsid w:val="00f3761a"/>
    <w:rPr>
      <w:rFonts w:ascii="Times New Roman" w:hAnsi="Times New Roman" w:eastAsia="Times New Roman" w:cs="Times New Roman"/>
      <w:sz w:val="18"/>
      <w:szCs w:val="20"/>
      <w:lang w:eastAsia="sk-SK"/>
    </w:rPr>
  </w:style>
  <w:style w:type="character" w:styleId="HlavikaChar" w:customStyle="1">
    <w:name w:val="Hlavička Char"/>
    <w:basedOn w:val="DefaultParagraphFont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Times New Roman" w:hAnsi="Times New Roman" w:cs="Times New Roman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1z0">
    <w:name w:val="WW8Num21z0"/>
    <w:qFormat/>
    <w:rPr>
      <w:b/>
    </w:rPr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rsid w:val="00f3761a"/>
    <w:pPr>
      <w:ind w:hanging="0" w:left="426"/>
      <w:jc w:val="both"/>
    </w:pPr>
    <w:rPr>
      <w:sz w:val="18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aptauser">
    <w:name w:val="Hlavička a päta (user)"/>
    <w:basedOn w:val="Normal"/>
    <w:qFormat/>
    <w:pPr/>
    <w:rPr/>
  </w:style>
  <w:style w:type="paragraph" w:styleId="Footer">
    <w:name w:val="footer"/>
    <w:basedOn w:val="Normal"/>
    <w:link w:val="PtaChar"/>
    <w:uiPriority w:val="99"/>
    <w:rsid w:val="00f3761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semiHidden/>
    <w:qFormat/>
    <w:rsid w:val="00f3761a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f3761a"/>
    <w:pPr>
      <w:widowControl/>
      <w:suppressAutoHyphens w:val="true"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BodyText"/>
    <w:qFormat/>
    <w:rsid w:val="00f3761a"/>
    <w:pPr>
      <w:tabs>
        <w:tab w:val="clear" w:pos="708"/>
        <w:tab w:val="left" w:pos="426" w:leader="none"/>
      </w:tabs>
      <w:ind w:hanging="426" w:left="426"/>
    </w:pPr>
    <w:rPr>
      <w:b/>
    </w:rPr>
  </w:style>
  <w:style w:type="paragraph" w:styleId="Header">
    <w:name w:val="header"/>
    <w:basedOn w:val="Normal"/>
    <w:link w:val="HlavikaChar"/>
    <w:uiPriority w:val="99"/>
    <w:rsid w:val="00f3761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f3761a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f3761a"/>
    <w:pPr>
      <w:ind w:hanging="0" w:right="-79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f3761a"/>
    <w:pPr>
      <w:spacing w:before="0" w:after="0"/>
      <w:ind w:hanging="0" w:left="720"/>
      <w:contextualSpacing/>
    </w:pPr>
    <w:rPr/>
  </w:style>
  <w:style w:type="paragraph" w:styleId="NoSpacing">
    <w:name w:val="No Spacing"/>
    <w:uiPriority w:val="1"/>
    <w:qFormat/>
    <w:rsid w:val="00f3761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paragraph" w:styleId="Obsahtabukyuser">
    <w:name w:val="Obsah tabuľky (user)"/>
    <w:basedOn w:val="Normal"/>
    <w:qFormat/>
    <w:pPr>
      <w:suppressLineNumbers/>
    </w:pPr>
    <w:rPr/>
  </w:style>
  <w:style w:type="paragraph" w:styleId="Nadpistabuky">
    <w:name w:val="Nadpis tabuľky"/>
    <w:basedOn w:val="Obsahtabukyuser"/>
    <w:qFormat/>
    <w:pPr>
      <w:suppressLineNumbers/>
      <w:jc w:val="center"/>
    </w:pPr>
    <w:rPr>
      <w:b/>
      <w:bCs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paragraph" w:styleId="Zhlavietabukyuser">
    <w:name w:val="Záhlavie tabuľky (user)"/>
    <w:basedOn w:val="Obsahtabukyuser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1">
    <w:name w:val="WW8Num21"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f3761a"/>
    <w:pPr>
      <w:spacing w:after="0" w:line="240" w:lineRule="auto"/>
    </w:pPr>
    <w:rPr>
      <w:sz w:val="20"/>
      <w:szCs w:val="20"/>
      <w:lang w:eastAsia="sk-SK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glossaryDocument" Target="glossary/document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9E1FBCE87004281A892236CC55C3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3E7239-EB9E-4D71-846F-0CE82425A590}"/>
      </w:docPartPr>
      <w:docPartBody>
        <w:p w:rsidR="00000000" w:rsidRDefault="009B01F4" w:rsidP="009B01F4">
          <w:pPr>
            <w:pStyle w:val="49E1FBCE87004281A892236CC55C35D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B01F4"/>
    <w:rsid w:val="009B01F4"/>
    <w:rsid w:val="00D20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49E1FBCE87004281A892236CC55C35DB">
    <w:name w:val="49E1FBCE87004281A892236CC55C35DB"/>
    <w:rsid w:val="009B01F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Application>LibreOffice/25.8.5.2$Windows_X86_64 LibreOffice_project/9c8b85f387cc00a89945a79c9e6239f32e450ac2</Application>
  <AppVersion>15.0000</AppVersion>
  <Pages>11</Pages>
  <Words>3442</Words>
  <Characters>18260</Characters>
  <CharactersWithSpaces>21360</CharactersWithSpaces>
  <Paragraphs>802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2023-02-26T17:04:00Z</dcterms:created>
  <dc:creator>Lenovo</dc:creator>
  <dc:description/>
  <dc:language>sk-SK</dc:language>
  <cp:lastModifiedBy/>
  <cp:lastPrinted>2025-03-20T11:33:36Z</cp:lastPrinted>
  <dcterms:modified xsi:type="dcterms:W3CDTF">2026-03-26T13:36:50Z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