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ackground w:color="FFFFFF"/>
  <w:body>
    <w:p w14:paraId="00DE21BD" w14:textId="77777777" w:rsidR="00C616C2" w:rsidRDefault="00C616C2">
      <w:pPr>
        <w:jc w:val="center"/>
        <w:rPr>
          <w:rFonts w:ascii="Calibri" w:hAnsi="Calibri" w:cs="Calibri"/>
          <w:b/>
          <w:sz w:val="22"/>
          <w:szCs w:val="22"/>
          <w:highlight w:val="yellow"/>
        </w:rPr>
      </w:pPr>
    </w:p>
    <w:p w14:paraId="64C0FBA4" w14:textId="77777777" w:rsidR="00C616C2" w:rsidRDefault="00C616C2">
      <w:pPr>
        <w:jc w:val="center"/>
      </w:pPr>
      <w:r>
        <w:rPr>
          <w:rFonts w:ascii="Calibri" w:hAnsi="Calibri" w:cs="Calibri"/>
          <w:b/>
          <w:sz w:val="22"/>
          <w:szCs w:val="22"/>
        </w:rPr>
        <w:t>ČL. I</w:t>
      </w:r>
    </w:p>
    <w:p w14:paraId="5A82B452" w14:textId="77777777" w:rsidR="00C616C2" w:rsidRDefault="00C616C2">
      <w:pPr>
        <w:jc w:val="center"/>
      </w:pPr>
      <w:r>
        <w:rPr>
          <w:rFonts w:ascii="Calibri" w:hAnsi="Calibri" w:cs="Calibri"/>
          <w:b/>
          <w:sz w:val="22"/>
          <w:szCs w:val="22"/>
        </w:rPr>
        <w:t>VŠEOBECNÉ INFORMÁCIE</w:t>
      </w:r>
    </w:p>
    <w:p w14:paraId="634C88C0" w14:textId="77777777" w:rsidR="00C616C2" w:rsidRDefault="00C616C2">
      <w:pPr>
        <w:rPr>
          <w:rFonts w:ascii="Calibri" w:hAnsi="Calibri" w:cs="Calibri"/>
          <w:b/>
          <w:sz w:val="22"/>
          <w:szCs w:val="22"/>
        </w:rPr>
      </w:pPr>
    </w:p>
    <w:p w14:paraId="0A271B39" w14:textId="77777777" w:rsidR="00C616C2" w:rsidRDefault="00C616C2">
      <w:pPr>
        <w:rPr>
          <w:rFonts w:ascii="Calibri" w:hAnsi="Calibri" w:cs="Calibri"/>
          <w:b/>
          <w:sz w:val="22"/>
          <w:szCs w:val="22"/>
        </w:rPr>
      </w:pPr>
    </w:p>
    <w:p w14:paraId="194C1BA6" w14:textId="77777777" w:rsidR="00C616C2" w:rsidRDefault="00C616C2">
      <w:pPr>
        <w:pStyle w:val="Zkladntext"/>
        <w:numPr>
          <w:ilvl w:val="0"/>
          <w:numId w:val="6"/>
        </w:numPr>
        <w:tabs>
          <w:tab w:val="left" w:pos="360"/>
        </w:tabs>
        <w:ind w:hanging="720"/>
      </w:pPr>
      <w:r>
        <w:rPr>
          <w:rFonts w:ascii="Calibri" w:hAnsi="Calibri" w:cs="Calibri"/>
          <w:sz w:val="22"/>
          <w:szCs w:val="22"/>
        </w:rPr>
        <w:t>ZÁKLADNÉ ÚDAJE A PREDMET ČINNOSTI</w:t>
      </w:r>
    </w:p>
    <w:p w14:paraId="17CD5CCA" w14:textId="77777777" w:rsidR="00C616C2" w:rsidRDefault="00C616C2">
      <w:pPr>
        <w:pStyle w:val="Zkladntext"/>
        <w:ind w:left="720"/>
        <w:rPr>
          <w:rFonts w:ascii="Calibri" w:hAnsi="Calibri" w:cs="Calibri"/>
          <w:sz w:val="22"/>
          <w:szCs w:val="22"/>
        </w:rPr>
      </w:pPr>
    </w:p>
    <w:p w14:paraId="3C6D6EAD" w14:textId="77777777" w:rsidR="00C616C2" w:rsidRDefault="00C616C2">
      <w:pPr>
        <w:pStyle w:val="Zkladntext"/>
      </w:pPr>
      <w:r>
        <w:rPr>
          <w:rFonts w:ascii="Calibri" w:hAnsi="Calibri" w:cs="Calibri"/>
          <w:sz w:val="22"/>
          <w:szCs w:val="22"/>
        </w:rPr>
        <w:t xml:space="preserve">Účtovná </w:t>
      </w:r>
      <w:r>
        <w:rPr>
          <w:rFonts w:ascii="Calibri" w:hAnsi="Calibri" w:cs="Calibri"/>
          <w:color w:val="000000"/>
          <w:sz w:val="22"/>
          <w:szCs w:val="22"/>
        </w:rPr>
        <w:t xml:space="preserve">jednotka </w:t>
      </w:r>
      <w:r>
        <w:rPr>
          <w:rFonts w:ascii="Calibri" w:hAnsi="Calibri" w:cs="Calibri"/>
          <w:b/>
          <w:color w:val="000000"/>
          <w:sz w:val="22"/>
          <w:szCs w:val="22"/>
        </w:rPr>
        <w:t>Starý otec, a. s.</w:t>
      </w:r>
      <w:r>
        <w:rPr>
          <w:rFonts w:ascii="Calibri" w:hAnsi="Calibri" w:cs="Calibri"/>
          <w:color w:val="000000"/>
          <w:sz w:val="22"/>
          <w:szCs w:val="22"/>
        </w:rPr>
        <w:t xml:space="preserve">  (ďalej len „spoločnosť“) je akciová spoločnosť so sídlom Závodná 78C, 821 06  Bratislava.  Založená bola dňa 19. 3. 2007 zakladateľskou zmluvou spísanou vo forme notárskej zápisnice. Deň vzniku je 26. 4. 2007. IČO 36769371. Spoločnosť je zapísaná v Obchodnom registri </w:t>
      </w:r>
      <w:r w:rsidR="002F267C">
        <w:rPr>
          <w:rFonts w:ascii="Calibri" w:hAnsi="Calibri" w:cs="Calibri"/>
          <w:color w:val="000000"/>
          <w:sz w:val="22"/>
          <w:szCs w:val="22"/>
        </w:rPr>
        <w:t>Mestského</w:t>
      </w:r>
      <w:r>
        <w:rPr>
          <w:rFonts w:ascii="Calibri" w:hAnsi="Calibri" w:cs="Calibri"/>
          <w:color w:val="000000"/>
          <w:sz w:val="22"/>
          <w:szCs w:val="22"/>
        </w:rPr>
        <w:t xml:space="preserve"> súdu Bratislava </w:t>
      </w:r>
      <w:r w:rsidR="002F267C">
        <w:rPr>
          <w:rFonts w:ascii="Calibri" w:hAnsi="Calibri" w:cs="Calibri"/>
          <w:color w:val="000000"/>
          <w:sz w:val="22"/>
          <w:szCs w:val="22"/>
        </w:rPr>
        <w:t>II</w:t>
      </w:r>
      <w:r>
        <w:rPr>
          <w:rFonts w:ascii="Calibri" w:hAnsi="Calibri" w:cs="Calibri"/>
          <w:color w:val="000000"/>
          <w:sz w:val="22"/>
          <w:szCs w:val="22"/>
        </w:rPr>
        <w:t>I. oddiel Sa, vložka č.: 4120/B.</w:t>
      </w:r>
    </w:p>
    <w:p w14:paraId="4D3BACA7" w14:textId="77777777" w:rsidR="00C616C2" w:rsidRDefault="00C616C2">
      <w:pPr>
        <w:pStyle w:val="Zkladntext"/>
        <w:rPr>
          <w:rFonts w:ascii="Calibri" w:hAnsi="Calibri" w:cs="Calibri"/>
          <w:color w:val="000000"/>
          <w:sz w:val="22"/>
          <w:szCs w:val="22"/>
          <w:u w:val="single"/>
        </w:rPr>
      </w:pPr>
    </w:p>
    <w:p w14:paraId="055B594A" w14:textId="77777777" w:rsidR="00C616C2" w:rsidRDefault="00C616C2">
      <w:pPr>
        <w:pStyle w:val="Zkladntext"/>
      </w:pPr>
      <w:r>
        <w:rPr>
          <w:rFonts w:ascii="Calibri" w:hAnsi="Calibri" w:cs="Calibri"/>
          <w:sz w:val="22"/>
          <w:szCs w:val="22"/>
          <w:u w:val="single"/>
        </w:rPr>
        <w:t>Predmet činnosti spoločnosti zapísaný v ORSR:</w:t>
      </w:r>
    </w:p>
    <w:p w14:paraId="1C7D1E76" w14:textId="77777777" w:rsidR="00C616C2" w:rsidRDefault="00C616C2">
      <w:pPr>
        <w:numPr>
          <w:ilvl w:val="0"/>
          <w:numId w:val="14"/>
        </w:numPr>
      </w:pPr>
      <w:r>
        <w:rPr>
          <w:rFonts w:ascii="Calibri" w:hAnsi="Calibri" w:cs="Calibri"/>
          <w:color w:val="000000"/>
          <w:sz w:val="22"/>
          <w:szCs w:val="22"/>
        </w:rPr>
        <w:t>kúpa tovaru na účely jeho predaja konečnému spotrebiteľovi (maloobchod),</w:t>
      </w:r>
    </w:p>
    <w:p w14:paraId="07065FA6" w14:textId="77777777" w:rsidR="00C616C2" w:rsidRDefault="00C616C2">
      <w:pPr>
        <w:numPr>
          <w:ilvl w:val="0"/>
          <w:numId w:val="14"/>
        </w:numPr>
      </w:pPr>
      <w:r>
        <w:rPr>
          <w:rFonts w:ascii="Calibri" w:hAnsi="Calibri" w:cs="Calibri"/>
          <w:color w:val="000000"/>
          <w:sz w:val="22"/>
          <w:szCs w:val="22"/>
        </w:rPr>
        <w:t>kúpa tovaru na jeho účely jeho predaja iným prevádzkovateľom živnosti (veľkoobchod),</w:t>
      </w:r>
    </w:p>
    <w:p w14:paraId="1A90216C" w14:textId="77777777" w:rsidR="00C616C2" w:rsidRDefault="00C616C2">
      <w:pPr>
        <w:numPr>
          <w:ilvl w:val="0"/>
          <w:numId w:val="14"/>
        </w:numPr>
      </w:pPr>
      <w:r>
        <w:rPr>
          <w:rFonts w:ascii="Calibri" w:hAnsi="Calibri" w:cs="Calibri"/>
          <w:color w:val="000000"/>
          <w:sz w:val="22"/>
          <w:szCs w:val="22"/>
        </w:rPr>
        <w:t>reklamná, propagačná činnosť a výstavníctvo v rozsahu voľnej živnosti,</w:t>
      </w:r>
    </w:p>
    <w:p w14:paraId="265EF5F7" w14:textId="77777777" w:rsidR="00C616C2" w:rsidRDefault="00C616C2">
      <w:pPr>
        <w:numPr>
          <w:ilvl w:val="0"/>
          <w:numId w:val="14"/>
        </w:numPr>
      </w:pPr>
      <w:r>
        <w:rPr>
          <w:rFonts w:ascii="Calibri" w:hAnsi="Calibri" w:cs="Calibri"/>
          <w:color w:val="000000"/>
          <w:sz w:val="22"/>
          <w:szCs w:val="22"/>
        </w:rPr>
        <w:t>sprostredkovateľská činnosť v rozsahu voľnej živnosti,</w:t>
      </w:r>
    </w:p>
    <w:p w14:paraId="240ED462" w14:textId="77777777" w:rsidR="00C616C2" w:rsidRDefault="00C616C2">
      <w:pPr>
        <w:numPr>
          <w:ilvl w:val="0"/>
          <w:numId w:val="14"/>
        </w:numPr>
      </w:pPr>
      <w:r>
        <w:rPr>
          <w:rFonts w:ascii="Calibri" w:hAnsi="Calibri" w:cs="Calibri"/>
          <w:color w:val="000000"/>
          <w:sz w:val="22"/>
          <w:szCs w:val="22"/>
        </w:rPr>
        <w:t>činnosť organizačných, ekonomických a účtovných poradcov,</w:t>
      </w:r>
    </w:p>
    <w:p w14:paraId="67F66A4C" w14:textId="77777777" w:rsidR="00C616C2" w:rsidRDefault="00C616C2">
      <w:pPr>
        <w:numPr>
          <w:ilvl w:val="0"/>
          <w:numId w:val="14"/>
        </w:numPr>
      </w:pPr>
      <w:r>
        <w:rPr>
          <w:rFonts w:ascii="Calibri" w:hAnsi="Calibri" w:cs="Calibri"/>
          <w:color w:val="000000"/>
          <w:sz w:val="22"/>
          <w:szCs w:val="22"/>
        </w:rPr>
        <w:t>vedenie účtovníctva,</w:t>
      </w:r>
    </w:p>
    <w:p w14:paraId="7358D660" w14:textId="77777777" w:rsidR="00C616C2" w:rsidRDefault="00C616C2">
      <w:pPr>
        <w:numPr>
          <w:ilvl w:val="0"/>
          <w:numId w:val="14"/>
        </w:numPr>
      </w:pPr>
      <w:r>
        <w:rPr>
          <w:rFonts w:ascii="Calibri" w:hAnsi="Calibri" w:cs="Calibri"/>
          <w:color w:val="000000"/>
          <w:sz w:val="22"/>
          <w:szCs w:val="22"/>
        </w:rPr>
        <w:t>prieskum trhu,</w:t>
      </w:r>
    </w:p>
    <w:p w14:paraId="322508E0" w14:textId="77777777" w:rsidR="00C616C2" w:rsidRDefault="00C616C2">
      <w:pPr>
        <w:numPr>
          <w:ilvl w:val="0"/>
          <w:numId w:val="14"/>
        </w:numPr>
      </w:pPr>
      <w:r>
        <w:rPr>
          <w:rFonts w:ascii="Calibri" w:hAnsi="Calibri" w:cs="Calibri"/>
          <w:color w:val="000000"/>
          <w:sz w:val="22"/>
          <w:szCs w:val="22"/>
        </w:rPr>
        <w:t>personálne poradenstvo okrem personálneho leasingu v rozsahu voľnej živnosti,</w:t>
      </w:r>
    </w:p>
    <w:p w14:paraId="51D257B5" w14:textId="77777777" w:rsidR="00C616C2" w:rsidRDefault="00C616C2">
      <w:pPr>
        <w:numPr>
          <w:ilvl w:val="0"/>
          <w:numId w:val="14"/>
        </w:numPr>
      </w:pPr>
      <w:r>
        <w:rPr>
          <w:rFonts w:ascii="Calibri" w:hAnsi="Calibri" w:cs="Calibri"/>
          <w:color w:val="000000"/>
          <w:sz w:val="22"/>
          <w:szCs w:val="22"/>
        </w:rPr>
        <w:t>poradenská činnosť v oblasti obchodu a služieb v rozsahu voľnej živnosti,</w:t>
      </w:r>
    </w:p>
    <w:p w14:paraId="0D7BAEE5" w14:textId="77777777" w:rsidR="00C616C2" w:rsidRDefault="00C616C2">
      <w:pPr>
        <w:numPr>
          <w:ilvl w:val="0"/>
          <w:numId w:val="14"/>
        </w:numPr>
      </w:pPr>
      <w:proofErr w:type="spellStart"/>
      <w:r>
        <w:rPr>
          <w:rFonts w:ascii="Calibri" w:hAnsi="Calibri" w:cs="Calibri"/>
          <w:color w:val="000000"/>
          <w:sz w:val="22"/>
          <w:szCs w:val="22"/>
        </w:rPr>
        <w:t>faktoring</w:t>
      </w:r>
      <w:proofErr w:type="spellEnd"/>
      <w:r>
        <w:rPr>
          <w:rFonts w:ascii="Calibri" w:hAnsi="Calibri" w:cs="Calibri"/>
          <w:color w:val="000000"/>
          <w:sz w:val="22"/>
          <w:szCs w:val="22"/>
        </w:rPr>
        <w:t xml:space="preserve"> a forfaiting v rozsahu voľnej živnosti,</w:t>
      </w:r>
    </w:p>
    <w:p w14:paraId="5CF14F7F" w14:textId="77777777" w:rsidR="00C616C2" w:rsidRDefault="00C616C2">
      <w:pPr>
        <w:numPr>
          <w:ilvl w:val="0"/>
          <w:numId w:val="14"/>
        </w:numPr>
      </w:pPr>
      <w:r>
        <w:rPr>
          <w:rFonts w:ascii="Calibri" w:hAnsi="Calibri" w:cs="Calibri"/>
          <w:color w:val="000000"/>
          <w:sz w:val="22"/>
          <w:szCs w:val="22"/>
        </w:rPr>
        <w:t>organizovanie školení a seminárov v rozsahu voľnej živnosti,</w:t>
      </w:r>
    </w:p>
    <w:p w14:paraId="30839FD7" w14:textId="77777777" w:rsidR="00C616C2" w:rsidRDefault="00C616C2">
      <w:pPr>
        <w:numPr>
          <w:ilvl w:val="0"/>
          <w:numId w:val="14"/>
        </w:numPr>
      </w:pPr>
      <w:r>
        <w:rPr>
          <w:rFonts w:ascii="Calibri" w:hAnsi="Calibri" w:cs="Calibri"/>
          <w:color w:val="000000"/>
          <w:sz w:val="22"/>
          <w:szCs w:val="22"/>
        </w:rPr>
        <w:t>organizačné zabezpečenie veľtrhov, konferencií, výstav,</w:t>
      </w:r>
    </w:p>
    <w:p w14:paraId="4497D9BD" w14:textId="77777777" w:rsidR="00C616C2" w:rsidRDefault="00C616C2">
      <w:pPr>
        <w:numPr>
          <w:ilvl w:val="0"/>
          <w:numId w:val="14"/>
        </w:numPr>
      </w:pPr>
      <w:r>
        <w:rPr>
          <w:rFonts w:ascii="Calibri" w:hAnsi="Calibri" w:cs="Calibri"/>
          <w:color w:val="000000"/>
          <w:sz w:val="22"/>
          <w:szCs w:val="22"/>
        </w:rPr>
        <w:t>vydavateľská činnosť v rozsahu voľnej živnosti,</w:t>
      </w:r>
    </w:p>
    <w:p w14:paraId="10891150" w14:textId="77777777" w:rsidR="00C616C2" w:rsidRDefault="00C616C2">
      <w:pPr>
        <w:numPr>
          <w:ilvl w:val="0"/>
          <w:numId w:val="14"/>
        </w:numPr>
      </w:pPr>
      <w:r>
        <w:rPr>
          <w:rFonts w:ascii="Calibri" w:hAnsi="Calibri" w:cs="Calibri"/>
          <w:color w:val="000000"/>
          <w:sz w:val="22"/>
          <w:szCs w:val="22"/>
        </w:rPr>
        <w:t>obstarávanie služieb spojených so správou nehnuteľností,</w:t>
      </w:r>
    </w:p>
    <w:p w14:paraId="7569E1E2" w14:textId="77777777" w:rsidR="00C616C2" w:rsidRDefault="00C616C2">
      <w:pPr>
        <w:numPr>
          <w:ilvl w:val="0"/>
          <w:numId w:val="14"/>
        </w:numPr>
      </w:pPr>
      <w:r>
        <w:rPr>
          <w:rFonts w:ascii="Calibri" w:hAnsi="Calibri" w:cs="Calibri"/>
          <w:color w:val="000000"/>
          <w:sz w:val="22"/>
          <w:szCs w:val="22"/>
        </w:rPr>
        <w:t>organizovanie kultúrnych, spoločenských a športových podujatí v rozsahu voľnej živnosti,</w:t>
      </w:r>
    </w:p>
    <w:p w14:paraId="7A0B814D" w14:textId="77777777" w:rsidR="00C616C2" w:rsidRDefault="00C616C2">
      <w:pPr>
        <w:numPr>
          <w:ilvl w:val="0"/>
          <w:numId w:val="14"/>
        </w:numPr>
      </w:pPr>
      <w:r>
        <w:rPr>
          <w:rFonts w:ascii="Calibri" w:hAnsi="Calibri" w:cs="Calibri"/>
          <w:color w:val="000000"/>
          <w:sz w:val="22"/>
          <w:szCs w:val="22"/>
        </w:rPr>
        <w:t>poskytovanie služieb v poľnohospodárstve a záhradníctve,</w:t>
      </w:r>
    </w:p>
    <w:p w14:paraId="266C5DE3" w14:textId="77777777" w:rsidR="00C616C2" w:rsidRDefault="00C616C2">
      <w:pPr>
        <w:numPr>
          <w:ilvl w:val="0"/>
          <w:numId w:val="14"/>
        </w:numPr>
      </w:pPr>
      <w:r>
        <w:rPr>
          <w:rFonts w:ascii="Calibri" w:hAnsi="Calibri" w:cs="Calibri"/>
          <w:color w:val="000000"/>
          <w:sz w:val="22"/>
          <w:szCs w:val="22"/>
        </w:rPr>
        <w:t>poľnohospodárstvo vrátane predaja nespracovaných poľnohospodárskych výrobkov na účel spracovania a ďalšieho predaja</w:t>
      </w:r>
    </w:p>
    <w:p w14:paraId="265A8B22" w14:textId="77777777" w:rsidR="00C616C2" w:rsidRDefault="00C616C2">
      <w:pPr>
        <w:numPr>
          <w:ilvl w:val="0"/>
          <w:numId w:val="14"/>
        </w:numPr>
      </w:pPr>
      <w:r>
        <w:rPr>
          <w:rFonts w:ascii="Calibri" w:hAnsi="Calibri" w:cs="Calibri"/>
          <w:color w:val="000000"/>
          <w:sz w:val="22"/>
          <w:szCs w:val="22"/>
        </w:rPr>
        <w:t>výroba potravinárskych výrobkov,</w:t>
      </w:r>
    </w:p>
    <w:p w14:paraId="7A985DA2" w14:textId="77777777" w:rsidR="00C616C2" w:rsidRDefault="00C616C2">
      <w:pPr>
        <w:numPr>
          <w:ilvl w:val="0"/>
          <w:numId w:val="14"/>
        </w:numPr>
      </w:pPr>
      <w:r>
        <w:rPr>
          <w:rFonts w:ascii="Calibri" w:hAnsi="Calibri" w:cs="Calibri"/>
          <w:color w:val="000000"/>
          <w:sz w:val="22"/>
          <w:szCs w:val="22"/>
        </w:rPr>
        <w:t>mäsiarstvo,</w:t>
      </w:r>
    </w:p>
    <w:p w14:paraId="424CF83A" w14:textId="77777777" w:rsidR="00C616C2" w:rsidRDefault="00C616C2">
      <w:pPr>
        <w:numPr>
          <w:ilvl w:val="0"/>
          <w:numId w:val="14"/>
        </w:numPr>
      </w:pPr>
      <w:r>
        <w:rPr>
          <w:rFonts w:ascii="Calibri" w:hAnsi="Calibri" w:cs="Calibri"/>
          <w:color w:val="000000"/>
          <w:sz w:val="22"/>
          <w:szCs w:val="22"/>
        </w:rPr>
        <w:t>výroba mliečnych výrobkov.</w:t>
      </w:r>
    </w:p>
    <w:p w14:paraId="1DDBA3F6" w14:textId="77777777" w:rsidR="00C616C2" w:rsidRDefault="00C616C2">
      <w:pPr>
        <w:pStyle w:val="Zkladntext"/>
        <w:rPr>
          <w:rFonts w:ascii="Calibri" w:hAnsi="Calibri" w:cs="Calibri"/>
          <w:color w:val="000000"/>
          <w:sz w:val="22"/>
          <w:szCs w:val="22"/>
        </w:rPr>
      </w:pPr>
    </w:p>
    <w:p w14:paraId="0E2DD482" w14:textId="77777777" w:rsidR="00C616C2" w:rsidRDefault="00C616C2">
      <w:pPr>
        <w:pStyle w:val="Zkladntext"/>
        <w:numPr>
          <w:ilvl w:val="0"/>
          <w:numId w:val="6"/>
        </w:numPr>
        <w:tabs>
          <w:tab w:val="left" w:pos="360"/>
        </w:tabs>
        <w:ind w:hanging="720"/>
      </w:pPr>
      <w:r>
        <w:rPr>
          <w:rFonts w:ascii="Calibri" w:hAnsi="Calibri" w:cs="Calibri"/>
          <w:sz w:val="22"/>
          <w:szCs w:val="22"/>
        </w:rPr>
        <w:t xml:space="preserve">DÁTUM SCHVÁLENIA ÚČTOVNEJ ZÁVIERKY ZA PREDCHÁDZAJÚCE OBDOBIE </w:t>
      </w:r>
    </w:p>
    <w:p w14:paraId="0F3E454A" w14:textId="77777777" w:rsidR="00C616C2" w:rsidRDefault="00C616C2">
      <w:pPr>
        <w:pStyle w:val="Zkladntext"/>
        <w:rPr>
          <w:rFonts w:ascii="Calibri" w:hAnsi="Calibri" w:cs="Calibri"/>
          <w:sz w:val="22"/>
          <w:szCs w:val="22"/>
        </w:rPr>
      </w:pPr>
    </w:p>
    <w:p w14:paraId="62F4D4FD" w14:textId="77777777" w:rsidR="00C616C2" w:rsidRDefault="00C616C2">
      <w:pPr>
        <w:pStyle w:val="Zkladntext"/>
      </w:pPr>
      <w:r>
        <w:rPr>
          <w:rFonts w:ascii="Calibri" w:hAnsi="Calibri" w:cs="Calibri"/>
          <w:sz w:val="22"/>
          <w:szCs w:val="22"/>
        </w:rPr>
        <w:t xml:space="preserve">Účtovná závierka zostavená za predchádzajúce účtovné obdobie bola schválená Valným zhromaždením v súlade s Obchodným zákonníkom </w:t>
      </w:r>
      <w:r>
        <w:rPr>
          <w:rFonts w:ascii="Calibri" w:hAnsi="Calibri" w:cs="Calibri"/>
          <w:color w:val="000000"/>
          <w:sz w:val="22"/>
          <w:szCs w:val="22"/>
        </w:rPr>
        <w:t xml:space="preserve">dňa </w:t>
      </w:r>
      <w:r w:rsidR="00742676">
        <w:rPr>
          <w:rFonts w:ascii="Calibri" w:hAnsi="Calibri" w:cs="Calibri"/>
          <w:color w:val="000000"/>
          <w:sz w:val="22"/>
          <w:szCs w:val="22"/>
        </w:rPr>
        <w:t>26.11.2025</w:t>
      </w:r>
      <w:r>
        <w:rPr>
          <w:rFonts w:ascii="Calibri" w:hAnsi="Calibri" w:cs="Calibri"/>
          <w:color w:val="000000"/>
          <w:sz w:val="22"/>
          <w:szCs w:val="22"/>
        </w:rPr>
        <w:t>.</w:t>
      </w:r>
    </w:p>
    <w:p w14:paraId="659BD516" w14:textId="77777777" w:rsidR="00C616C2" w:rsidRDefault="00C616C2">
      <w:pPr>
        <w:pStyle w:val="Zkladntext"/>
        <w:rPr>
          <w:rFonts w:ascii="Calibri" w:hAnsi="Calibri" w:cs="Calibri"/>
          <w:color w:val="0000FF"/>
          <w:sz w:val="22"/>
          <w:szCs w:val="22"/>
        </w:rPr>
      </w:pPr>
    </w:p>
    <w:p w14:paraId="264A8B67" w14:textId="77777777" w:rsidR="00C616C2" w:rsidRDefault="00C616C2">
      <w:pPr>
        <w:pStyle w:val="Zkladntext"/>
        <w:numPr>
          <w:ilvl w:val="0"/>
          <w:numId w:val="6"/>
        </w:numPr>
        <w:tabs>
          <w:tab w:val="left" w:pos="360"/>
        </w:tabs>
        <w:ind w:hanging="720"/>
      </w:pPr>
      <w:r>
        <w:rPr>
          <w:rFonts w:ascii="Calibri" w:hAnsi="Calibri" w:cs="Calibri"/>
          <w:sz w:val="22"/>
          <w:szCs w:val="22"/>
        </w:rPr>
        <w:t xml:space="preserve">PRÁVNY DÔVOD NA ZOSTAVENIE ZÁVIERKY </w:t>
      </w:r>
    </w:p>
    <w:p w14:paraId="14D2C32A" w14:textId="77777777" w:rsidR="00C616C2" w:rsidRDefault="00C616C2">
      <w:pPr>
        <w:pStyle w:val="Zkladntext"/>
        <w:rPr>
          <w:rFonts w:ascii="Calibri" w:hAnsi="Calibri" w:cs="Calibri"/>
          <w:sz w:val="22"/>
          <w:szCs w:val="22"/>
        </w:rPr>
      </w:pPr>
    </w:p>
    <w:p w14:paraId="7495E671" w14:textId="77777777" w:rsidR="00C616C2" w:rsidRDefault="00C616C2">
      <w:pPr>
        <w:pStyle w:val="Zkladntext"/>
      </w:pPr>
      <w:r>
        <w:rPr>
          <w:rFonts w:ascii="Calibri" w:hAnsi="Calibri" w:cs="Calibri"/>
          <w:sz w:val="22"/>
          <w:szCs w:val="22"/>
        </w:rPr>
        <w:t xml:space="preserve">Spoločnosť zostavuje túto účtovnú závierku podľa §17 Zákona 431/2002 </w:t>
      </w:r>
      <w:proofErr w:type="spellStart"/>
      <w:r>
        <w:rPr>
          <w:rFonts w:ascii="Calibri" w:hAnsi="Calibri" w:cs="Calibri"/>
          <w:sz w:val="22"/>
          <w:szCs w:val="22"/>
        </w:rPr>
        <w:t>Z.z</w:t>
      </w:r>
      <w:proofErr w:type="spellEnd"/>
      <w:r>
        <w:rPr>
          <w:rFonts w:ascii="Calibri" w:hAnsi="Calibri" w:cs="Calibri"/>
          <w:sz w:val="22"/>
          <w:szCs w:val="22"/>
        </w:rPr>
        <w:t>. o účtovníctve v znení neskorších predpisov ako riadnu účtovnú závierku k poslednému dňu účtovného obdobia. Účtovná závierka spoločnosti bola zostavená za predpokladu nepretržitého trvania účtovnej jednotky.</w:t>
      </w:r>
    </w:p>
    <w:p w14:paraId="35B66221" w14:textId="77777777" w:rsidR="00C616C2" w:rsidRDefault="00C616C2">
      <w:pPr>
        <w:rPr>
          <w:rFonts w:ascii="Calibri" w:hAnsi="Calibri" w:cs="Calibri"/>
          <w:sz w:val="22"/>
          <w:szCs w:val="22"/>
        </w:rPr>
      </w:pPr>
    </w:p>
    <w:p w14:paraId="30DF672D" w14:textId="77777777" w:rsidR="00C616C2" w:rsidRDefault="00C616C2">
      <w:pPr>
        <w:pStyle w:val="Zkladntext"/>
        <w:pageBreakBefore/>
        <w:numPr>
          <w:ilvl w:val="0"/>
          <w:numId w:val="6"/>
        </w:numPr>
        <w:tabs>
          <w:tab w:val="left" w:pos="360"/>
        </w:tabs>
        <w:ind w:hanging="720"/>
      </w:pPr>
      <w:r>
        <w:rPr>
          <w:rFonts w:ascii="Calibri" w:hAnsi="Calibri" w:cs="Calibri"/>
          <w:sz w:val="22"/>
          <w:szCs w:val="22"/>
        </w:rPr>
        <w:lastRenderedPageBreak/>
        <w:t>ÚDAJE O SKUPINE</w:t>
      </w:r>
    </w:p>
    <w:p w14:paraId="0586055D" w14:textId="77777777" w:rsidR="00C616C2" w:rsidRDefault="00C616C2">
      <w:pPr>
        <w:pStyle w:val="Zkladntext"/>
        <w:rPr>
          <w:rFonts w:ascii="Calibri" w:hAnsi="Calibri" w:cs="Calibri"/>
          <w:sz w:val="22"/>
          <w:szCs w:val="22"/>
        </w:rPr>
      </w:pPr>
    </w:p>
    <w:p w14:paraId="0188765D" w14:textId="77777777" w:rsidR="00C616C2" w:rsidRDefault="00C616C2">
      <w:pPr>
        <w:numPr>
          <w:ilvl w:val="0"/>
          <w:numId w:val="5"/>
        </w:numPr>
        <w:ind w:left="709" w:hanging="426"/>
      </w:pPr>
      <w:r>
        <w:rPr>
          <w:rFonts w:ascii="Calibri" w:hAnsi="Calibri" w:cs="Calibri"/>
          <w:sz w:val="22"/>
          <w:szCs w:val="22"/>
        </w:rPr>
        <w:t>NAJVYŠŠÍ PODNIK V KONSOLIDÁCII</w:t>
      </w:r>
    </w:p>
    <w:p w14:paraId="6B317C63" w14:textId="77777777" w:rsidR="00C616C2" w:rsidRDefault="00C616C2">
      <w:pPr>
        <w:rPr>
          <w:rFonts w:ascii="Calibri" w:hAnsi="Calibri" w:cs="Calibri"/>
          <w:i/>
          <w:sz w:val="22"/>
          <w:szCs w:val="22"/>
        </w:rPr>
      </w:pPr>
    </w:p>
    <w:p w14:paraId="647DE16B" w14:textId="77777777" w:rsidR="00C616C2" w:rsidRDefault="00C616C2">
      <w:pPr>
        <w:pStyle w:val="Default"/>
      </w:pPr>
      <w:r>
        <w:rPr>
          <w:rFonts w:ascii="Calibri" w:hAnsi="Calibri" w:cs="Calibri"/>
          <w:sz w:val="22"/>
          <w:szCs w:val="22"/>
        </w:rPr>
        <w:t>Účtovná jednotka nie je súčasťou konsolidovaného celku.</w:t>
      </w:r>
    </w:p>
    <w:p w14:paraId="4C3DAA33" w14:textId="77777777" w:rsidR="00C616C2" w:rsidRDefault="00C616C2">
      <w:pPr>
        <w:pStyle w:val="Default"/>
        <w:rPr>
          <w:rFonts w:ascii="Calibri" w:hAnsi="Calibri" w:cs="Calibri"/>
          <w:sz w:val="22"/>
          <w:szCs w:val="22"/>
        </w:rPr>
      </w:pPr>
    </w:p>
    <w:p w14:paraId="74B748AE" w14:textId="77777777" w:rsidR="00C616C2" w:rsidRDefault="00C616C2">
      <w:pPr>
        <w:numPr>
          <w:ilvl w:val="0"/>
          <w:numId w:val="5"/>
        </w:numPr>
        <w:ind w:left="709" w:hanging="426"/>
      </w:pPr>
      <w:r>
        <w:rPr>
          <w:rFonts w:ascii="Calibri" w:hAnsi="Calibri" w:cs="Calibri"/>
          <w:sz w:val="22"/>
          <w:szCs w:val="22"/>
        </w:rPr>
        <w:t>MATERSKÝ PODNIK V KONSOLIDÁCII</w:t>
      </w:r>
    </w:p>
    <w:p w14:paraId="366C3977" w14:textId="77777777" w:rsidR="00C616C2" w:rsidRDefault="00C616C2">
      <w:pPr>
        <w:ind w:left="709"/>
        <w:rPr>
          <w:rFonts w:ascii="Calibri" w:hAnsi="Calibri" w:cs="Calibri"/>
          <w:i/>
          <w:sz w:val="22"/>
          <w:szCs w:val="22"/>
        </w:rPr>
      </w:pPr>
    </w:p>
    <w:p w14:paraId="70E5669D" w14:textId="77777777" w:rsidR="00C616C2" w:rsidRDefault="00C616C2">
      <w:pPr>
        <w:pStyle w:val="Default"/>
      </w:pPr>
      <w:r>
        <w:rPr>
          <w:rFonts w:ascii="Calibri" w:hAnsi="Calibri" w:cs="Calibri"/>
          <w:sz w:val="22"/>
          <w:szCs w:val="22"/>
        </w:rPr>
        <w:t>Účtovná jednotka nie je súčasťou konsolidovaného celku.</w:t>
      </w:r>
    </w:p>
    <w:p w14:paraId="2B9E93D1" w14:textId="77777777" w:rsidR="00C616C2" w:rsidRDefault="00C616C2">
      <w:pPr>
        <w:pStyle w:val="Zkladntext"/>
        <w:ind w:left="720"/>
        <w:rPr>
          <w:rFonts w:ascii="Calibri" w:hAnsi="Calibri" w:cs="Calibri"/>
          <w:sz w:val="22"/>
          <w:szCs w:val="22"/>
        </w:rPr>
      </w:pPr>
    </w:p>
    <w:p w14:paraId="7D997949" w14:textId="77777777" w:rsidR="00C616C2" w:rsidRDefault="00C616C2">
      <w:pPr>
        <w:rPr>
          <w:rFonts w:ascii="Calibri" w:hAnsi="Calibri" w:cs="Calibri"/>
          <w:sz w:val="22"/>
          <w:szCs w:val="22"/>
        </w:rPr>
      </w:pPr>
    </w:p>
    <w:p w14:paraId="03CEE6DA" w14:textId="77777777" w:rsidR="00C616C2" w:rsidRDefault="00C616C2">
      <w:pPr>
        <w:numPr>
          <w:ilvl w:val="0"/>
          <w:numId w:val="5"/>
        </w:numPr>
        <w:ind w:left="709" w:hanging="426"/>
      </w:pPr>
      <w:r>
        <w:rPr>
          <w:rFonts w:ascii="Calibri" w:hAnsi="Calibri" w:cs="Calibri"/>
          <w:sz w:val="22"/>
          <w:szCs w:val="22"/>
        </w:rPr>
        <w:t>MIESTO ULOŽENIA KONSOLIDOVANÝCH ÚČTOVNÝCH ZÁVIEROK</w:t>
      </w:r>
    </w:p>
    <w:p w14:paraId="337ADA17" w14:textId="77777777" w:rsidR="00C616C2" w:rsidRDefault="00C616C2">
      <w:pPr>
        <w:rPr>
          <w:rFonts w:ascii="Calibri" w:hAnsi="Calibri" w:cs="Calibri"/>
          <w:sz w:val="22"/>
          <w:szCs w:val="22"/>
        </w:rPr>
      </w:pPr>
    </w:p>
    <w:p w14:paraId="0B0D743C" w14:textId="77777777" w:rsidR="00C616C2" w:rsidRDefault="00C616C2">
      <w:pPr>
        <w:pStyle w:val="Default"/>
      </w:pPr>
      <w:r>
        <w:rPr>
          <w:rFonts w:ascii="Calibri" w:hAnsi="Calibri" w:cs="Calibri"/>
          <w:sz w:val="22"/>
          <w:szCs w:val="22"/>
        </w:rPr>
        <w:t>Účtovná jednotka nie je súčasťou konsolidovaného celku.</w:t>
      </w:r>
    </w:p>
    <w:p w14:paraId="1E30C70A" w14:textId="77777777" w:rsidR="00C616C2" w:rsidRDefault="00C616C2">
      <w:pPr>
        <w:pStyle w:val="Zkladntext"/>
        <w:rPr>
          <w:rFonts w:ascii="Calibri" w:hAnsi="Calibri" w:cs="Calibri"/>
          <w:sz w:val="22"/>
          <w:szCs w:val="22"/>
        </w:rPr>
      </w:pPr>
    </w:p>
    <w:p w14:paraId="505088AC" w14:textId="77777777" w:rsidR="00C616C2" w:rsidRDefault="00C616C2">
      <w:pPr>
        <w:pStyle w:val="Zkladntext"/>
        <w:rPr>
          <w:rFonts w:ascii="Calibri" w:hAnsi="Calibri" w:cs="Calibri"/>
          <w:sz w:val="22"/>
          <w:szCs w:val="22"/>
        </w:rPr>
      </w:pPr>
    </w:p>
    <w:p w14:paraId="3C98179C" w14:textId="77777777" w:rsidR="00C616C2" w:rsidRDefault="00C616C2">
      <w:pPr>
        <w:numPr>
          <w:ilvl w:val="0"/>
          <w:numId w:val="5"/>
        </w:numPr>
        <w:ind w:hanging="436"/>
      </w:pPr>
      <w:r>
        <w:rPr>
          <w:rFonts w:ascii="Calibri" w:hAnsi="Calibri" w:cs="Calibri"/>
          <w:sz w:val="22"/>
          <w:szCs w:val="22"/>
        </w:rPr>
        <w:t>OSLOBODENIE OD POVINNOSTI ZOSTAVIŤ KONSOLIDOVANÚ ÚČTOVNÚ ZÁVIERKU A KONOSLIDOVANÚ VÝROČNÚ SPRÁVU</w:t>
      </w:r>
    </w:p>
    <w:p w14:paraId="31CE8F71" w14:textId="77777777" w:rsidR="00C616C2" w:rsidRDefault="00C616C2">
      <w:pPr>
        <w:rPr>
          <w:rFonts w:ascii="Calibri" w:hAnsi="Calibri" w:cs="Calibri"/>
          <w:sz w:val="22"/>
          <w:szCs w:val="22"/>
        </w:rPr>
      </w:pPr>
    </w:p>
    <w:p w14:paraId="5C61BEBC" w14:textId="77777777" w:rsidR="00C616C2" w:rsidRDefault="00C616C2">
      <w:pPr>
        <w:pStyle w:val="Default"/>
        <w:jc w:val="both"/>
      </w:pPr>
      <w:r>
        <w:rPr>
          <w:rFonts w:ascii="Calibri" w:hAnsi="Calibri" w:cs="Calibri"/>
          <w:iCs/>
          <w:sz w:val="22"/>
          <w:szCs w:val="22"/>
        </w:rPr>
        <w:t xml:space="preserve">Účtovná jednotka je materskou účtovnou jednotkou. Účtovná jednotka nespĺňa podmienky uvedené v zákone o účtovníctve č. 431/2002 </w:t>
      </w:r>
      <w:proofErr w:type="spellStart"/>
      <w:r>
        <w:rPr>
          <w:rFonts w:ascii="Calibri" w:hAnsi="Calibri" w:cs="Calibri"/>
          <w:iCs/>
          <w:sz w:val="22"/>
          <w:szCs w:val="22"/>
        </w:rPr>
        <w:t>Z.z</w:t>
      </w:r>
      <w:proofErr w:type="spellEnd"/>
      <w:r>
        <w:rPr>
          <w:rFonts w:ascii="Calibri" w:hAnsi="Calibri" w:cs="Calibri"/>
          <w:iCs/>
          <w:sz w:val="22"/>
          <w:szCs w:val="22"/>
        </w:rPr>
        <w:t xml:space="preserve">. v znení neskorších predpisov v §22 písm. 10 na zostavenie konsolidovanej účtovnej závierky. </w:t>
      </w:r>
    </w:p>
    <w:p w14:paraId="2CDF2696" w14:textId="77777777" w:rsidR="00C616C2" w:rsidRDefault="00C616C2">
      <w:pPr>
        <w:pStyle w:val="Default"/>
        <w:jc w:val="both"/>
        <w:rPr>
          <w:rFonts w:ascii="Calibri" w:hAnsi="Calibri" w:cs="Calibri"/>
          <w:iCs/>
          <w:sz w:val="22"/>
          <w:szCs w:val="22"/>
        </w:rPr>
      </w:pPr>
    </w:p>
    <w:p w14:paraId="07D81EBD" w14:textId="77777777" w:rsidR="00C616C2" w:rsidRDefault="00C616C2">
      <w:pPr>
        <w:pStyle w:val="Default"/>
        <w:jc w:val="both"/>
      </w:pPr>
      <w:r>
        <w:rPr>
          <w:rFonts w:ascii="Calibri" w:hAnsi="Calibri" w:cs="Calibri"/>
          <w:iCs/>
          <w:sz w:val="22"/>
          <w:szCs w:val="22"/>
        </w:rPr>
        <w:t>Dcérske podniky:</w:t>
      </w:r>
    </w:p>
    <w:p w14:paraId="091FEEC3" w14:textId="77777777" w:rsidR="00C616C2" w:rsidRDefault="00C616C2">
      <w:pPr>
        <w:pStyle w:val="Default"/>
        <w:jc w:val="both"/>
        <w:rPr>
          <w:rFonts w:ascii="Calibri" w:hAnsi="Calibri" w:cs="Calibri"/>
          <w:iCs/>
          <w:sz w:val="22"/>
          <w:szCs w:val="22"/>
        </w:rPr>
      </w:pPr>
    </w:p>
    <w:p w14:paraId="291767DD" w14:textId="77777777" w:rsidR="00C616C2" w:rsidRDefault="00C616C2">
      <w:pPr>
        <w:pStyle w:val="Default"/>
        <w:jc w:val="both"/>
      </w:pPr>
      <w:proofErr w:type="spellStart"/>
      <w:r>
        <w:rPr>
          <w:rFonts w:ascii="Calibri" w:hAnsi="Calibri" w:cs="Calibri"/>
          <w:iCs/>
          <w:sz w:val="22"/>
          <w:szCs w:val="22"/>
        </w:rPr>
        <w:t>Mäsovinky</w:t>
      </w:r>
      <w:proofErr w:type="spellEnd"/>
      <w:r>
        <w:rPr>
          <w:rFonts w:ascii="Calibri" w:hAnsi="Calibri" w:cs="Calibri"/>
          <w:iCs/>
          <w:sz w:val="22"/>
          <w:szCs w:val="22"/>
        </w:rPr>
        <w:t xml:space="preserve"> s.r.o., Závodná 78C, 821 06  Bratislava</w:t>
      </w:r>
    </w:p>
    <w:p w14:paraId="01F84588" w14:textId="77777777" w:rsidR="00C616C2" w:rsidRDefault="00C616C2">
      <w:pPr>
        <w:pStyle w:val="Default"/>
        <w:jc w:val="both"/>
      </w:pPr>
      <w:r>
        <w:rPr>
          <w:rFonts w:ascii="Calibri" w:hAnsi="Calibri" w:cs="Calibri"/>
          <w:iCs/>
          <w:sz w:val="22"/>
          <w:szCs w:val="22"/>
        </w:rPr>
        <w:t>S and R, s.r.o., Závodná 78C, 821 06  Bratislava</w:t>
      </w:r>
    </w:p>
    <w:p w14:paraId="2C902762" w14:textId="77777777" w:rsidR="00C616C2" w:rsidRDefault="00C616C2">
      <w:pPr>
        <w:pStyle w:val="Default"/>
        <w:jc w:val="both"/>
      </w:pPr>
      <w:proofErr w:type="spellStart"/>
      <w:r>
        <w:rPr>
          <w:rFonts w:ascii="Calibri" w:hAnsi="Calibri" w:cs="Calibri"/>
          <w:iCs/>
          <w:sz w:val="22"/>
          <w:szCs w:val="22"/>
        </w:rPr>
        <w:t>Forseil</w:t>
      </w:r>
      <w:proofErr w:type="spellEnd"/>
      <w:r>
        <w:rPr>
          <w:rFonts w:ascii="Calibri" w:hAnsi="Calibri" w:cs="Calibri"/>
          <w:iCs/>
          <w:sz w:val="22"/>
          <w:szCs w:val="22"/>
        </w:rPr>
        <w:t>, s.r.o., Závodná 78C, 821 06  Bratislava</w:t>
      </w:r>
    </w:p>
    <w:p w14:paraId="31439E31" w14:textId="77777777" w:rsidR="00C616C2" w:rsidRDefault="00C616C2">
      <w:pPr>
        <w:pStyle w:val="Default"/>
        <w:jc w:val="both"/>
      </w:pPr>
      <w:r>
        <w:rPr>
          <w:rFonts w:ascii="Calibri" w:hAnsi="Calibri" w:cs="Calibri"/>
          <w:iCs/>
          <w:sz w:val="22"/>
          <w:szCs w:val="22"/>
        </w:rPr>
        <w:t>GASTROVINKY s.r.o., Závodná 78, 821 06  Bratislava</w:t>
      </w:r>
    </w:p>
    <w:p w14:paraId="0A188224" w14:textId="77777777" w:rsidR="00C616C2" w:rsidRDefault="00C616C2">
      <w:pPr>
        <w:pStyle w:val="Default"/>
        <w:jc w:val="both"/>
        <w:rPr>
          <w:rFonts w:ascii="Calibri" w:hAnsi="Calibri" w:cs="Calibri"/>
          <w:iCs/>
          <w:sz w:val="22"/>
          <w:szCs w:val="22"/>
        </w:rPr>
      </w:pPr>
    </w:p>
    <w:p w14:paraId="6945455D" w14:textId="77777777" w:rsidR="00C616C2" w:rsidRDefault="00C616C2">
      <w:pPr>
        <w:pStyle w:val="Zkladntext"/>
        <w:rPr>
          <w:rFonts w:ascii="Calibri" w:hAnsi="Calibri" w:cs="Calibri"/>
          <w:iCs/>
          <w:sz w:val="22"/>
          <w:szCs w:val="22"/>
        </w:rPr>
      </w:pPr>
    </w:p>
    <w:p w14:paraId="2182FA05" w14:textId="77777777" w:rsidR="00C616C2" w:rsidRDefault="00C616C2">
      <w:pPr>
        <w:pStyle w:val="Zkladntext"/>
        <w:numPr>
          <w:ilvl w:val="0"/>
          <w:numId w:val="6"/>
        </w:numPr>
        <w:tabs>
          <w:tab w:val="left" w:pos="426"/>
        </w:tabs>
        <w:ind w:left="426" w:hanging="426"/>
      </w:pPr>
      <w:r>
        <w:rPr>
          <w:rFonts w:ascii="Calibri" w:hAnsi="Calibri" w:cs="Calibri"/>
          <w:sz w:val="22"/>
          <w:szCs w:val="22"/>
        </w:rPr>
        <w:t xml:space="preserve">POČET ZAMESTNANCOV </w:t>
      </w:r>
    </w:p>
    <w:p w14:paraId="38BE679C" w14:textId="77777777" w:rsidR="00C616C2" w:rsidRDefault="00C616C2">
      <w:pPr>
        <w:pStyle w:val="Zkladntext"/>
        <w:rPr>
          <w:rFonts w:ascii="Calibri" w:hAnsi="Calibri" w:cs="Calibri"/>
          <w:sz w:val="22"/>
          <w:szCs w:val="22"/>
        </w:rPr>
      </w:pPr>
    </w:p>
    <w:p w14:paraId="7B99A4AF" w14:textId="77777777" w:rsidR="00C616C2" w:rsidRDefault="00C616C2">
      <w:pPr>
        <w:pStyle w:val="Zkladntext"/>
      </w:pPr>
      <w:r>
        <w:rPr>
          <w:rFonts w:ascii="Calibri" w:hAnsi="Calibri" w:cs="Calibri"/>
          <w:sz w:val="22"/>
          <w:szCs w:val="22"/>
        </w:rPr>
        <w:t xml:space="preserve">Počet zamestnancov spoločnosti je uvedený v nasledujúcej tabuľke: </w:t>
      </w:r>
    </w:p>
    <w:p w14:paraId="504FC5AF" w14:textId="77777777" w:rsidR="00C616C2" w:rsidRDefault="00C616C2">
      <w:pPr>
        <w:pStyle w:val="Heading"/>
        <w:spacing w:after="60"/>
        <w:ind w:left="360"/>
        <w:jc w:val="left"/>
        <w:rPr>
          <w:rFonts w:ascii="Calibri" w:hAnsi="Calibri" w:cs="Calibri"/>
          <w:sz w:val="22"/>
          <w:szCs w:val="22"/>
        </w:rPr>
      </w:pPr>
    </w:p>
    <w:tbl>
      <w:tblPr>
        <w:tblW w:w="5000" w:type="pct"/>
        <w:jc w:val="center"/>
        <w:tblLayout w:type="fixed"/>
        <w:tblCellMar>
          <w:left w:w="70" w:type="dxa"/>
          <w:right w:w="70" w:type="dxa"/>
        </w:tblCellMar>
        <w:tblLook w:val="0000" w:firstRow="0" w:lastRow="0" w:firstColumn="0" w:lastColumn="0" w:noHBand="0" w:noVBand="0"/>
      </w:tblPr>
      <w:tblGrid>
        <w:gridCol w:w="3656"/>
        <w:gridCol w:w="2617"/>
        <w:gridCol w:w="2937"/>
      </w:tblGrid>
      <w:tr w:rsidR="00C616C2" w14:paraId="4917D383" w14:textId="77777777">
        <w:trPr>
          <w:trHeight w:val="277"/>
          <w:jc w:val="center"/>
        </w:trPr>
        <w:tc>
          <w:tcPr>
            <w:tcW w:w="3601" w:type="dxa"/>
            <w:tcBorders>
              <w:top w:val="single" w:sz="12" w:space="0" w:color="000000"/>
              <w:left w:val="single" w:sz="12" w:space="0" w:color="000000"/>
              <w:right w:val="single" w:sz="12" w:space="0" w:color="000000"/>
            </w:tcBorders>
            <w:vAlign w:val="center"/>
          </w:tcPr>
          <w:p w14:paraId="1F5FAB02" w14:textId="77777777" w:rsidR="00C616C2" w:rsidRDefault="00C616C2">
            <w:pPr>
              <w:pStyle w:val="TopHeader"/>
            </w:pPr>
            <w:r>
              <w:rPr>
                <w:rFonts w:ascii="Calibri" w:hAnsi="Calibri" w:cs="Calibri"/>
                <w:b w:val="0"/>
                <w:i/>
                <w:color w:val="000000"/>
              </w:rPr>
              <w:t>Názov položky</w:t>
            </w:r>
          </w:p>
        </w:tc>
        <w:tc>
          <w:tcPr>
            <w:tcW w:w="2577" w:type="dxa"/>
            <w:tcBorders>
              <w:top w:val="single" w:sz="12" w:space="0" w:color="000000"/>
              <w:left w:val="single" w:sz="12" w:space="0" w:color="000000"/>
              <w:right w:val="single" w:sz="12" w:space="0" w:color="000000"/>
            </w:tcBorders>
            <w:vAlign w:val="center"/>
          </w:tcPr>
          <w:p w14:paraId="34303CCD" w14:textId="77777777" w:rsidR="00C616C2" w:rsidRDefault="00C616C2">
            <w:pPr>
              <w:pStyle w:val="TopHeader"/>
            </w:pPr>
            <w:r>
              <w:rPr>
                <w:rFonts w:ascii="Calibri" w:hAnsi="Calibri" w:cs="Calibri"/>
                <w:b w:val="0"/>
                <w:i/>
                <w:color w:val="000000"/>
              </w:rPr>
              <w:t>Bežné účtovné obdobie</w:t>
            </w:r>
          </w:p>
        </w:tc>
        <w:tc>
          <w:tcPr>
            <w:tcW w:w="2892" w:type="dxa"/>
            <w:tcBorders>
              <w:top w:val="single" w:sz="12" w:space="0" w:color="000000"/>
              <w:left w:val="single" w:sz="12" w:space="0" w:color="000000"/>
              <w:right w:val="single" w:sz="12" w:space="0" w:color="000000"/>
            </w:tcBorders>
            <w:vAlign w:val="center"/>
          </w:tcPr>
          <w:p w14:paraId="39994C7B" w14:textId="77777777" w:rsidR="00C616C2" w:rsidRDefault="00C616C2">
            <w:pPr>
              <w:pStyle w:val="TopHeader"/>
            </w:pPr>
            <w:r>
              <w:rPr>
                <w:rFonts w:ascii="Calibri" w:hAnsi="Calibri" w:cs="Calibri"/>
                <w:b w:val="0"/>
                <w:i/>
                <w:color w:val="000000"/>
              </w:rPr>
              <w:t>Bezprostredne predchádzajúce účtovné obdobie</w:t>
            </w:r>
          </w:p>
        </w:tc>
      </w:tr>
      <w:tr w:rsidR="00C616C2" w14:paraId="6CE8D155" w14:textId="77777777">
        <w:trPr>
          <w:trHeight w:val="227"/>
          <w:jc w:val="center"/>
        </w:trPr>
        <w:tc>
          <w:tcPr>
            <w:tcW w:w="3601" w:type="dxa"/>
            <w:tcBorders>
              <w:top w:val="single" w:sz="12" w:space="0" w:color="000000"/>
              <w:left w:val="single" w:sz="12" w:space="0" w:color="000000"/>
              <w:bottom w:val="single" w:sz="4" w:space="0" w:color="000000"/>
              <w:right w:val="single" w:sz="12" w:space="0" w:color="000000"/>
            </w:tcBorders>
            <w:vAlign w:val="center"/>
          </w:tcPr>
          <w:p w14:paraId="321A37B6" w14:textId="77777777" w:rsidR="00C616C2" w:rsidRDefault="00C616C2">
            <w:r>
              <w:rPr>
                <w:rFonts w:ascii="Calibri" w:hAnsi="Calibri" w:cs="Calibri"/>
                <w:color w:val="000000"/>
                <w:sz w:val="22"/>
                <w:szCs w:val="22"/>
              </w:rPr>
              <w:t>Priemerný prepočítaný počet zamestnancov</w:t>
            </w:r>
          </w:p>
        </w:tc>
        <w:tc>
          <w:tcPr>
            <w:tcW w:w="2577" w:type="dxa"/>
            <w:tcBorders>
              <w:top w:val="single" w:sz="12" w:space="0" w:color="000000"/>
              <w:left w:val="single" w:sz="12" w:space="0" w:color="000000"/>
              <w:bottom w:val="single" w:sz="4" w:space="0" w:color="000000"/>
              <w:right w:val="single" w:sz="12" w:space="0" w:color="000000"/>
            </w:tcBorders>
            <w:vAlign w:val="center"/>
          </w:tcPr>
          <w:p w14:paraId="32D802E8" w14:textId="77777777" w:rsidR="00C616C2" w:rsidRDefault="00FE7831">
            <w:pPr>
              <w:spacing w:line="360" w:lineRule="auto"/>
              <w:jc w:val="right"/>
            </w:pPr>
            <w:r>
              <w:t>63,7</w:t>
            </w:r>
          </w:p>
        </w:tc>
        <w:tc>
          <w:tcPr>
            <w:tcW w:w="2892" w:type="dxa"/>
            <w:tcBorders>
              <w:top w:val="single" w:sz="12" w:space="0" w:color="000000"/>
              <w:left w:val="single" w:sz="12" w:space="0" w:color="000000"/>
              <w:bottom w:val="single" w:sz="4" w:space="0" w:color="000000"/>
              <w:right w:val="single" w:sz="12" w:space="0" w:color="000000"/>
            </w:tcBorders>
            <w:vAlign w:val="center"/>
          </w:tcPr>
          <w:p w14:paraId="23F44431" w14:textId="77777777" w:rsidR="00C616C2" w:rsidRDefault="00FE7831">
            <w:pPr>
              <w:spacing w:line="360" w:lineRule="auto"/>
              <w:jc w:val="right"/>
            </w:pPr>
            <w:r>
              <w:t>64,8</w:t>
            </w:r>
          </w:p>
        </w:tc>
      </w:tr>
      <w:tr w:rsidR="00C616C2" w14:paraId="0F5F327C" w14:textId="77777777">
        <w:trPr>
          <w:trHeight w:val="227"/>
          <w:jc w:val="center"/>
        </w:trPr>
        <w:tc>
          <w:tcPr>
            <w:tcW w:w="3601" w:type="dxa"/>
            <w:tcBorders>
              <w:top w:val="single" w:sz="4" w:space="0" w:color="000000"/>
              <w:left w:val="single" w:sz="12" w:space="0" w:color="000000"/>
              <w:bottom w:val="single" w:sz="4" w:space="0" w:color="000000"/>
              <w:right w:val="single" w:sz="12" w:space="0" w:color="000000"/>
            </w:tcBorders>
            <w:vAlign w:val="center"/>
          </w:tcPr>
          <w:p w14:paraId="3AB3994C" w14:textId="77777777" w:rsidR="00C616C2" w:rsidRDefault="00C616C2">
            <w:r>
              <w:rPr>
                <w:rFonts w:ascii="Calibri" w:hAnsi="Calibri" w:cs="Calibri"/>
                <w:color w:val="000000"/>
                <w:sz w:val="22"/>
                <w:szCs w:val="22"/>
              </w:rPr>
              <w:t>Stav zamestnancov ku dňu, ku ktorému sa zostavuje účtovná závierka, z toho:</w:t>
            </w:r>
          </w:p>
        </w:tc>
        <w:tc>
          <w:tcPr>
            <w:tcW w:w="2577" w:type="dxa"/>
            <w:tcBorders>
              <w:top w:val="single" w:sz="4" w:space="0" w:color="000000"/>
              <w:left w:val="single" w:sz="12" w:space="0" w:color="000000"/>
              <w:bottom w:val="single" w:sz="4" w:space="0" w:color="000000"/>
              <w:right w:val="single" w:sz="12" w:space="0" w:color="000000"/>
            </w:tcBorders>
            <w:vAlign w:val="center"/>
          </w:tcPr>
          <w:p w14:paraId="170CD659" w14:textId="77777777" w:rsidR="00C616C2" w:rsidRDefault="0011374A">
            <w:pPr>
              <w:spacing w:line="360" w:lineRule="auto"/>
              <w:jc w:val="right"/>
            </w:pPr>
            <w:r>
              <w:t>6</w:t>
            </w:r>
            <w:r w:rsidR="00FE7831">
              <w:t>4</w:t>
            </w:r>
          </w:p>
        </w:tc>
        <w:tc>
          <w:tcPr>
            <w:tcW w:w="2892" w:type="dxa"/>
            <w:tcBorders>
              <w:top w:val="single" w:sz="4" w:space="0" w:color="000000"/>
              <w:left w:val="single" w:sz="12" w:space="0" w:color="000000"/>
              <w:bottom w:val="single" w:sz="4" w:space="0" w:color="000000"/>
              <w:right w:val="single" w:sz="12" w:space="0" w:color="000000"/>
            </w:tcBorders>
            <w:vAlign w:val="center"/>
          </w:tcPr>
          <w:p w14:paraId="6287D0B9" w14:textId="77777777" w:rsidR="00C616C2" w:rsidRDefault="00FE7831">
            <w:pPr>
              <w:spacing w:line="360" w:lineRule="auto"/>
              <w:jc w:val="right"/>
            </w:pPr>
            <w:r>
              <w:rPr>
                <w:rFonts w:ascii="Calibri" w:hAnsi="Calibri" w:cs="Calibri"/>
                <w:color w:val="000000"/>
                <w:sz w:val="22"/>
                <w:szCs w:val="22"/>
              </w:rPr>
              <w:t>66</w:t>
            </w:r>
          </w:p>
        </w:tc>
      </w:tr>
      <w:tr w:rsidR="00C616C2" w14:paraId="51070D82" w14:textId="77777777">
        <w:trPr>
          <w:trHeight w:val="227"/>
          <w:jc w:val="center"/>
        </w:trPr>
        <w:tc>
          <w:tcPr>
            <w:tcW w:w="3601" w:type="dxa"/>
            <w:tcBorders>
              <w:top w:val="single" w:sz="4" w:space="0" w:color="000000"/>
              <w:left w:val="single" w:sz="12" w:space="0" w:color="000000"/>
              <w:bottom w:val="single" w:sz="12" w:space="0" w:color="000000"/>
              <w:right w:val="single" w:sz="12" w:space="0" w:color="000000"/>
            </w:tcBorders>
            <w:vAlign w:val="center"/>
          </w:tcPr>
          <w:p w14:paraId="52207A64" w14:textId="77777777" w:rsidR="00C616C2" w:rsidRDefault="00C616C2">
            <w:r>
              <w:rPr>
                <w:rFonts w:ascii="Calibri" w:hAnsi="Calibri" w:cs="Calibri"/>
                <w:color w:val="000000"/>
                <w:sz w:val="22"/>
                <w:szCs w:val="22"/>
              </w:rPr>
              <w:t>Počet vedúcich zamestnancov</w:t>
            </w:r>
          </w:p>
        </w:tc>
        <w:tc>
          <w:tcPr>
            <w:tcW w:w="2577" w:type="dxa"/>
            <w:tcBorders>
              <w:top w:val="single" w:sz="4" w:space="0" w:color="000000"/>
              <w:left w:val="single" w:sz="12" w:space="0" w:color="000000"/>
              <w:bottom w:val="single" w:sz="12" w:space="0" w:color="000000"/>
              <w:right w:val="single" w:sz="12" w:space="0" w:color="000000"/>
            </w:tcBorders>
            <w:vAlign w:val="center"/>
          </w:tcPr>
          <w:p w14:paraId="430422C6" w14:textId="77777777" w:rsidR="00C616C2" w:rsidRDefault="0011374A">
            <w:pPr>
              <w:spacing w:line="360" w:lineRule="auto"/>
              <w:jc w:val="right"/>
            </w:pPr>
            <w:r>
              <w:t>4</w:t>
            </w:r>
          </w:p>
        </w:tc>
        <w:tc>
          <w:tcPr>
            <w:tcW w:w="2892" w:type="dxa"/>
            <w:tcBorders>
              <w:top w:val="single" w:sz="4" w:space="0" w:color="000000"/>
              <w:left w:val="single" w:sz="12" w:space="0" w:color="000000"/>
              <w:bottom w:val="single" w:sz="12" w:space="0" w:color="000000"/>
              <w:right w:val="single" w:sz="12" w:space="0" w:color="000000"/>
            </w:tcBorders>
            <w:vAlign w:val="center"/>
          </w:tcPr>
          <w:p w14:paraId="10B6D49C" w14:textId="77777777" w:rsidR="00C616C2" w:rsidRDefault="00126FE6">
            <w:pPr>
              <w:spacing w:line="360" w:lineRule="auto"/>
              <w:jc w:val="right"/>
            </w:pPr>
            <w:r>
              <w:rPr>
                <w:rFonts w:ascii="Calibri" w:hAnsi="Calibri" w:cs="Calibri"/>
                <w:color w:val="000000"/>
                <w:sz w:val="22"/>
                <w:szCs w:val="22"/>
              </w:rPr>
              <w:t>4</w:t>
            </w:r>
          </w:p>
        </w:tc>
      </w:tr>
    </w:tbl>
    <w:p w14:paraId="169E0DD8" w14:textId="77777777" w:rsidR="00C616C2" w:rsidRDefault="00C616C2">
      <w:pPr>
        <w:pStyle w:val="Zkladntext"/>
        <w:rPr>
          <w:rFonts w:ascii="Calibri" w:hAnsi="Calibri" w:cs="Calibri"/>
          <w:sz w:val="22"/>
          <w:szCs w:val="22"/>
        </w:rPr>
      </w:pPr>
    </w:p>
    <w:p w14:paraId="4885D43C" w14:textId="77777777" w:rsidR="00C616C2" w:rsidRDefault="00C616C2">
      <w:pPr>
        <w:pStyle w:val="Zkladntext"/>
        <w:rPr>
          <w:rFonts w:ascii="Calibri" w:hAnsi="Calibri" w:cs="Calibri"/>
          <w:sz w:val="22"/>
          <w:szCs w:val="22"/>
        </w:rPr>
      </w:pPr>
    </w:p>
    <w:p w14:paraId="512BE78C" w14:textId="77777777" w:rsidR="00C616C2" w:rsidRDefault="00C616C2">
      <w:pPr>
        <w:pStyle w:val="Hlavika"/>
        <w:tabs>
          <w:tab w:val="clear" w:pos="4536"/>
          <w:tab w:val="clear" w:pos="9072"/>
        </w:tabs>
        <w:jc w:val="center"/>
      </w:pPr>
      <w:r>
        <w:rPr>
          <w:rFonts w:ascii="Calibri" w:hAnsi="Calibri" w:cs="Calibri"/>
          <w:b/>
          <w:sz w:val="22"/>
          <w:szCs w:val="22"/>
        </w:rPr>
        <w:t>ČL. II</w:t>
      </w:r>
    </w:p>
    <w:p w14:paraId="1C5ED954" w14:textId="77777777" w:rsidR="00C616C2" w:rsidRDefault="00C616C2">
      <w:pPr>
        <w:pStyle w:val="Hlavika"/>
        <w:tabs>
          <w:tab w:val="clear" w:pos="4536"/>
          <w:tab w:val="clear" w:pos="9072"/>
        </w:tabs>
        <w:jc w:val="center"/>
      </w:pPr>
      <w:r>
        <w:rPr>
          <w:rFonts w:ascii="Calibri" w:hAnsi="Calibri" w:cs="Calibri"/>
          <w:b/>
          <w:sz w:val="22"/>
          <w:szCs w:val="22"/>
        </w:rPr>
        <w:t>INFORMÁCIE O ORGÁNOCH</w:t>
      </w:r>
    </w:p>
    <w:p w14:paraId="7DC41B77" w14:textId="77777777" w:rsidR="00C616C2" w:rsidRDefault="00C616C2">
      <w:pPr>
        <w:rPr>
          <w:rFonts w:ascii="Calibri" w:hAnsi="Calibri" w:cs="Calibri"/>
          <w:b/>
          <w:sz w:val="22"/>
          <w:szCs w:val="22"/>
          <w:highlight w:val="yellow"/>
        </w:rPr>
      </w:pPr>
    </w:p>
    <w:p w14:paraId="675EAE06" w14:textId="77777777" w:rsidR="00C616C2" w:rsidRDefault="00C616C2">
      <w:pPr>
        <w:pStyle w:val="Default"/>
        <w:jc w:val="both"/>
      </w:pPr>
      <w:r>
        <w:rPr>
          <w:rFonts w:ascii="Calibri" w:hAnsi="Calibri" w:cs="Calibri"/>
          <w:i/>
          <w:sz w:val="22"/>
          <w:szCs w:val="22"/>
        </w:rPr>
        <w:t xml:space="preserve">Uvádzajú sa informácie o orgánoch účtovnej jednotky, a to: </w:t>
      </w:r>
    </w:p>
    <w:p w14:paraId="3646F785" w14:textId="77777777" w:rsidR="00C616C2" w:rsidRDefault="00C616C2">
      <w:pPr>
        <w:pStyle w:val="Default"/>
        <w:spacing w:after="17"/>
        <w:jc w:val="both"/>
      </w:pPr>
      <w:r>
        <w:rPr>
          <w:rFonts w:ascii="Calibri" w:hAnsi="Calibri" w:cs="Calibri"/>
          <w:i/>
          <w:sz w:val="22"/>
          <w:szCs w:val="22"/>
        </w:rPr>
        <w:lastRenderedPageBreak/>
        <w:t xml:space="preserve">a) výške jednotlivých druhov záruk alebo iných zabezpečení poskytnutých pre členov štatutárneho orgánu, dozorného orgánu a iného orgánu účtovnej jednotky, a to v členení za jednotlivé orgány, </w:t>
      </w:r>
    </w:p>
    <w:p w14:paraId="5B926CE6" w14:textId="77777777" w:rsidR="00C616C2" w:rsidRDefault="00C616C2">
      <w:pPr>
        <w:pStyle w:val="Default"/>
        <w:spacing w:after="17"/>
        <w:jc w:val="both"/>
      </w:pPr>
      <w:r>
        <w:rPr>
          <w:rFonts w:ascii="Calibri" w:hAnsi="Calibri" w:cs="Calibri"/>
          <w:i/>
          <w:sz w:val="22"/>
          <w:szCs w:val="22"/>
        </w:rPr>
        <w:t xml:space="preserve">b) pôžičkách poskytnutých členom štatutárneho orgánu, dozorného orgánu a iného orgánu účtovnej jednotky, a to o </w:t>
      </w:r>
    </w:p>
    <w:p w14:paraId="1B68AD9E" w14:textId="77777777" w:rsidR="00C616C2" w:rsidRDefault="00C616C2">
      <w:pPr>
        <w:pStyle w:val="Default"/>
        <w:spacing w:after="17"/>
        <w:ind w:left="708"/>
        <w:jc w:val="both"/>
      </w:pPr>
      <w:r>
        <w:rPr>
          <w:rFonts w:ascii="Calibri" w:hAnsi="Calibri" w:cs="Calibri"/>
          <w:i/>
          <w:sz w:val="22"/>
          <w:szCs w:val="22"/>
        </w:rPr>
        <w:t xml:space="preserve">1. celkovej sume poskytnutých pôžičiek k poslednému dňu účtovného obdobia v členení za jednotlivé orgány, </w:t>
      </w:r>
    </w:p>
    <w:p w14:paraId="19D935C1" w14:textId="77777777" w:rsidR="00C616C2" w:rsidRDefault="00C616C2">
      <w:pPr>
        <w:pStyle w:val="Default"/>
        <w:ind w:left="708"/>
        <w:jc w:val="both"/>
      </w:pPr>
      <w:r>
        <w:rPr>
          <w:rFonts w:ascii="Calibri" w:hAnsi="Calibri" w:cs="Calibri"/>
          <w:i/>
          <w:sz w:val="22"/>
          <w:szCs w:val="22"/>
        </w:rPr>
        <w:t xml:space="preserve">2. celkovej sume splatených pôžičiek k poslednému dňu účtovného obdobia v členení za jednotlivé orgány, </w:t>
      </w:r>
    </w:p>
    <w:p w14:paraId="3CEFFF29" w14:textId="77777777" w:rsidR="00C616C2" w:rsidRDefault="00C616C2">
      <w:pPr>
        <w:pStyle w:val="Default"/>
        <w:spacing w:after="14"/>
        <w:ind w:left="708"/>
        <w:jc w:val="both"/>
      </w:pPr>
      <w:r>
        <w:rPr>
          <w:rFonts w:ascii="Calibri" w:hAnsi="Calibri" w:cs="Calibri"/>
          <w:i/>
          <w:sz w:val="22"/>
          <w:szCs w:val="22"/>
        </w:rPr>
        <w:t xml:space="preserve">3. celkovej sume odpustených pôžičiek a odpísaných pôžičiek k poslednému dňu účtovného obdobia v členení za jednotlivé orgány, </w:t>
      </w:r>
    </w:p>
    <w:p w14:paraId="5E1C9DC3" w14:textId="77777777" w:rsidR="00C616C2" w:rsidRDefault="00C616C2">
      <w:pPr>
        <w:pStyle w:val="Default"/>
        <w:spacing w:after="14"/>
        <w:jc w:val="both"/>
      </w:pPr>
      <w:r>
        <w:rPr>
          <w:rFonts w:ascii="Calibri" w:hAnsi="Calibri" w:cs="Calibri"/>
          <w:i/>
          <w:sz w:val="22"/>
          <w:szCs w:val="22"/>
        </w:rPr>
        <w:t xml:space="preserve">c) hlavných podmienkach, na základe ktorých boli osobám uvedeným v písmene a) záruky alebo iné zabezpečenie a pôžičky poskytnuté; pri pôžičkách sa uvádzajú úrokové sadzby, </w:t>
      </w:r>
    </w:p>
    <w:p w14:paraId="0ADD21D4" w14:textId="77777777" w:rsidR="00C616C2" w:rsidRDefault="00C616C2">
      <w:pPr>
        <w:pStyle w:val="Default"/>
        <w:jc w:val="both"/>
      </w:pPr>
      <w:r>
        <w:rPr>
          <w:rFonts w:ascii="Calibri" w:hAnsi="Calibri" w:cs="Calibri"/>
          <w:i/>
          <w:sz w:val="22"/>
          <w:szCs w:val="22"/>
        </w:rPr>
        <w:t>d) celkovej sume použitých finančných prostriedkov alebo iného plnenia na súkromné účely členmi štatutárneho orgánu, dozorného orgánu a iného orgánu účtovnej jednotky, ktoré je potrebné vyúčtovať.</w:t>
      </w:r>
    </w:p>
    <w:p w14:paraId="60676947" w14:textId="77777777" w:rsidR="00C616C2" w:rsidRDefault="00C616C2">
      <w:pPr>
        <w:pStyle w:val="Heading"/>
        <w:widowControl w:val="0"/>
        <w:spacing w:after="60"/>
        <w:jc w:val="both"/>
        <w:rPr>
          <w:rFonts w:ascii="Calibri" w:hAnsi="Calibri" w:cs="Calibri"/>
          <w:b w:val="0"/>
          <w:i/>
          <w:color w:val="000000"/>
          <w:sz w:val="22"/>
          <w:szCs w:val="22"/>
        </w:rPr>
      </w:pPr>
    </w:p>
    <w:p w14:paraId="7A3EA986" w14:textId="77777777" w:rsidR="00C616C2" w:rsidRDefault="00C616C2">
      <w:pPr>
        <w:pStyle w:val="Heading"/>
        <w:widowControl w:val="0"/>
        <w:spacing w:after="60"/>
        <w:jc w:val="both"/>
      </w:pPr>
      <w:r>
        <w:rPr>
          <w:rFonts w:ascii="Calibri" w:hAnsi="Calibri" w:cs="Calibri"/>
          <w:b w:val="0"/>
          <w:color w:val="000000"/>
          <w:sz w:val="22"/>
          <w:szCs w:val="22"/>
        </w:rPr>
        <w:t xml:space="preserve">Účtovná jednotka nemá náplň pre túto položku. </w:t>
      </w:r>
    </w:p>
    <w:p w14:paraId="50FA66A0" w14:textId="77777777" w:rsidR="00C616C2" w:rsidRDefault="00C616C2">
      <w:pPr>
        <w:rPr>
          <w:rFonts w:ascii="Calibri" w:hAnsi="Calibri" w:cs="Calibri"/>
          <w:b/>
          <w:color w:val="000000"/>
          <w:sz w:val="22"/>
          <w:szCs w:val="22"/>
        </w:rPr>
      </w:pPr>
    </w:p>
    <w:p w14:paraId="313FE629" w14:textId="77777777" w:rsidR="00C616C2" w:rsidRDefault="00C616C2">
      <w:pPr>
        <w:pStyle w:val="Zkladntext"/>
        <w:jc w:val="center"/>
        <w:rPr>
          <w:rFonts w:ascii="Calibri" w:hAnsi="Calibri" w:cs="Calibri"/>
          <w:b/>
          <w:color w:val="000000"/>
          <w:sz w:val="22"/>
          <w:szCs w:val="22"/>
        </w:rPr>
      </w:pPr>
    </w:p>
    <w:p w14:paraId="7B6D8B28" w14:textId="77777777" w:rsidR="00C616C2" w:rsidRDefault="00C616C2">
      <w:pPr>
        <w:pStyle w:val="Zkladntext"/>
        <w:jc w:val="center"/>
      </w:pPr>
      <w:r>
        <w:rPr>
          <w:rFonts w:ascii="Calibri" w:hAnsi="Calibri" w:cs="Calibri"/>
          <w:b/>
          <w:sz w:val="22"/>
          <w:szCs w:val="22"/>
        </w:rPr>
        <w:t>ČL. III</w:t>
      </w:r>
    </w:p>
    <w:p w14:paraId="34807CB0" w14:textId="77777777" w:rsidR="00C616C2" w:rsidRDefault="00C616C2">
      <w:pPr>
        <w:pStyle w:val="Zkladntext"/>
        <w:jc w:val="center"/>
      </w:pPr>
      <w:r>
        <w:rPr>
          <w:rFonts w:ascii="Calibri" w:hAnsi="Calibri" w:cs="Calibri"/>
          <w:b/>
          <w:sz w:val="22"/>
          <w:szCs w:val="22"/>
        </w:rPr>
        <w:t>INFORMÁCIE O PRIJATÝCH POSTUPOCH</w:t>
      </w:r>
    </w:p>
    <w:p w14:paraId="403C28DB" w14:textId="77777777" w:rsidR="00C616C2" w:rsidRDefault="00C616C2">
      <w:pPr>
        <w:pStyle w:val="Zkladntext"/>
        <w:rPr>
          <w:rFonts w:ascii="Calibri" w:hAnsi="Calibri" w:cs="Calibri"/>
          <w:b/>
          <w:sz w:val="22"/>
          <w:szCs w:val="22"/>
        </w:rPr>
      </w:pPr>
    </w:p>
    <w:p w14:paraId="5EF826E2" w14:textId="77777777" w:rsidR="00C616C2" w:rsidRDefault="00C616C2">
      <w:pPr>
        <w:pStyle w:val="Zkladntext"/>
        <w:rPr>
          <w:rFonts w:ascii="Calibri" w:hAnsi="Calibri" w:cs="Calibri"/>
          <w:b/>
          <w:sz w:val="22"/>
          <w:szCs w:val="22"/>
        </w:rPr>
      </w:pPr>
    </w:p>
    <w:p w14:paraId="70F89752" w14:textId="77777777" w:rsidR="00C616C2" w:rsidRDefault="00C616C2">
      <w:pPr>
        <w:pStyle w:val="Zkladntext"/>
        <w:numPr>
          <w:ilvl w:val="0"/>
          <w:numId w:val="7"/>
        </w:numPr>
        <w:ind w:left="426" w:hanging="437"/>
      </w:pPr>
      <w:r>
        <w:rPr>
          <w:rFonts w:ascii="Calibri" w:hAnsi="Calibri" w:cs="Calibri"/>
          <w:b/>
          <w:sz w:val="22"/>
          <w:szCs w:val="22"/>
        </w:rPr>
        <w:t>VŠEOBECNÉ PREDPOKLADY PRE VYPRACOVANIE ÚČTOVNEJ ZÁVIERKY</w:t>
      </w:r>
    </w:p>
    <w:p w14:paraId="0BD22239" w14:textId="77777777" w:rsidR="00C616C2" w:rsidRDefault="00C616C2">
      <w:pPr>
        <w:rPr>
          <w:rFonts w:ascii="Calibri" w:hAnsi="Calibri" w:cs="Calibri"/>
          <w:b/>
          <w:sz w:val="22"/>
          <w:szCs w:val="22"/>
        </w:rPr>
      </w:pPr>
    </w:p>
    <w:p w14:paraId="17779AE2" w14:textId="77777777" w:rsidR="00C616C2" w:rsidRDefault="00C616C2">
      <w:r>
        <w:rPr>
          <w:rFonts w:ascii="Calibri" w:hAnsi="Calibri" w:cs="Calibri"/>
          <w:sz w:val="22"/>
          <w:szCs w:val="22"/>
        </w:rPr>
        <w:t>Účtovná závierka spoločnosti pozostávajúca zo súvahy, výkazu ziskov a strát a poznámok k účtovnej závierke k 31.12.</w:t>
      </w:r>
      <w:r w:rsidR="00880FC0">
        <w:rPr>
          <w:rFonts w:ascii="Calibri" w:hAnsi="Calibri" w:cs="Calibri"/>
          <w:sz w:val="22"/>
          <w:szCs w:val="22"/>
        </w:rPr>
        <w:t xml:space="preserve">2025 </w:t>
      </w:r>
      <w:r>
        <w:rPr>
          <w:rFonts w:ascii="Calibri" w:hAnsi="Calibri" w:cs="Calibri"/>
          <w:sz w:val="22"/>
          <w:szCs w:val="22"/>
        </w:rPr>
        <w:t>bola zostavená za predpokladu nepretržitého trvania činnosti spoločnosti a v súlade s účtovnými predpismi platnými v Slovenskej republike. Údaje v účtovnej závierke správne a verne zobrazujú stav majetku a záväzkov, vlastné imanie predstavujúce súhrn vlastných zdrojov krytia majetku, finančnú situáciu a výsledok hospodárenia.</w:t>
      </w:r>
    </w:p>
    <w:p w14:paraId="627D9017" w14:textId="77777777" w:rsidR="00C616C2" w:rsidRDefault="00C616C2">
      <w:pPr>
        <w:pStyle w:val="Zkladntext"/>
        <w:rPr>
          <w:rFonts w:ascii="Calibri" w:hAnsi="Calibri" w:cs="Calibri"/>
          <w:sz w:val="22"/>
          <w:szCs w:val="22"/>
        </w:rPr>
      </w:pPr>
    </w:p>
    <w:p w14:paraId="060DA0D8" w14:textId="77777777" w:rsidR="00C616C2" w:rsidRDefault="00C616C2">
      <w:pPr>
        <w:pStyle w:val="Zkladntext"/>
        <w:numPr>
          <w:ilvl w:val="0"/>
          <w:numId w:val="7"/>
        </w:numPr>
        <w:ind w:left="426" w:hanging="437"/>
      </w:pPr>
      <w:r>
        <w:rPr>
          <w:rFonts w:ascii="Calibri" w:hAnsi="Calibri" w:cs="Calibri"/>
          <w:b/>
          <w:sz w:val="22"/>
          <w:szCs w:val="22"/>
        </w:rPr>
        <w:t xml:space="preserve">INFORMÁCIA O APLIKÁCII A ZMENÁCH ÚČTOVNÝCH ZÁSAD A ÚČTOVNÝCH METÓD </w:t>
      </w:r>
    </w:p>
    <w:p w14:paraId="53E033D1" w14:textId="77777777" w:rsidR="00C616C2" w:rsidRDefault="00C616C2">
      <w:pPr>
        <w:rPr>
          <w:rFonts w:ascii="Calibri" w:hAnsi="Calibri" w:cs="Calibri"/>
          <w:b/>
          <w:sz w:val="22"/>
          <w:szCs w:val="22"/>
        </w:rPr>
      </w:pPr>
    </w:p>
    <w:p w14:paraId="5B30BF5A" w14:textId="77777777" w:rsidR="00C616C2" w:rsidRDefault="00C616C2">
      <w:pPr>
        <w:numPr>
          <w:ilvl w:val="1"/>
          <w:numId w:val="7"/>
        </w:numPr>
        <w:shd w:val="clear" w:color="auto" w:fill="E7E6E6"/>
        <w:tabs>
          <w:tab w:val="left" w:pos="426"/>
        </w:tabs>
        <w:ind w:left="426" w:hanging="426"/>
      </w:pPr>
      <w:r>
        <w:rPr>
          <w:rFonts w:ascii="Calibri" w:hAnsi="Calibri" w:cs="Calibri"/>
          <w:caps/>
          <w:sz w:val="22"/>
          <w:szCs w:val="22"/>
        </w:rPr>
        <w:t>Všeobecné účtovné zásady</w:t>
      </w:r>
    </w:p>
    <w:p w14:paraId="7829C525" w14:textId="77777777" w:rsidR="00C616C2" w:rsidRDefault="00C616C2">
      <w:pPr>
        <w:rPr>
          <w:rFonts w:ascii="Calibri" w:hAnsi="Calibri" w:cs="Calibri"/>
          <w:caps/>
          <w:sz w:val="22"/>
          <w:szCs w:val="22"/>
        </w:rPr>
      </w:pPr>
    </w:p>
    <w:p w14:paraId="757D1A65" w14:textId="77777777" w:rsidR="00C616C2" w:rsidRDefault="00C616C2">
      <w:pPr>
        <w:numPr>
          <w:ilvl w:val="0"/>
          <w:numId w:val="9"/>
        </w:numPr>
      </w:pPr>
      <w:r>
        <w:rPr>
          <w:rFonts w:ascii="Calibri" w:hAnsi="Calibri" w:cs="Calibri"/>
          <w:sz w:val="22"/>
          <w:szCs w:val="22"/>
        </w:rPr>
        <w:t>Pri účtovaní o výsledku hospodárenia účtovnej jednotky spoločnosť berie za základ všetky náklady a výnosy, ktoré sa vzťahujú na účtovné obdobie bez ohľadu na dátum ich platenia.</w:t>
      </w:r>
    </w:p>
    <w:p w14:paraId="5B6A7B91" w14:textId="77777777" w:rsidR="00C616C2" w:rsidRDefault="00C616C2">
      <w:pPr>
        <w:numPr>
          <w:ilvl w:val="0"/>
          <w:numId w:val="9"/>
        </w:numPr>
      </w:pPr>
      <w:r>
        <w:rPr>
          <w:rFonts w:ascii="Calibri" w:hAnsi="Calibri" w:cs="Calibri"/>
          <w:sz w:val="22"/>
          <w:szCs w:val="22"/>
        </w:rPr>
        <w:t>Ocenenie majetku a záväzkov v účtovníctve a účtovnej závierke je upravené o položky vyjadrujúce riziká, straty a znehodnotenia, ktoré boli známe ku dňu zostavenia účtovnej závierky (opravné položky, rezervy).</w:t>
      </w:r>
    </w:p>
    <w:p w14:paraId="1F1352A7" w14:textId="77777777" w:rsidR="00C616C2" w:rsidRDefault="00C616C2">
      <w:pPr>
        <w:numPr>
          <w:ilvl w:val="0"/>
          <w:numId w:val="9"/>
        </w:numPr>
      </w:pPr>
      <w:r>
        <w:rPr>
          <w:rFonts w:ascii="Calibri" w:hAnsi="Calibri" w:cs="Calibri"/>
          <w:sz w:val="22"/>
          <w:szCs w:val="22"/>
        </w:rPr>
        <w:t xml:space="preserve">Pokiaľ sa pri inventarizácii zásob zistí, že ich predajná cena znížená o náklady spojené s predajom je nižšia, než cena použitá na ich ocenenie v účtovníctve, zásoby sa ocenia v účtovníctve a v účtovnej závierke touto nižšou cenou. </w:t>
      </w:r>
    </w:p>
    <w:p w14:paraId="43569680" w14:textId="77777777" w:rsidR="00C616C2" w:rsidRDefault="00C616C2">
      <w:pPr>
        <w:numPr>
          <w:ilvl w:val="0"/>
          <w:numId w:val="9"/>
        </w:numPr>
      </w:pPr>
      <w:r>
        <w:rPr>
          <w:rFonts w:ascii="Calibri" w:hAnsi="Calibri" w:cs="Calibri"/>
          <w:sz w:val="22"/>
          <w:szCs w:val="22"/>
        </w:rPr>
        <w:t xml:space="preserve">Spoločnosť účtuje o skutočnostiach, ktoré sú predmetom účtovníctva, do obdobia, s ktorým tieto skutočnosti časovo a vecne súvisia, ak túto zásadu nemožno dodržať, môže účtovať aj v účtovnom období, v ktorom uvedené skutočnosti zistila. </w:t>
      </w:r>
    </w:p>
    <w:p w14:paraId="6BD8916D" w14:textId="77777777" w:rsidR="00C616C2" w:rsidRDefault="00C616C2">
      <w:pPr>
        <w:numPr>
          <w:ilvl w:val="0"/>
          <w:numId w:val="9"/>
        </w:numPr>
      </w:pPr>
      <w:r>
        <w:rPr>
          <w:rFonts w:ascii="Calibri" w:hAnsi="Calibri" w:cs="Calibri"/>
          <w:sz w:val="22"/>
          <w:szCs w:val="22"/>
        </w:rPr>
        <w:t>Majetok a záväzky sú vykazované v historických cenách, ak nie je v článku III bode 2.2.1 (Spôsob ocenenia jednotlivých položiek) uvedené inak.</w:t>
      </w:r>
    </w:p>
    <w:p w14:paraId="6E4FF622" w14:textId="77777777" w:rsidR="00C616C2" w:rsidRDefault="00C616C2">
      <w:pPr>
        <w:numPr>
          <w:ilvl w:val="0"/>
          <w:numId w:val="9"/>
        </w:numPr>
      </w:pPr>
      <w:r>
        <w:rPr>
          <w:rFonts w:ascii="Calibri" w:hAnsi="Calibri" w:cs="Calibri"/>
          <w:sz w:val="22"/>
          <w:szCs w:val="22"/>
        </w:rPr>
        <w:t>Spoločnosť vykonala ku dňu účtovnej závierky inventarizáciu majetku a záväzkov v súlade so zákonom o účtovníctve.</w:t>
      </w:r>
    </w:p>
    <w:p w14:paraId="0CA27A27" w14:textId="77777777" w:rsidR="00C616C2" w:rsidRDefault="00C616C2">
      <w:pPr>
        <w:numPr>
          <w:ilvl w:val="0"/>
          <w:numId w:val="9"/>
        </w:numPr>
      </w:pPr>
      <w:r>
        <w:rPr>
          <w:rFonts w:ascii="Calibri" w:hAnsi="Calibri" w:cs="Calibri"/>
          <w:sz w:val="22"/>
          <w:szCs w:val="22"/>
        </w:rPr>
        <w:lastRenderedPageBreak/>
        <w:t>Zostatky účtov, ktoré obsahuje súvaha, a ktorými sa účtovné obdobie začína, nadväzujú na zostatky účtov, ktorými sa predchádzajúce účtovné obdobie uzavrelo.</w:t>
      </w:r>
    </w:p>
    <w:p w14:paraId="5034F120" w14:textId="77777777" w:rsidR="00C616C2" w:rsidRDefault="00C616C2">
      <w:pPr>
        <w:numPr>
          <w:ilvl w:val="0"/>
          <w:numId w:val="9"/>
        </w:numPr>
      </w:pPr>
      <w:r>
        <w:rPr>
          <w:rFonts w:ascii="Calibri" w:hAnsi="Calibri" w:cs="Calibri"/>
          <w:sz w:val="22"/>
          <w:szCs w:val="22"/>
        </w:rPr>
        <w:t>Pri rozlišovaní majetku a pasív na dlhodobé a krátkodobé sa za základné kritérium berie celková doba splatnosti. Pohľadávky a záväzky sú však v súvahe vykazované podľa zostatkovej doby splatnosti ku dňu zostavenia účtovnej závierky, to znamená, že pohľadávky a záväzky so zostatkovou dobou splatnosti do 12 mesiacov sú vykazované ako krátkodobé, so zostatkovou dobou splatnosti nad 12 mesiacov ako dlhodobé.</w:t>
      </w:r>
    </w:p>
    <w:p w14:paraId="1A1332FE" w14:textId="77777777" w:rsidR="00C616C2" w:rsidRDefault="00C616C2">
      <w:pPr>
        <w:rPr>
          <w:rFonts w:ascii="Calibri" w:hAnsi="Calibri" w:cs="Calibri"/>
          <w:sz w:val="22"/>
          <w:szCs w:val="22"/>
        </w:rPr>
      </w:pPr>
    </w:p>
    <w:p w14:paraId="6D97EFFF" w14:textId="77777777" w:rsidR="00C616C2" w:rsidRDefault="00C616C2">
      <w:pPr>
        <w:rPr>
          <w:rFonts w:ascii="Calibri" w:hAnsi="Calibri" w:cs="Calibri"/>
          <w:sz w:val="22"/>
          <w:szCs w:val="22"/>
        </w:rPr>
      </w:pPr>
    </w:p>
    <w:p w14:paraId="78DEEC8A" w14:textId="77777777" w:rsidR="00C616C2" w:rsidRDefault="00C616C2">
      <w:pPr>
        <w:numPr>
          <w:ilvl w:val="1"/>
          <w:numId w:val="7"/>
        </w:numPr>
        <w:shd w:val="clear" w:color="auto" w:fill="D9D9D9"/>
        <w:tabs>
          <w:tab w:val="left" w:pos="426"/>
        </w:tabs>
        <w:ind w:left="426" w:hanging="426"/>
      </w:pPr>
      <w:r>
        <w:rPr>
          <w:rFonts w:ascii="Calibri" w:hAnsi="Calibri" w:cs="Calibri"/>
          <w:caps/>
          <w:sz w:val="22"/>
          <w:szCs w:val="22"/>
        </w:rPr>
        <w:t>Použité účtovné metódy a zásady</w:t>
      </w:r>
    </w:p>
    <w:p w14:paraId="1B256159" w14:textId="77777777" w:rsidR="00C616C2" w:rsidRDefault="00C616C2">
      <w:pPr>
        <w:rPr>
          <w:rFonts w:ascii="Calibri" w:hAnsi="Calibri" w:cs="Calibri"/>
          <w:b/>
          <w:caps/>
          <w:sz w:val="22"/>
          <w:szCs w:val="22"/>
        </w:rPr>
      </w:pPr>
    </w:p>
    <w:p w14:paraId="04144683" w14:textId="77777777" w:rsidR="00C616C2" w:rsidRDefault="00C616C2">
      <w:pPr>
        <w:numPr>
          <w:ilvl w:val="2"/>
          <w:numId w:val="7"/>
        </w:numPr>
        <w:shd w:val="clear" w:color="auto" w:fill="D9D9D9"/>
        <w:tabs>
          <w:tab w:val="left" w:pos="426"/>
        </w:tabs>
        <w:ind w:left="426" w:hanging="426"/>
      </w:pPr>
      <w:r>
        <w:rPr>
          <w:rFonts w:ascii="Calibri" w:hAnsi="Calibri" w:cs="Calibri"/>
          <w:sz w:val="22"/>
          <w:szCs w:val="22"/>
        </w:rPr>
        <w:t>SPÔSOB OCENENIA JEDNOTLIVÝCH POLOŽIEK</w:t>
      </w:r>
    </w:p>
    <w:p w14:paraId="18E1C564" w14:textId="77777777" w:rsidR="00C616C2" w:rsidRDefault="00C616C2">
      <w:pPr>
        <w:rPr>
          <w:rFonts w:ascii="Calibri" w:hAnsi="Calibri" w:cs="Calibri"/>
          <w:i/>
          <w:sz w:val="22"/>
          <w:szCs w:val="22"/>
        </w:rPr>
      </w:pPr>
    </w:p>
    <w:p w14:paraId="285E50D7" w14:textId="77777777" w:rsidR="00C616C2" w:rsidRDefault="00C616C2">
      <w:pPr>
        <w:numPr>
          <w:ilvl w:val="0"/>
          <w:numId w:val="12"/>
        </w:numPr>
      </w:pPr>
      <w:r>
        <w:rPr>
          <w:rFonts w:ascii="Calibri" w:hAnsi="Calibri" w:cs="Calibri"/>
          <w:b/>
          <w:sz w:val="22"/>
          <w:szCs w:val="22"/>
        </w:rPr>
        <w:t>Dlhodobý nehmotný majetok obstaraný kúpou</w:t>
      </w:r>
    </w:p>
    <w:p w14:paraId="455014D5" w14:textId="77777777" w:rsidR="00C616C2" w:rsidRDefault="00C616C2">
      <w:pPr>
        <w:rPr>
          <w:rFonts w:ascii="Calibri" w:hAnsi="Calibri" w:cs="Calibri"/>
          <w:b/>
          <w:sz w:val="22"/>
          <w:szCs w:val="22"/>
        </w:rPr>
      </w:pPr>
    </w:p>
    <w:p w14:paraId="2C3C0938" w14:textId="77777777" w:rsidR="00C616C2" w:rsidRDefault="00C616C2">
      <w:r>
        <w:rPr>
          <w:rFonts w:ascii="Calibri" w:hAnsi="Calibri" w:cs="Calibri"/>
          <w:sz w:val="22"/>
          <w:szCs w:val="22"/>
        </w:rPr>
        <w:t>Dlhodobý nehmotný majetok obstaraný kúpou bol v účtovníctve ocenený v obstarávacej cene.</w:t>
      </w:r>
    </w:p>
    <w:p w14:paraId="163A7B05" w14:textId="77777777" w:rsidR="00C616C2" w:rsidRDefault="00C616C2">
      <w:pPr>
        <w:rPr>
          <w:rFonts w:ascii="Calibri" w:hAnsi="Calibri" w:cs="Calibri"/>
          <w:sz w:val="22"/>
          <w:szCs w:val="22"/>
        </w:rPr>
      </w:pPr>
    </w:p>
    <w:p w14:paraId="5C8E21D7" w14:textId="77777777" w:rsidR="00C616C2" w:rsidRDefault="00C616C2">
      <w:r>
        <w:rPr>
          <w:rFonts w:ascii="Calibri" w:hAnsi="Calibri" w:cs="Calibri"/>
          <w:sz w:val="22"/>
          <w:szCs w:val="22"/>
        </w:rPr>
        <w:t>Drobný dlhodobý nehmotný majetok do výšky 2 400 EUR je jednorazovo odpísaný do nákladov v roku obstarania majetku.</w:t>
      </w:r>
    </w:p>
    <w:p w14:paraId="53B529B1" w14:textId="77777777" w:rsidR="00C616C2" w:rsidRDefault="00C616C2">
      <w:pPr>
        <w:rPr>
          <w:rFonts w:ascii="Calibri" w:hAnsi="Calibri" w:cs="Calibri"/>
          <w:sz w:val="22"/>
          <w:szCs w:val="22"/>
        </w:rPr>
      </w:pPr>
    </w:p>
    <w:p w14:paraId="680D5D6A" w14:textId="77777777" w:rsidR="00C616C2" w:rsidRDefault="00C616C2">
      <w:pPr>
        <w:numPr>
          <w:ilvl w:val="0"/>
          <w:numId w:val="12"/>
        </w:numPr>
      </w:pPr>
      <w:r>
        <w:rPr>
          <w:rFonts w:ascii="Calibri" w:hAnsi="Calibri" w:cs="Calibri"/>
          <w:b/>
          <w:sz w:val="22"/>
          <w:szCs w:val="22"/>
        </w:rPr>
        <w:t>Dlhodobý nehmotný majetok obstaraný vlastnou činnosťou</w:t>
      </w:r>
    </w:p>
    <w:p w14:paraId="63C59DD9" w14:textId="77777777" w:rsidR="00C616C2" w:rsidRDefault="00C616C2">
      <w:pPr>
        <w:rPr>
          <w:rFonts w:ascii="Calibri" w:hAnsi="Calibri" w:cs="Calibri"/>
          <w:b/>
          <w:sz w:val="22"/>
          <w:szCs w:val="22"/>
        </w:rPr>
      </w:pPr>
    </w:p>
    <w:p w14:paraId="2F456EB7" w14:textId="77777777" w:rsidR="00C616C2" w:rsidRDefault="00C616C2">
      <w:r>
        <w:rPr>
          <w:rFonts w:ascii="Calibri" w:hAnsi="Calibri" w:cs="Calibri"/>
          <w:sz w:val="22"/>
          <w:szCs w:val="22"/>
        </w:rPr>
        <w:t>Spoločnosť nevytvára dlhodobý nehmotný</w:t>
      </w:r>
      <w:r>
        <w:rPr>
          <w:rFonts w:ascii="Calibri" w:hAnsi="Calibri" w:cs="Calibri"/>
          <w:b/>
          <w:sz w:val="22"/>
          <w:szCs w:val="22"/>
        </w:rPr>
        <w:t xml:space="preserve"> </w:t>
      </w:r>
      <w:r>
        <w:rPr>
          <w:rFonts w:ascii="Calibri" w:hAnsi="Calibri" w:cs="Calibri"/>
          <w:sz w:val="22"/>
          <w:szCs w:val="22"/>
        </w:rPr>
        <w:t>majetok vlastnou činnosťou.</w:t>
      </w:r>
    </w:p>
    <w:p w14:paraId="15B53701" w14:textId="77777777" w:rsidR="00C616C2" w:rsidRDefault="00C616C2">
      <w:pPr>
        <w:rPr>
          <w:rFonts w:ascii="Calibri" w:hAnsi="Calibri" w:cs="Calibri"/>
          <w:b/>
          <w:sz w:val="22"/>
          <w:szCs w:val="22"/>
        </w:rPr>
      </w:pPr>
    </w:p>
    <w:p w14:paraId="640BD0A4" w14:textId="77777777" w:rsidR="00C616C2" w:rsidRDefault="00C616C2">
      <w:pPr>
        <w:numPr>
          <w:ilvl w:val="0"/>
          <w:numId w:val="10"/>
        </w:numPr>
      </w:pPr>
      <w:r>
        <w:rPr>
          <w:rFonts w:ascii="Calibri" w:hAnsi="Calibri" w:cs="Calibri"/>
          <w:b/>
          <w:sz w:val="22"/>
          <w:szCs w:val="22"/>
        </w:rPr>
        <w:t>Dlhodobý nehmotný majetok obstaraný iným spôsobom</w:t>
      </w:r>
    </w:p>
    <w:p w14:paraId="34501505" w14:textId="77777777" w:rsidR="00C616C2" w:rsidRDefault="00C616C2">
      <w:pPr>
        <w:rPr>
          <w:rFonts w:ascii="Calibri" w:hAnsi="Calibri" w:cs="Calibri"/>
          <w:b/>
          <w:sz w:val="22"/>
          <w:szCs w:val="22"/>
        </w:rPr>
      </w:pPr>
    </w:p>
    <w:p w14:paraId="7F433ACD" w14:textId="77777777" w:rsidR="00C616C2" w:rsidRDefault="00C616C2">
      <w:r>
        <w:rPr>
          <w:rFonts w:ascii="Calibri" w:hAnsi="Calibri" w:cs="Calibri"/>
          <w:sz w:val="22"/>
          <w:szCs w:val="22"/>
        </w:rPr>
        <w:t>Spoločnosť neeviduje dlhodobý nehmotný</w:t>
      </w:r>
      <w:r>
        <w:rPr>
          <w:rFonts w:ascii="Calibri" w:hAnsi="Calibri" w:cs="Calibri"/>
          <w:b/>
          <w:sz w:val="22"/>
          <w:szCs w:val="22"/>
        </w:rPr>
        <w:t xml:space="preserve"> </w:t>
      </w:r>
      <w:r>
        <w:rPr>
          <w:rFonts w:ascii="Calibri" w:hAnsi="Calibri" w:cs="Calibri"/>
          <w:sz w:val="22"/>
          <w:szCs w:val="22"/>
        </w:rPr>
        <w:t>majetok obstaraný iným spôsobom.</w:t>
      </w:r>
    </w:p>
    <w:p w14:paraId="5133D072" w14:textId="77777777" w:rsidR="00C616C2" w:rsidRDefault="00C616C2">
      <w:pPr>
        <w:rPr>
          <w:rFonts w:ascii="Calibri" w:hAnsi="Calibri" w:cs="Calibri"/>
          <w:b/>
          <w:sz w:val="22"/>
          <w:szCs w:val="22"/>
        </w:rPr>
      </w:pPr>
    </w:p>
    <w:p w14:paraId="4BD07690" w14:textId="77777777" w:rsidR="00C616C2" w:rsidRDefault="00C616C2">
      <w:pPr>
        <w:numPr>
          <w:ilvl w:val="0"/>
          <w:numId w:val="10"/>
        </w:numPr>
      </w:pPr>
      <w:r>
        <w:rPr>
          <w:rFonts w:ascii="Calibri" w:hAnsi="Calibri" w:cs="Calibri"/>
          <w:b/>
          <w:sz w:val="22"/>
          <w:szCs w:val="22"/>
        </w:rPr>
        <w:t>Dlhodobý hmotný majetok obstaraný kúpou</w:t>
      </w:r>
    </w:p>
    <w:p w14:paraId="1761414A" w14:textId="77777777" w:rsidR="00C616C2" w:rsidRDefault="00C616C2">
      <w:pPr>
        <w:rPr>
          <w:rFonts w:ascii="Calibri" w:hAnsi="Calibri" w:cs="Calibri"/>
          <w:b/>
          <w:sz w:val="22"/>
          <w:szCs w:val="22"/>
        </w:rPr>
      </w:pPr>
    </w:p>
    <w:p w14:paraId="09127899" w14:textId="77777777" w:rsidR="00C616C2" w:rsidRDefault="00C616C2">
      <w:r>
        <w:rPr>
          <w:rFonts w:ascii="Calibri" w:hAnsi="Calibri" w:cs="Calibri"/>
          <w:sz w:val="22"/>
          <w:szCs w:val="22"/>
        </w:rPr>
        <w:t>Dlhodobý hmotný majetok bol v účtovníctve ocenený v obstarávacej cene. Obstarávacia cena obsahuje cenu obstarania majetku a náklady súvisiace s obstaraním, ako napríklad náklady na dopravu, poštovné, clo, províziu.</w:t>
      </w:r>
    </w:p>
    <w:p w14:paraId="24A9285A" w14:textId="77777777" w:rsidR="00C616C2" w:rsidRDefault="00C616C2">
      <w:pPr>
        <w:pStyle w:val="Hlavika"/>
        <w:tabs>
          <w:tab w:val="clear" w:pos="4536"/>
          <w:tab w:val="clear" w:pos="9072"/>
        </w:tabs>
        <w:rPr>
          <w:rFonts w:ascii="Calibri" w:hAnsi="Calibri" w:cs="Calibri"/>
          <w:sz w:val="22"/>
          <w:szCs w:val="22"/>
        </w:rPr>
      </w:pPr>
    </w:p>
    <w:p w14:paraId="087DC2F7" w14:textId="77777777" w:rsidR="00C616C2" w:rsidRDefault="00C616C2">
      <w:r>
        <w:rPr>
          <w:rFonts w:ascii="Calibri" w:hAnsi="Calibri" w:cs="Calibri"/>
          <w:sz w:val="22"/>
          <w:szCs w:val="22"/>
        </w:rPr>
        <w:t>Náklady na rozšírenie, modernizáciu a rekonštrukciu, vedúce k zvýšeniu výkonnosti, kapacity alebo účinnosti v úhrnnej hodnote viac ako 1 700 EUR pri jednotlivom majetku za bežné účtovné obdobie, zvyšujú obstarávaciu cenu dlhodobého hmotného majetku. Náklady na technické zhodnotenie v úhrnnej hodnote 1 700 EUR a menej pri jednotlivom majetku za bežné účtovné obdobie, zvyšujú obstarávaciu cenu dlhodobého hmotného majetku. Náklady na prevádzku, údržbu a opravy sa účtujú do nákladov bežného účtovného obdobia.</w:t>
      </w:r>
    </w:p>
    <w:p w14:paraId="5BAD2F08" w14:textId="77777777" w:rsidR="00C616C2" w:rsidRDefault="00C616C2">
      <w:pPr>
        <w:pStyle w:val="Hlavika"/>
        <w:tabs>
          <w:tab w:val="clear" w:pos="4536"/>
          <w:tab w:val="clear" w:pos="9072"/>
        </w:tabs>
        <w:rPr>
          <w:rFonts w:ascii="Calibri" w:hAnsi="Calibri" w:cs="Calibri"/>
          <w:sz w:val="22"/>
          <w:szCs w:val="22"/>
        </w:rPr>
      </w:pPr>
    </w:p>
    <w:p w14:paraId="1DF233AE" w14:textId="77777777" w:rsidR="00C616C2" w:rsidRDefault="00C616C2">
      <w:r>
        <w:rPr>
          <w:rFonts w:ascii="Calibri" w:hAnsi="Calibri" w:cs="Calibri"/>
          <w:sz w:val="22"/>
          <w:szCs w:val="22"/>
        </w:rPr>
        <w:t>Dlhodobý hmotný majetok do výšky 1 700 EUR je prevažne zaradený ako dlhodobý hmotný majetok a odpisovaný v zmysle vnútropodnikovej smernice.</w:t>
      </w:r>
    </w:p>
    <w:p w14:paraId="6FB551A8" w14:textId="77777777" w:rsidR="00C616C2" w:rsidRDefault="00C616C2">
      <w:pPr>
        <w:pStyle w:val="Hlavika"/>
        <w:tabs>
          <w:tab w:val="clear" w:pos="4536"/>
          <w:tab w:val="clear" w:pos="9072"/>
        </w:tabs>
        <w:rPr>
          <w:rFonts w:ascii="Calibri" w:hAnsi="Calibri" w:cs="Calibri"/>
          <w:sz w:val="22"/>
          <w:szCs w:val="22"/>
        </w:rPr>
      </w:pPr>
    </w:p>
    <w:p w14:paraId="1A0A83C2" w14:textId="77777777" w:rsidR="00C616C2" w:rsidRDefault="00C616C2">
      <w:pPr>
        <w:numPr>
          <w:ilvl w:val="0"/>
          <w:numId w:val="10"/>
        </w:numPr>
      </w:pPr>
      <w:r>
        <w:rPr>
          <w:rFonts w:ascii="Calibri" w:hAnsi="Calibri" w:cs="Calibri"/>
          <w:b/>
          <w:sz w:val="22"/>
          <w:szCs w:val="22"/>
        </w:rPr>
        <w:t>Dlhodobý hmotný majetok obstaraný vlastnou činnosťou</w:t>
      </w:r>
    </w:p>
    <w:p w14:paraId="206D6858" w14:textId="77777777" w:rsidR="00C616C2" w:rsidRDefault="00C616C2">
      <w:pPr>
        <w:rPr>
          <w:rFonts w:ascii="Calibri" w:hAnsi="Calibri" w:cs="Calibri"/>
          <w:b/>
          <w:sz w:val="22"/>
          <w:szCs w:val="22"/>
        </w:rPr>
      </w:pPr>
    </w:p>
    <w:p w14:paraId="2048BAA8" w14:textId="77777777" w:rsidR="00C616C2" w:rsidRDefault="00C616C2">
      <w:r>
        <w:rPr>
          <w:rFonts w:ascii="Calibri" w:hAnsi="Calibri" w:cs="Calibri"/>
          <w:sz w:val="22"/>
          <w:szCs w:val="22"/>
        </w:rPr>
        <w:t>Spoločnosť nevytvára dlhodobý hmotný majetok vlastnou činnosťou.</w:t>
      </w:r>
    </w:p>
    <w:p w14:paraId="212D8BD6" w14:textId="77777777" w:rsidR="00C616C2" w:rsidRDefault="00C616C2">
      <w:pPr>
        <w:rPr>
          <w:rFonts w:ascii="Calibri" w:hAnsi="Calibri" w:cs="Calibri"/>
          <w:sz w:val="22"/>
          <w:szCs w:val="22"/>
        </w:rPr>
      </w:pPr>
    </w:p>
    <w:p w14:paraId="6B5A4B2F" w14:textId="77777777" w:rsidR="00C616C2" w:rsidRDefault="00C616C2">
      <w:pPr>
        <w:numPr>
          <w:ilvl w:val="0"/>
          <w:numId w:val="10"/>
        </w:numPr>
      </w:pPr>
      <w:r>
        <w:rPr>
          <w:rFonts w:ascii="Calibri" w:hAnsi="Calibri" w:cs="Calibri"/>
          <w:b/>
          <w:sz w:val="22"/>
          <w:szCs w:val="22"/>
        </w:rPr>
        <w:t>Dlhodobý hmotný majetok obstaraný iným spôsobom</w:t>
      </w:r>
    </w:p>
    <w:p w14:paraId="02033DFE" w14:textId="77777777" w:rsidR="00C616C2" w:rsidRDefault="00C616C2">
      <w:pPr>
        <w:rPr>
          <w:rFonts w:ascii="Calibri" w:hAnsi="Calibri" w:cs="Calibri"/>
          <w:b/>
          <w:sz w:val="22"/>
          <w:szCs w:val="22"/>
        </w:rPr>
      </w:pPr>
    </w:p>
    <w:p w14:paraId="516DECC0" w14:textId="77777777" w:rsidR="00C616C2" w:rsidRDefault="00C616C2">
      <w:r>
        <w:rPr>
          <w:rFonts w:ascii="Calibri" w:hAnsi="Calibri" w:cs="Calibri"/>
          <w:sz w:val="22"/>
          <w:szCs w:val="22"/>
        </w:rPr>
        <w:lastRenderedPageBreak/>
        <w:t>Spoločnosť neeviduje dlhodobý hmotný</w:t>
      </w:r>
      <w:r>
        <w:rPr>
          <w:rFonts w:ascii="Calibri" w:hAnsi="Calibri" w:cs="Calibri"/>
          <w:b/>
          <w:sz w:val="22"/>
          <w:szCs w:val="22"/>
        </w:rPr>
        <w:t xml:space="preserve"> </w:t>
      </w:r>
      <w:r>
        <w:rPr>
          <w:rFonts w:ascii="Calibri" w:hAnsi="Calibri" w:cs="Calibri"/>
          <w:sz w:val="22"/>
          <w:szCs w:val="22"/>
        </w:rPr>
        <w:t>majetok obstaraný iným spôsobom.</w:t>
      </w:r>
    </w:p>
    <w:p w14:paraId="0120536E" w14:textId="77777777" w:rsidR="00C616C2" w:rsidRDefault="00C616C2">
      <w:pPr>
        <w:pStyle w:val="Hlavika"/>
        <w:tabs>
          <w:tab w:val="clear" w:pos="4536"/>
          <w:tab w:val="clear" w:pos="9072"/>
        </w:tabs>
        <w:rPr>
          <w:rFonts w:ascii="Calibri" w:hAnsi="Calibri" w:cs="Calibri"/>
          <w:sz w:val="22"/>
          <w:szCs w:val="22"/>
        </w:rPr>
      </w:pPr>
    </w:p>
    <w:p w14:paraId="502D46A0" w14:textId="77777777" w:rsidR="00C616C2" w:rsidRDefault="00C616C2">
      <w:pPr>
        <w:numPr>
          <w:ilvl w:val="0"/>
          <w:numId w:val="10"/>
        </w:numPr>
      </w:pPr>
      <w:r>
        <w:rPr>
          <w:rFonts w:ascii="Calibri" w:hAnsi="Calibri" w:cs="Calibri"/>
          <w:b/>
          <w:sz w:val="22"/>
          <w:szCs w:val="22"/>
        </w:rPr>
        <w:t>Dlhodobý finančný majetok</w:t>
      </w:r>
    </w:p>
    <w:p w14:paraId="73FB53A5" w14:textId="77777777" w:rsidR="00C616C2" w:rsidRDefault="00C616C2">
      <w:pPr>
        <w:rPr>
          <w:rFonts w:ascii="Calibri" w:hAnsi="Calibri" w:cs="Calibri"/>
          <w:b/>
          <w:sz w:val="22"/>
          <w:szCs w:val="22"/>
        </w:rPr>
      </w:pPr>
    </w:p>
    <w:p w14:paraId="0BC4DF59" w14:textId="77777777" w:rsidR="00C616C2" w:rsidRDefault="00C616C2">
      <w:r>
        <w:rPr>
          <w:rFonts w:ascii="Calibri" w:hAnsi="Calibri" w:cs="Calibri"/>
          <w:sz w:val="22"/>
          <w:szCs w:val="22"/>
        </w:rPr>
        <w:t>Finančný majetok je klasifikovaný ako dlhodobý finančný majetok, ak je jeho doba splatnosti alebo vyrovnania iným spôsobom dlhšia ako 1 rok.</w:t>
      </w:r>
      <w:r>
        <w:rPr>
          <w:rFonts w:ascii="Calibri" w:hAnsi="Calibri" w:cs="Calibri"/>
          <w:color w:val="0000FF"/>
          <w:sz w:val="22"/>
          <w:szCs w:val="22"/>
        </w:rPr>
        <w:t xml:space="preserve"> </w:t>
      </w:r>
      <w:r>
        <w:rPr>
          <w:rFonts w:ascii="Calibri" w:hAnsi="Calibri" w:cs="Calibri"/>
          <w:sz w:val="22"/>
          <w:szCs w:val="22"/>
        </w:rPr>
        <w:t>Dlhodobý finančný majetok, ktorý predstavuje podiel na základnom imaní vo výške viac než 50 %, je klasifikovaný ako podielové cenné papiere a podiely v ovládanej osobe, pokiaľ ide o podiel väčší ako 20 % ako podielové cenné papiere a podiely v spoločnosti s podstatným vplyvom. Ostatné podielové cenné papiere a podiely a dlhové cenné papiere, ktoré nie sú cennými papiermi držanými do splatnosti, sú klasifikované ako realizovateľné cenné papiere a podiely.</w:t>
      </w:r>
    </w:p>
    <w:p w14:paraId="1AB91D4B" w14:textId="77777777" w:rsidR="00C616C2" w:rsidRDefault="00C616C2">
      <w:pPr>
        <w:rPr>
          <w:rFonts w:ascii="Calibri" w:hAnsi="Calibri" w:cs="Calibri"/>
          <w:sz w:val="22"/>
          <w:szCs w:val="22"/>
        </w:rPr>
      </w:pPr>
    </w:p>
    <w:p w14:paraId="4AA5966B" w14:textId="77777777" w:rsidR="00C616C2" w:rsidRDefault="00C616C2">
      <w:r>
        <w:rPr>
          <w:rFonts w:ascii="Calibri" w:hAnsi="Calibri" w:cs="Calibri"/>
          <w:sz w:val="22"/>
          <w:szCs w:val="22"/>
        </w:rPr>
        <w:t>Podiely v dcérskych účtovných jednotkách alebo v účtovnej jednotke s podielovou účasťou sa oceňujú metódou vlastného imania.</w:t>
      </w:r>
    </w:p>
    <w:p w14:paraId="4D886E59" w14:textId="77777777" w:rsidR="00C616C2" w:rsidRDefault="00C616C2">
      <w:pPr>
        <w:rPr>
          <w:rFonts w:ascii="Calibri" w:hAnsi="Calibri" w:cs="Calibri"/>
          <w:sz w:val="22"/>
          <w:szCs w:val="22"/>
        </w:rPr>
      </w:pPr>
    </w:p>
    <w:p w14:paraId="05FE2041" w14:textId="77777777" w:rsidR="00C616C2" w:rsidRDefault="00C616C2">
      <w:r>
        <w:rPr>
          <w:rFonts w:ascii="Calibri" w:hAnsi="Calibri" w:cs="Calibri"/>
          <w:sz w:val="22"/>
          <w:szCs w:val="22"/>
        </w:rPr>
        <w:t xml:space="preserve">Dlhodobý finančný majetok je evidovaný v obstarávacej cene. Obstarávacia cena obsahuje cenu obstarania majetku a náklady súvisiace s obstaraním. </w:t>
      </w:r>
    </w:p>
    <w:p w14:paraId="012821E1" w14:textId="77777777" w:rsidR="00C616C2" w:rsidRDefault="00C616C2">
      <w:pPr>
        <w:rPr>
          <w:rFonts w:ascii="Calibri" w:hAnsi="Calibri" w:cs="Calibri"/>
          <w:sz w:val="22"/>
          <w:szCs w:val="22"/>
        </w:rPr>
      </w:pPr>
    </w:p>
    <w:p w14:paraId="7BA8540E" w14:textId="77777777" w:rsidR="00C616C2" w:rsidRDefault="00C616C2">
      <w:pPr>
        <w:pStyle w:val="Hlavika"/>
        <w:tabs>
          <w:tab w:val="clear" w:pos="4536"/>
          <w:tab w:val="clear" w:pos="9072"/>
        </w:tabs>
      </w:pPr>
      <w:r>
        <w:rPr>
          <w:rFonts w:ascii="Calibri" w:hAnsi="Calibri" w:cs="Calibri"/>
          <w:sz w:val="22"/>
          <w:szCs w:val="22"/>
        </w:rPr>
        <w:t>Pôžičky poskytnuté podnikom v skupine alebo ostatné pôžičky s pôvodnou dobou splatnosti dlhšou než jeden rok, sú evidované v menovitej hodnote, ktorá je upravená opravnou položkou o mieru ich nedobytnosti. Ak je zostatková doba splatnosti pohľadávky dlhšia ako 1 rok, upravuje sa opravnou položkou na jej hodnotu v čase účtovania a vykazovania (súčasná hodnota).</w:t>
      </w:r>
    </w:p>
    <w:p w14:paraId="03AD9A72" w14:textId="77777777" w:rsidR="00C616C2" w:rsidRDefault="00C616C2">
      <w:pPr>
        <w:pStyle w:val="Hlavika"/>
        <w:tabs>
          <w:tab w:val="clear" w:pos="4536"/>
          <w:tab w:val="clear" w:pos="9072"/>
        </w:tabs>
        <w:rPr>
          <w:rFonts w:ascii="Calibri" w:hAnsi="Calibri" w:cs="Calibri"/>
          <w:sz w:val="22"/>
          <w:szCs w:val="22"/>
        </w:rPr>
      </w:pPr>
    </w:p>
    <w:p w14:paraId="360AC215" w14:textId="77777777" w:rsidR="00C616C2" w:rsidRDefault="00C616C2">
      <w:pPr>
        <w:numPr>
          <w:ilvl w:val="0"/>
          <w:numId w:val="4"/>
        </w:numPr>
      </w:pPr>
      <w:r>
        <w:rPr>
          <w:rFonts w:ascii="Calibri" w:hAnsi="Calibri" w:cs="Calibri"/>
          <w:b/>
          <w:sz w:val="22"/>
          <w:szCs w:val="22"/>
        </w:rPr>
        <w:t>Zásoby obstarané kúpou</w:t>
      </w:r>
    </w:p>
    <w:p w14:paraId="55C48215" w14:textId="77777777" w:rsidR="00C616C2" w:rsidRDefault="00C616C2">
      <w:pPr>
        <w:rPr>
          <w:rFonts w:ascii="Calibri" w:hAnsi="Calibri" w:cs="Calibri"/>
          <w:b/>
          <w:sz w:val="22"/>
          <w:szCs w:val="22"/>
        </w:rPr>
      </w:pPr>
    </w:p>
    <w:p w14:paraId="6EBF5364" w14:textId="77777777" w:rsidR="00C616C2" w:rsidRDefault="00C616C2">
      <w:r>
        <w:rPr>
          <w:rFonts w:ascii="Calibri" w:hAnsi="Calibri" w:cs="Calibri"/>
          <w:sz w:val="22"/>
          <w:szCs w:val="22"/>
        </w:rPr>
        <w:t>Zásoby spoločnosti sú ocenené obstarávacími cenami, ktorých súčasťou je cena obstarania a náklady súvisiace s obstaraním. Náklady súvisiace s obstaraním predstavovali prepravné, clo, balné, a pod.</w:t>
      </w:r>
    </w:p>
    <w:p w14:paraId="3CEF1585" w14:textId="77777777" w:rsidR="00C616C2" w:rsidRDefault="00C616C2">
      <w:pPr>
        <w:rPr>
          <w:rFonts w:ascii="Calibri" w:hAnsi="Calibri" w:cs="Calibri"/>
          <w:sz w:val="22"/>
          <w:szCs w:val="22"/>
        </w:rPr>
      </w:pPr>
    </w:p>
    <w:p w14:paraId="3B196243" w14:textId="77777777" w:rsidR="00C616C2" w:rsidRDefault="00C616C2">
      <w:pPr>
        <w:pStyle w:val="Zkladntext"/>
      </w:pPr>
      <w:r>
        <w:rPr>
          <w:rFonts w:ascii="Calibri" w:hAnsi="Calibri" w:cs="Calibri"/>
          <w:sz w:val="22"/>
          <w:szCs w:val="22"/>
        </w:rPr>
        <w:t xml:space="preserve">Spoločnosť účtuje o obstaraní a úbytku zásob podľa </w:t>
      </w:r>
      <w:r>
        <w:rPr>
          <w:rFonts w:ascii="Calibri" w:hAnsi="Calibri" w:cs="Calibri"/>
          <w:color w:val="000000"/>
          <w:sz w:val="22"/>
          <w:szCs w:val="22"/>
        </w:rPr>
        <w:t>spôsobu A</w:t>
      </w:r>
      <w:r>
        <w:rPr>
          <w:rFonts w:ascii="Calibri" w:hAnsi="Calibri" w:cs="Calibri"/>
          <w:sz w:val="22"/>
          <w:szCs w:val="22"/>
        </w:rPr>
        <w:t>.</w:t>
      </w:r>
    </w:p>
    <w:p w14:paraId="57DB811A" w14:textId="77777777" w:rsidR="00C616C2" w:rsidRDefault="00C616C2">
      <w:pPr>
        <w:pStyle w:val="Zkladntext"/>
        <w:rPr>
          <w:rFonts w:ascii="Calibri" w:hAnsi="Calibri" w:cs="Calibri"/>
          <w:sz w:val="22"/>
          <w:szCs w:val="22"/>
        </w:rPr>
      </w:pPr>
    </w:p>
    <w:p w14:paraId="1AF49757" w14:textId="77777777" w:rsidR="00C616C2" w:rsidRDefault="00C616C2">
      <w:pPr>
        <w:pStyle w:val="Zkladntext"/>
      </w:pPr>
      <w:r>
        <w:rPr>
          <w:rFonts w:ascii="Calibri" w:hAnsi="Calibri" w:cs="Calibri"/>
          <w:sz w:val="22"/>
          <w:szCs w:val="22"/>
        </w:rPr>
        <w:t>Pri vyskladnení zásob sa používa metóda váženého aritmetického priemeru.</w:t>
      </w:r>
    </w:p>
    <w:p w14:paraId="345EB6BA" w14:textId="77777777" w:rsidR="00C616C2" w:rsidRDefault="00C616C2">
      <w:pPr>
        <w:rPr>
          <w:rFonts w:ascii="Calibri" w:hAnsi="Calibri" w:cs="Calibri"/>
          <w:b/>
          <w:sz w:val="22"/>
          <w:szCs w:val="22"/>
        </w:rPr>
      </w:pPr>
    </w:p>
    <w:p w14:paraId="3094DA68" w14:textId="77777777" w:rsidR="00C616C2" w:rsidRDefault="00C616C2">
      <w:pPr>
        <w:numPr>
          <w:ilvl w:val="0"/>
          <w:numId w:val="4"/>
        </w:numPr>
      </w:pPr>
      <w:r>
        <w:rPr>
          <w:rFonts w:ascii="Calibri" w:hAnsi="Calibri" w:cs="Calibri"/>
          <w:b/>
          <w:sz w:val="22"/>
          <w:szCs w:val="22"/>
        </w:rPr>
        <w:t>Zásoby vytvorené vlastnou činnosťou</w:t>
      </w:r>
    </w:p>
    <w:p w14:paraId="598BA3A4" w14:textId="77777777" w:rsidR="00C616C2" w:rsidRDefault="00C616C2">
      <w:pPr>
        <w:rPr>
          <w:rFonts w:ascii="Calibri" w:hAnsi="Calibri" w:cs="Calibri"/>
          <w:b/>
          <w:sz w:val="22"/>
          <w:szCs w:val="22"/>
        </w:rPr>
      </w:pPr>
    </w:p>
    <w:p w14:paraId="5D11BEF1" w14:textId="77777777" w:rsidR="00C616C2" w:rsidRDefault="00C616C2">
      <w:r>
        <w:rPr>
          <w:rFonts w:ascii="Calibri" w:hAnsi="Calibri" w:cs="Calibri"/>
          <w:sz w:val="22"/>
          <w:szCs w:val="22"/>
        </w:rPr>
        <w:t>Spoločnosť neúčtovala o zásobách vytvorených vlastnou činnosťou.</w:t>
      </w:r>
    </w:p>
    <w:p w14:paraId="0CD700C4" w14:textId="77777777" w:rsidR="00C616C2" w:rsidRDefault="00C616C2">
      <w:pPr>
        <w:rPr>
          <w:rFonts w:ascii="Calibri" w:hAnsi="Calibri" w:cs="Calibri"/>
          <w:sz w:val="22"/>
          <w:szCs w:val="22"/>
        </w:rPr>
      </w:pPr>
    </w:p>
    <w:p w14:paraId="2F45112F" w14:textId="77777777" w:rsidR="00C616C2" w:rsidRDefault="00C616C2">
      <w:pPr>
        <w:numPr>
          <w:ilvl w:val="0"/>
          <w:numId w:val="4"/>
        </w:numPr>
      </w:pPr>
      <w:r>
        <w:rPr>
          <w:rFonts w:ascii="Calibri" w:hAnsi="Calibri" w:cs="Calibri"/>
          <w:b/>
          <w:sz w:val="22"/>
          <w:szCs w:val="22"/>
        </w:rPr>
        <w:t>Zásoby obstarané iným spôsobom</w:t>
      </w:r>
    </w:p>
    <w:p w14:paraId="07B0F179" w14:textId="77777777" w:rsidR="00C616C2" w:rsidRDefault="00C616C2">
      <w:pPr>
        <w:rPr>
          <w:rFonts w:ascii="Calibri" w:hAnsi="Calibri" w:cs="Calibri"/>
          <w:b/>
          <w:sz w:val="22"/>
          <w:szCs w:val="22"/>
        </w:rPr>
      </w:pPr>
    </w:p>
    <w:p w14:paraId="2A2C67AE" w14:textId="77777777" w:rsidR="00C616C2" w:rsidRDefault="00C616C2">
      <w:r>
        <w:rPr>
          <w:rFonts w:ascii="Calibri" w:hAnsi="Calibri" w:cs="Calibri"/>
          <w:sz w:val="22"/>
          <w:szCs w:val="22"/>
        </w:rPr>
        <w:t>Spoločnosť neeviduje zásoby obstarané iným spôsobom.</w:t>
      </w:r>
    </w:p>
    <w:p w14:paraId="049244F2" w14:textId="77777777" w:rsidR="00C616C2" w:rsidRDefault="00C616C2">
      <w:pPr>
        <w:rPr>
          <w:rFonts w:ascii="Calibri" w:hAnsi="Calibri" w:cs="Calibri"/>
          <w:sz w:val="22"/>
          <w:szCs w:val="22"/>
        </w:rPr>
      </w:pPr>
    </w:p>
    <w:p w14:paraId="7A6BBD5F" w14:textId="77777777" w:rsidR="00C616C2" w:rsidRDefault="00C616C2">
      <w:pPr>
        <w:numPr>
          <w:ilvl w:val="0"/>
          <w:numId w:val="4"/>
        </w:numPr>
      </w:pPr>
      <w:r>
        <w:rPr>
          <w:rFonts w:ascii="Calibri" w:hAnsi="Calibri" w:cs="Calibri"/>
          <w:b/>
          <w:sz w:val="22"/>
          <w:szCs w:val="22"/>
        </w:rPr>
        <w:t>Zákazková výroba a zákazková výstavba nehnuteľnosti určenej na predaj.</w:t>
      </w:r>
    </w:p>
    <w:p w14:paraId="124CCDF7" w14:textId="77777777" w:rsidR="00C616C2" w:rsidRDefault="00C616C2">
      <w:pPr>
        <w:rPr>
          <w:rFonts w:ascii="Calibri" w:hAnsi="Calibri" w:cs="Calibri"/>
          <w:b/>
          <w:sz w:val="22"/>
          <w:szCs w:val="22"/>
        </w:rPr>
      </w:pPr>
    </w:p>
    <w:p w14:paraId="2786384D" w14:textId="77777777" w:rsidR="00C616C2" w:rsidRDefault="00C616C2">
      <w:r>
        <w:rPr>
          <w:rFonts w:ascii="Calibri" w:hAnsi="Calibri" w:cs="Calibri"/>
          <w:color w:val="000000"/>
          <w:sz w:val="22"/>
          <w:szCs w:val="22"/>
        </w:rPr>
        <w:t>Spoločnosť neúčtuje o zákazkovej výrobe.</w:t>
      </w:r>
    </w:p>
    <w:p w14:paraId="632AA4F5" w14:textId="77777777" w:rsidR="00C616C2" w:rsidRDefault="00C616C2">
      <w:pPr>
        <w:rPr>
          <w:rFonts w:ascii="Calibri" w:hAnsi="Calibri" w:cs="Calibri"/>
          <w:color w:val="000000"/>
          <w:sz w:val="22"/>
          <w:szCs w:val="22"/>
        </w:rPr>
      </w:pPr>
    </w:p>
    <w:p w14:paraId="760733AD" w14:textId="77777777" w:rsidR="00C616C2" w:rsidRDefault="00C616C2">
      <w:pPr>
        <w:numPr>
          <w:ilvl w:val="0"/>
          <w:numId w:val="4"/>
        </w:numPr>
      </w:pPr>
      <w:r>
        <w:rPr>
          <w:rFonts w:ascii="Calibri" w:eastAsia="Calibri" w:hAnsi="Calibri" w:cs="Calibri"/>
          <w:b/>
          <w:sz w:val="22"/>
          <w:szCs w:val="22"/>
        </w:rPr>
        <w:t xml:space="preserve"> </w:t>
      </w:r>
      <w:r>
        <w:rPr>
          <w:rFonts w:ascii="Calibri" w:hAnsi="Calibri" w:cs="Calibri"/>
          <w:b/>
          <w:sz w:val="22"/>
          <w:szCs w:val="22"/>
        </w:rPr>
        <w:t>Pohľadávky</w:t>
      </w:r>
    </w:p>
    <w:p w14:paraId="0D566A8A" w14:textId="77777777" w:rsidR="00C616C2" w:rsidRDefault="00C616C2">
      <w:pPr>
        <w:rPr>
          <w:rFonts w:ascii="Calibri" w:hAnsi="Calibri" w:cs="Calibri"/>
          <w:b/>
          <w:sz w:val="22"/>
          <w:szCs w:val="22"/>
        </w:rPr>
      </w:pPr>
    </w:p>
    <w:p w14:paraId="4741D8D2" w14:textId="77777777" w:rsidR="00C616C2" w:rsidRDefault="00C616C2">
      <w:r>
        <w:rPr>
          <w:rFonts w:ascii="Calibri" w:hAnsi="Calibri" w:cs="Calibri"/>
          <w:sz w:val="22"/>
          <w:szCs w:val="22"/>
        </w:rPr>
        <w:t>Pohľadávky sú v účtovníctve ocenené ich menovitou hodnotou. V prípade pochybných a sporných pohľadávok spoločnosť vytvára adekvátnu</w:t>
      </w:r>
      <w:r>
        <w:rPr>
          <w:rFonts w:ascii="Calibri" w:hAnsi="Calibri" w:cs="Calibri"/>
          <w:b/>
          <w:sz w:val="22"/>
          <w:szCs w:val="22"/>
        </w:rPr>
        <w:t xml:space="preserve"> </w:t>
      </w:r>
      <w:r>
        <w:rPr>
          <w:rFonts w:ascii="Calibri" w:hAnsi="Calibri" w:cs="Calibri"/>
          <w:sz w:val="22"/>
          <w:szCs w:val="22"/>
        </w:rPr>
        <w:t>opravnú položku k pohľadávkam.</w:t>
      </w:r>
    </w:p>
    <w:p w14:paraId="4427BBF7" w14:textId="77777777" w:rsidR="00C616C2" w:rsidRDefault="00C616C2">
      <w:pPr>
        <w:rPr>
          <w:rFonts w:ascii="Calibri" w:hAnsi="Calibri" w:cs="Calibri"/>
          <w:sz w:val="22"/>
          <w:szCs w:val="22"/>
        </w:rPr>
      </w:pPr>
    </w:p>
    <w:p w14:paraId="4362DE1A" w14:textId="77777777" w:rsidR="00C616C2" w:rsidRDefault="00C616C2">
      <w:r>
        <w:rPr>
          <w:rFonts w:ascii="Calibri" w:hAnsi="Calibri" w:cs="Calibri"/>
          <w:sz w:val="22"/>
          <w:szCs w:val="22"/>
        </w:rPr>
        <w:lastRenderedPageBreak/>
        <w:t>Pri dlhodobých pohľadávkach je opravnou položkou upravená hodnota pohľadávky na jej hodnotu v čase účtovania a vykazovania (súčasná hodnota).</w:t>
      </w:r>
    </w:p>
    <w:p w14:paraId="42EF7073" w14:textId="77777777" w:rsidR="00C616C2" w:rsidRDefault="00C616C2">
      <w:pPr>
        <w:rPr>
          <w:rFonts w:ascii="Calibri" w:hAnsi="Calibri" w:cs="Calibri"/>
          <w:sz w:val="22"/>
          <w:szCs w:val="22"/>
        </w:rPr>
      </w:pPr>
    </w:p>
    <w:p w14:paraId="76B9BFEB" w14:textId="77777777" w:rsidR="00C616C2" w:rsidRDefault="00C616C2">
      <w:pPr>
        <w:numPr>
          <w:ilvl w:val="0"/>
          <w:numId w:val="4"/>
        </w:numPr>
      </w:pPr>
      <w:r>
        <w:rPr>
          <w:rFonts w:ascii="Calibri" w:hAnsi="Calibri" w:cs="Calibri"/>
          <w:b/>
          <w:sz w:val="22"/>
          <w:szCs w:val="22"/>
        </w:rPr>
        <w:t>Krátkodobý finančný majetok</w:t>
      </w:r>
    </w:p>
    <w:p w14:paraId="4F0499E6" w14:textId="77777777" w:rsidR="00C616C2" w:rsidRDefault="00C616C2">
      <w:pPr>
        <w:rPr>
          <w:rFonts w:ascii="Calibri" w:hAnsi="Calibri" w:cs="Calibri"/>
          <w:b/>
          <w:sz w:val="22"/>
          <w:szCs w:val="22"/>
        </w:rPr>
      </w:pPr>
    </w:p>
    <w:p w14:paraId="7E90EC62" w14:textId="77777777" w:rsidR="00C616C2" w:rsidRDefault="00C616C2">
      <w:r>
        <w:rPr>
          <w:rFonts w:ascii="Calibri" w:hAnsi="Calibri" w:cs="Calibri"/>
          <w:sz w:val="22"/>
          <w:szCs w:val="22"/>
        </w:rPr>
        <w:t>Peňažné prostriedky a ceniny sú ocenené v ich menovitej hodnote.</w:t>
      </w:r>
    </w:p>
    <w:p w14:paraId="18C97805" w14:textId="77777777" w:rsidR="00C616C2" w:rsidRDefault="00C616C2">
      <w:pPr>
        <w:rPr>
          <w:rFonts w:ascii="Calibri" w:hAnsi="Calibri" w:cs="Calibri"/>
          <w:b/>
          <w:sz w:val="22"/>
          <w:szCs w:val="22"/>
        </w:rPr>
      </w:pPr>
    </w:p>
    <w:p w14:paraId="040E1A95" w14:textId="77777777" w:rsidR="00C616C2" w:rsidRDefault="00C616C2">
      <w:pPr>
        <w:numPr>
          <w:ilvl w:val="0"/>
          <w:numId w:val="4"/>
        </w:numPr>
      </w:pPr>
      <w:r>
        <w:rPr>
          <w:rFonts w:ascii="Calibri" w:hAnsi="Calibri" w:cs="Calibri"/>
          <w:b/>
          <w:sz w:val="22"/>
          <w:szCs w:val="22"/>
        </w:rPr>
        <w:t>Časové rozlíšenie na strane aktív súvahy</w:t>
      </w:r>
    </w:p>
    <w:p w14:paraId="2C1E7389" w14:textId="77777777" w:rsidR="00C616C2" w:rsidRDefault="00C616C2">
      <w:pPr>
        <w:rPr>
          <w:rFonts w:ascii="Calibri" w:hAnsi="Calibri" w:cs="Calibri"/>
          <w:b/>
          <w:sz w:val="22"/>
          <w:szCs w:val="22"/>
        </w:rPr>
      </w:pPr>
    </w:p>
    <w:p w14:paraId="27432B75" w14:textId="77777777" w:rsidR="00C616C2" w:rsidRDefault="00C616C2">
      <w:r>
        <w:rPr>
          <w:rFonts w:ascii="Calibri" w:hAnsi="Calibri" w:cs="Calibri"/>
          <w:sz w:val="22"/>
          <w:szCs w:val="22"/>
        </w:rPr>
        <w:t>Spoločnosť účtuje na účtoch časového rozlíšenia v súlade so zásadou o účtovaní nákladov a výnosov do obdobia, s ktorým časovo a vecne súvisia</w:t>
      </w:r>
    </w:p>
    <w:p w14:paraId="56E6F56E" w14:textId="77777777" w:rsidR="00C616C2" w:rsidRDefault="00C616C2">
      <w:pPr>
        <w:rPr>
          <w:rFonts w:ascii="Calibri" w:hAnsi="Calibri" w:cs="Calibri"/>
          <w:b/>
          <w:sz w:val="22"/>
          <w:szCs w:val="22"/>
        </w:rPr>
      </w:pPr>
    </w:p>
    <w:p w14:paraId="75625333" w14:textId="77777777" w:rsidR="00C616C2" w:rsidRDefault="00C616C2">
      <w:pPr>
        <w:numPr>
          <w:ilvl w:val="0"/>
          <w:numId w:val="4"/>
        </w:numPr>
      </w:pPr>
      <w:r>
        <w:rPr>
          <w:rFonts w:ascii="Calibri" w:hAnsi="Calibri" w:cs="Calibri"/>
          <w:b/>
          <w:sz w:val="22"/>
          <w:szCs w:val="22"/>
        </w:rPr>
        <w:t>Rezervy</w:t>
      </w:r>
    </w:p>
    <w:p w14:paraId="581ECE5A" w14:textId="77777777" w:rsidR="00C616C2" w:rsidRDefault="00C616C2">
      <w:pPr>
        <w:rPr>
          <w:rFonts w:ascii="Calibri" w:hAnsi="Calibri" w:cs="Calibri"/>
          <w:b/>
          <w:sz w:val="22"/>
          <w:szCs w:val="22"/>
        </w:rPr>
      </w:pPr>
    </w:p>
    <w:p w14:paraId="30DF323B" w14:textId="77777777" w:rsidR="00C616C2" w:rsidRDefault="00C616C2">
      <w:pPr>
        <w:spacing w:after="120"/>
      </w:pPr>
      <w:r>
        <w:rPr>
          <w:rFonts w:ascii="Calibri" w:hAnsi="Calibri" w:cs="Calibri"/>
          <w:sz w:val="22"/>
          <w:szCs w:val="22"/>
        </w:rPr>
        <w:t xml:space="preserve">Spoločnosť tvorí rezervy (§26 Zákona 431/2002 </w:t>
      </w:r>
      <w:proofErr w:type="spellStart"/>
      <w:r>
        <w:rPr>
          <w:rFonts w:ascii="Calibri" w:hAnsi="Calibri" w:cs="Calibri"/>
          <w:sz w:val="22"/>
          <w:szCs w:val="22"/>
        </w:rPr>
        <w:t>Z.z</w:t>
      </w:r>
      <w:proofErr w:type="spellEnd"/>
      <w:r>
        <w:rPr>
          <w:rFonts w:ascii="Calibri" w:hAnsi="Calibri" w:cs="Calibri"/>
          <w:sz w:val="22"/>
          <w:szCs w:val="22"/>
        </w:rPr>
        <w:t>. o účtovníctve) na predpokladané riziká, straty a zníženia hodnoty súvisiace so záväzkami s neurčitým časovým vymedzením alebo výškou.</w:t>
      </w:r>
    </w:p>
    <w:p w14:paraId="7D96CB9C" w14:textId="77777777" w:rsidR="00C616C2" w:rsidRDefault="00C616C2">
      <w:pPr>
        <w:numPr>
          <w:ilvl w:val="0"/>
          <w:numId w:val="4"/>
        </w:numPr>
      </w:pPr>
      <w:r>
        <w:rPr>
          <w:rFonts w:ascii="Calibri" w:hAnsi="Calibri" w:cs="Calibri"/>
          <w:b/>
          <w:sz w:val="22"/>
          <w:szCs w:val="22"/>
        </w:rPr>
        <w:t>Dlhopisy</w:t>
      </w:r>
    </w:p>
    <w:p w14:paraId="1D0E1922" w14:textId="77777777" w:rsidR="00C616C2" w:rsidRDefault="00C616C2">
      <w:pPr>
        <w:rPr>
          <w:rFonts w:ascii="Calibri" w:hAnsi="Calibri" w:cs="Calibri"/>
          <w:b/>
          <w:sz w:val="22"/>
          <w:szCs w:val="22"/>
        </w:rPr>
      </w:pPr>
    </w:p>
    <w:p w14:paraId="40E6F1C3" w14:textId="77777777" w:rsidR="00C616C2" w:rsidRDefault="00C616C2">
      <w:r>
        <w:rPr>
          <w:rFonts w:ascii="Calibri" w:hAnsi="Calibri" w:cs="Calibri"/>
          <w:sz w:val="22"/>
          <w:szCs w:val="22"/>
        </w:rPr>
        <w:t>Spoločnosť neeviduje dlhopisy.</w:t>
      </w:r>
    </w:p>
    <w:p w14:paraId="76D59975" w14:textId="77777777" w:rsidR="00C616C2" w:rsidRDefault="00C616C2">
      <w:pPr>
        <w:rPr>
          <w:rFonts w:ascii="Calibri" w:hAnsi="Calibri" w:cs="Calibri"/>
          <w:i/>
          <w:color w:val="0000FF"/>
          <w:sz w:val="22"/>
          <w:szCs w:val="22"/>
        </w:rPr>
      </w:pPr>
    </w:p>
    <w:p w14:paraId="7B6D129D" w14:textId="77777777" w:rsidR="00C616C2" w:rsidRDefault="00C616C2">
      <w:pPr>
        <w:rPr>
          <w:rFonts w:ascii="Calibri" w:hAnsi="Calibri" w:cs="Calibri"/>
          <w:b/>
          <w:i/>
          <w:color w:val="0000FF"/>
          <w:sz w:val="22"/>
          <w:szCs w:val="22"/>
        </w:rPr>
      </w:pPr>
    </w:p>
    <w:p w14:paraId="22700DA5" w14:textId="77777777" w:rsidR="00C616C2" w:rsidRDefault="00C616C2">
      <w:pPr>
        <w:numPr>
          <w:ilvl w:val="0"/>
          <w:numId w:val="4"/>
        </w:numPr>
      </w:pPr>
      <w:r>
        <w:rPr>
          <w:rFonts w:ascii="Calibri" w:hAnsi="Calibri" w:cs="Calibri"/>
          <w:b/>
          <w:sz w:val="22"/>
          <w:szCs w:val="22"/>
        </w:rPr>
        <w:t>Záväzky</w:t>
      </w:r>
    </w:p>
    <w:p w14:paraId="3FC8291D" w14:textId="77777777" w:rsidR="00C616C2" w:rsidRDefault="00C616C2">
      <w:pPr>
        <w:rPr>
          <w:rFonts w:ascii="Calibri" w:hAnsi="Calibri" w:cs="Calibri"/>
          <w:b/>
          <w:sz w:val="22"/>
          <w:szCs w:val="22"/>
        </w:rPr>
      </w:pPr>
    </w:p>
    <w:p w14:paraId="7CDE23E2" w14:textId="77777777" w:rsidR="00C616C2" w:rsidRDefault="00C616C2">
      <w:r>
        <w:rPr>
          <w:rFonts w:ascii="Calibri" w:hAnsi="Calibri" w:cs="Calibri"/>
          <w:sz w:val="22"/>
          <w:szCs w:val="22"/>
        </w:rPr>
        <w:t>Záväzky (vrátane úverov a výpomocí) sú ocenené v ich menovitej hodnote. Ak sa pri inventarizácií záväzkov zistí, že suma záväzkov je iná ako ich výška v účtovníctve, uvedú sa záväzky v účtovníctve aj v účtovnej závierke v tomto zistenom ocenení.</w:t>
      </w:r>
    </w:p>
    <w:p w14:paraId="711399F2" w14:textId="77777777" w:rsidR="00C616C2" w:rsidRDefault="00C616C2">
      <w:pPr>
        <w:rPr>
          <w:rFonts w:ascii="Calibri" w:hAnsi="Calibri" w:cs="Calibri"/>
          <w:sz w:val="22"/>
          <w:szCs w:val="22"/>
        </w:rPr>
      </w:pPr>
    </w:p>
    <w:p w14:paraId="1805DB11" w14:textId="77777777" w:rsidR="00C616C2" w:rsidRDefault="00C616C2">
      <w:pPr>
        <w:numPr>
          <w:ilvl w:val="0"/>
          <w:numId w:val="4"/>
        </w:numPr>
      </w:pPr>
      <w:r>
        <w:rPr>
          <w:rFonts w:ascii="Calibri" w:hAnsi="Calibri" w:cs="Calibri"/>
          <w:b/>
          <w:sz w:val="22"/>
          <w:szCs w:val="22"/>
        </w:rPr>
        <w:t>Časové rozlíšenie na strane pasív súvahy</w:t>
      </w:r>
    </w:p>
    <w:p w14:paraId="33B1E249" w14:textId="77777777" w:rsidR="00C616C2" w:rsidRDefault="00C616C2">
      <w:pPr>
        <w:rPr>
          <w:rFonts w:ascii="Calibri" w:hAnsi="Calibri" w:cs="Calibri"/>
          <w:b/>
          <w:sz w:val="22"/>
          <w:szCs w:val="22"/>
        </w:rPr>
      </w:pPr>
    </w:p>
    <w:p w14:paraId="4A42CC75" w14:textId="77777777" w:rsidR="00C616C2" w:rsidRDefault="00C616C2">
      <w:r>
        <w:rPr>
          <w:rFonts w:ascii="Calibri" w:hAnsi="Calibri" w:cs="Calibri"/>
          <w:sz w:val="22"/>
          <w:szCs w:val="22"/>
        </w:rPr>
        <w:t>Spoločnosť účtuje na účtoch časového rozlíšenia v súlade so zásadou o účtovaní nákladov a výnosov do obdobia, s ktorým časovo a vecne súvisia.</w:t>
      </w:r>
    </w:p>
    <w:p w14:paraId="7FAA7858" w14:textId="77777777" w:rsidR="00C616C2" w:rsidRDefault="00C616C2">
      <w:r>
        <w:rPr>
          <w:rFonts w:ascii="Calibri" w:eastAsia="Calibri" w:hAnsi="Calibri" w:cs="Calibri"/>
          <w:sz w:val="22"/>
          <w:szCs w:val="22"/>
        </w:rPr>
        <w:t xml:space="preserve"> </w:t>
      </w:r>
    </w:p>
    <w:p w14:paraId="49D7D1FD" w14:textId="77777777" w:rsidR="00C616C2" w:rsidRDefault="00C616C2">
      <w:pPr>
        <w:numPr>
          <w:ilvl w:val="0"/>
          <w:numId w:val="4"/>
        </w:numPr>
      </w:pPr>
      <w:r>
        <w:rPr>
          <w:rFonts w:ascii="Calibri" w:hAnsi="Calibri" w:cs="Calibri"/>
          <w:b/>
          <w:sz w:val="22"/>
          <w:szCs w:val="22"/>
        </w:rPr>
        <w:t>Deriváty, majetok a záväzky zabezpečené derivátmi</w:t>
      </w:r>
    </w:p>
    <w:p w14:paraId="779FA0DC" w14:textId="77777777" w:rsidR="00C616C2" w:rsidRDefault="00C616C2">
      <w:pPr>
        <w:rPr>
          <w:rFonts w:ascii="Calibri" w:hAnsi="Calibri" w:cs="Calibri"/>
          <w:b/>
          <w:sz w:val="22"/>
          <w:szCs w:val="22"/>
        </w:rPr>
      </w:pPr>
    </w:p>
    <w:p w14:paraId="41EB22D7" w14:textId="77777777" w:rsidR="00C616C2" w:rsidRDefault="00C616C2">
      <w:r>
        <w:rPr>
          <w:rFonts w:ascii="Calibri" w:hAnsi="Calibri" w:cs="Calibri"/>
          <w:sz w:val="22"/>
          <w:szCs w:val="22"/>
        </w:rPr>
        <w:t>Spoločnosť neúčtovala v priebehu účtovného obdobia o derivátoch a tiež nemá derivátmi zabezpečený majetok alebo záväzky.</w:t>
      </w:r>
    </w:p>
    <w:p w14:paraId="74A462F3" w14:textId="77777777" w:rsidR="00C616C2" w:rsidRDefault="00C616C2">
      <w:pPr>
        <w:rPr>
          <w:rFonts w:ascii="Calibri" w:hAnsi="Calibri" w:cs="Calibri"/>
          <w:b/>
          <w:sz w:val="22"/>
          <w:szCs w:val="22"/>
        </w:rPr>
      </w:pPr>
    </w:p>
    <w:p w14:paraId="6175041A" w14:textId="77777777" w:rsidR="00C616C2" w:rsidRDefault="00C616C2">
      <w:pPr>
        <w:numPr>
          <w:ilvl w:val="0"/>
          <w:numId w:val="4"/>
        </w:numPr>
      </w:pPr>
      <w:r>
        <w:rPr>
          <w:rFonts w:ascii="Calibri" w:hAnsi="Calibri" w:cs="Calibri"/>
          <w:b/>
          <w:sz w:val="22"/>
          <w:szCs w:val="22"/>
        </w:rPr>
        <w:t>Leasing</w:t>
      </w:r>
    </w:p>
    <w:p w14:paraId="612B5526" w14:textId="77777777" w:rsidR="00C616C2" w:rsidRDefault="00C616C2">
      <w:pPr>
        <w:rPr>
          <w:rFonts w:ascii="Calibri" w:hAnsi="Calibri" w:cs="Calibri"/>
          <w:b/>
          <w:sz w:val="22"/>
          <w:szCs w:val="22"/>
        </w:rPr>
      </w:pPr>
    </w:p>
    <w:p w14:paraId="566E8EBC" w14:textId="77777777" w:rsidR="00C616C2" w:rsidRDefault="00C616C2">
      <w:r>
        <w:rPr>
          <w:rFonts w:ascii="Calibri" w:hAnsi="Calibri" w:cs="Calibri"/>
          <w:sz w:val="22"/>
          <w:szCs w:val="22"/>
        </w:rPr>
        <w:t xml:space="preserve">Spoločnosť účtuje o finančnom leasingu. </w:t>
      </w:r>
    </w:p>
    <w:p w14:paraId="6A66ACC5" w14:textId="77777777" w:rsidR="00C616C2" w:rsidRDefault="00C616C2">
      <w:pPr>
        <w:rPr>
          <w:rFonts w:ascii="Calibri" w:hAnsi="Calibri" w:cs="Calibri"/>
          <w:sz w:val="22"/>
          <w:szCs w:val="22"/>
        </w:rPr>
      </w:pPr>
    </w:p>
    <w:p w14:paraId="7FFEDFAC" w14:textId="77777777" w:rsidR="00C616C2" w:rsidRDefault="00C616C2">
      <w:pPr>
        <w:numPr>
          <w:ilvl w:val="0"/>
          <w:numId w:val="4"/>
        </w:numPr>
      </w:pPr>
      <w:r>
        <w:rPr>
          <w:rFonts w:ascii="Calibri" w:hAnsi="Calibri" w:cs="Calibri"/>
          <w:b/>
          <w:sz w:val="22"/>
          <w:szCs w:val="22"/>
        </w:rPr>
        <w:t>Daň z príjmov</w:t>
      </w:r>
    </w:p>
    <w:p w14:paraId="6FD7CF14" w14:textId="77777777" w:rsidR="00C616C2" w:rsidRDefault="00C616C2">
      <w:pPr>
        <w:rPr>
          <w:rFonts w:ascii="Calibri" w:hAnsi="Calibri" w:cs="Calibri"/>
          <w:b/>
          <w:sz w:val="22"/>
          <w:szCs w:val="22"/>
        </w:rPr>
      </w:pPr>
    </w:p>
    <w:p w14:paraId="45302D5F" w14:textId="77777777" w:rsidR="00C616C2" w:rsidRDefault="00C616C2">
      <w:r>
        <w:rPr>
          <w:rFonts w:ascii="Calibri" w:hAnsi="Calibri" w:cs="Calibri"/>
          <w:sz w:val="22"/>
          <w:szCs w:val="22"/>
        </w:rPr>
        <w:t>Splatná daň z príjmov sa vypočíta zo základu dane z príjmov a sadzby ustanovenej Zákonom o dani z príjmov.</w:t>
      </w:r>
    </w:p>
    <w:p w14:paraId="64498022" w14:textId="77777777" w:rsidR="00C616C2" w:rsidRDefault="00C616C2">
      <w:pPr>
        <w:pStyle w:val="Zkladntext"/>
      </w:pPr>
      <w:r>
        <w:rPr>
          <w:rFonts w:ascii="Calibri" w:hAnsi="Calibri" w:cs="Calibri"/>
          <w:sz w:val="22"/>
          <w:szCs w:val="22"/>
        </w:rPr>
        <w:t>Odložená daň je počítaná metódou záväzkov. Odložená daň z príjmov sa účtuje pri dočasných rozdieloch medzi účtovnou hodnotou majetku a účtovnou hodnotou záväzkov vykázanou v súvahe a ich daňovou základňou, pri možnosti umorovať daňovú stratu v budúcnosti a pri možnosti previesť nevyužité daňové odpočty a iné daňové nároky do budúcich období. Odložená daň sa vypočíta s použitím sadzby dane platnej v nasledujúcich účtovných obdobiach.</w:t>
      </w:r>
    </w:p>
    <w:p w14:paraId="72C58465" w14:textId="77777777" w:rsidR="00C616C2" w:rsidRDefault="00C616C2">
      <w:pPr>
        <w:rPr>
          <w:rFonts w:ascii="Calibri" w:hAnsi="Calibri" w:cs="Calibri"/>
          <w:b/>
          <w:sz w:val="22"/>
          <w:szCs w:val="22"/>
        </w:rPr>
      </w:pPr>
    </w:p>
    <w:p w14:paraId="1E75140C" w14:textId="77777777" w:rsidR="00C616C2" w:rsidRDefault="00C616C2">
      <w:pPr>
        <w:rPr>
          <w:rFonts w:ascii="Calibri" w:hAnsi="Calibri" w:cs="Calibri"/>
          <w:b/>
          <w:sz w:val="22"/>
          <w:szCs w:val="22"/>
        </w:rPr>
      </w:pPr>
    </w:p>
    <w:p w14:paraId="0C8EE5DB" w14:textId="77777777" w:rsidR="00C616C2" w:rsidRDefault="00C616C2">
      <w:pPr>
        <w:numPr>
          <w:ilvl w:val="2"/>
          <w:numId w:val="7"/>
        </w:numPr>
        <w:shd w:val="clear" w:color="auto" w:fill="D9D9D9"/>
        <w:tabs>
          <w:tab w:val="left" w:pos="426"/>
        </w:tabs>
        <w:ind w:left="426" w:hanging="426"/>
      </w:pPr>
      <w:r>
        <w:rPr>
          <w:rFonts w:ascii="Calibri" w:hAnsi="Calibri" w:cs="Calibri"/>
          <w:sz w:val="22"/>
          <w:szCs w:val="22"/>
        </w:rPr>
        <w:t>PLÁN ODPISOVANIA DLHODOBÉHO MAJETKU</w:t>
      </w:r>
    </w:p>
    <w:p w14:paraId="6114BFB3" w14:textId="77777777" w:rsidR="00C616C2" w:rsidRDefault="00C616C2">
      <w:pPr>
        <w:rPr>
          <w:rFonts w:ascii="Calibri" w:hAnsi="Calibri" w:cs="Calibri"/>
          <w:sz w:val="22"/>
          <w:szCs w:val="22"/>
        </w:rPr>
      </w:pPr>
    </w:p>
    <w:p w14:paraId="740B1841" w14:textId="77777777" w:rsidR="00C616C2" w:rsidRDefault="00C616C2">
      <w:r>
        <w:rPr>
          <w:rFonts w:ascii="Calibri" w:hAnsi="Calibri" w:cs="Calibri"/>
          <w:sz w:val="22"/>
          <w:szCs w:val="22"/>
        </w:rPr>
        <w:t xml:space="preserve">Spoločnosť má zostavený odpisový plán ako podklad pre vyčíslenie oprávok odpisovaného majetku v priebehu jeho používania. Účtovné odpisy sú vypočítané z ceny, v ktorej je majetok ocenený v účtovníctve a to do jej výšky. </w:t>
      </w:r>
    </w:p>
    <w:p w14:paraId="68AE7AD5" w14:textId="77777777" w:rsidR="00C616C2" w:rsidRDefault="00C616C2">
      <w:pPr>
        <w:rPr>
          <w:rFonts w:ascii="Calibri" w:hAnsi="Calibri" w:cs="Calibri"/>
          <w:sz w:val="22"/>
          <w:szCs w:val="22"/>
        </w:rPr>
      </w:pPr>
    </w:p>
    <w:p w14:paraId="08AB3C16" w14:textId="77777777" w:rsidR="00C616C2" w:rsidRDefault="00C616C2">
      <w:bookmarkStart w:id="0" w:name="_Hlk99545903"/>
      <w:r>
        <w:rPr>
          <w:rFonts w:ascii="Calibri" w:hAnsi="Calibri" w:cs="Calibri"/>
          <w:sz w:val="22"/>
          <w:szCs w:val="22"/>
        </w:rPr>
        <w:t xml:space="preserve">Dlhodobý hmotný majetok spoločnosť odpisuje </w:t>
      </w:r>
      <w:r>
        <w:rPr>
          <w:rFonts w:ascii="Calibri" w:hAnsi="Calibri" w:cs="Calibri"/>
          <w:color w:val="000000"/>
          <w:sz w:val="22"/>
          <w:szCs w:val="22"/>
        </w:rPr>
        <w:t>metódou rovnomerného</w:t>
      </w:r>
      <w:r>
        <w:rPr>
          <w:rFonts w:ascii="Calibri" w:hAnsi="Calibri" w:cs="Calibri"/>
          <w:sz w:val="22"/>
          <w:szCs w:val="22"/>
        </w:rPr>
        <w:t xml:space="preserve"> odpisovania po dobu stanovenej životnosti odpisovaného majetku.</w:t>
      </w:r>
    </w:p>
    <w:p w14:paraId="2C2CD164" w14:textId="77777777" w:rsidR="00C616C2" w:rsidRDefault="00C616C2">
      <w:pPr>
        <w:pStyle w:val="Hlavika"/>
        <w:tabs>
          <w:tab w:val="clear" w:pos="4536"/>
          <w:tab w:val="clear" w:pos="9072"/>
        </w:tabs>
        <w:rPr>
          <w:rFonts w:ascii="Calibri" w:hAnsi="Calibri" w:cs="Calibri"/>
          <w:sz w:val="22"/>
          <w:szCs w:val="22"/>
        </w:rPr>
      </w:pPr>
    </w:p>
    <w:p w14:paraId="4E69A20C" w14:textId="77777777" w:rsidR="00C616C2" w:rsidRDefault="00C616C2">
      <w:pPr>
        <w:rPr>
          <w:rFonts w:ascii="Calibri" w:hAnsi="Calibri" w:cs="Calibri"/>
          <w:sz w:val="22"/>
          <w:szCs w:val="22"/>
        </w:rPr>
      </w:pPr>
    </w:p>
    <w:tbl>
      <w:tblPr>
        <w:tblW w:w="0" w:type="auto"/>
        <w:tblInd w:w="71" w:type="dxa"/>
        <w:tblLayout w:type="fixed"/>
        <w:tblCellMar>
          <w:left w:w="71" w:type="dxa"/>
          <w:right w:w="71" w:type="dxa"/>
        </w:tblCellMar>
        <w:tblLook w:val="0000" w:firstRow="0" w:lastRow="0" w:firstColumn="0" w:lastColumn="0" w:noHBand="0" w:noVBand="0"/>
      </w:tblPr>
      <w:tblGrid>
        <w:gridCol w:w="3600"/>
        <w:gridCol w:w="2520"/>
        <w:gridCol w:w="180"/>
        <w:gridCol w:w="2700"/>
      </w:tblGrid>
      <w:tr w:rsidR="00C616C2" w14:paraId="3243B32B" w14:textId="77777777">
        <w:trPr>
          <w:cantSplit/>
          <w:trHeight w:val="174"/>
        </w:trPr>
        <w:tc>
          <w:tcPr>
            <w:tcW w:w="3600" w:type="dxa"/>
          </w:tcPr>
          <w:p w14:paraId="457A9374" w14:textId="77777777" w:rsidR="00C616C2" w:rsidRDefault="00C616C2">
            <w:pPr>
              <w:jc w:val="left"/>
            </w:pPr>
            <w:r>
              <w:rPr>
                <w:rFonts w:ascii="Calibri" w:hAnsi="Calibri" w:cs="Calibri"/>
                <w:i/>
                <w:sz w:val="22"/>
                <w:szCs w:val="22"/>
              </w:rPr>
              <w:t>Názov majetku</w:t>
            </w:r>
          </w:p>
        </w:tc>
        <w:tc>
          <w:tcPr>
            <w:tcW w:w="2520" w:type="dxa"/>
          </w:tcPr>
          <w:p w14:paraId="0A77B4F7" w14:textId="77777777" w:rsidR="00C616C2" w:rsidRDefault="00C616C2">
            <w:pPr>
              <w:jc w:val="center"/>
            </w:pPr>
            <w:r>
              <w:rPr>
                <w:rFonts w:ascii="Calibri" w:hAnsi="Calibri" w:cs="Calibri"/>
                <w:i/>
                <w:sz w:val="22"/>
                <w:szCs w:val="22"/>
              </w:rPr>
              <w:t>Doba odpisovania</w:t>
            </w:r>
          </w:p>
        </w:tc>
        <w:tc>
          <w:tcPr>
            <w:tcW w:w="180" w:type="dxa"/>
          </w:tcPr>
          <w:p w14:paraId="2D6629D2" w14:textId="77777777" w:rsidR="00C616C2" w:rsidRDefault="00C616C2">
            <w:pPr>
              <w:pStyle w:val="Hlavika"/>
              <w:tabs>
                <w:tab w:val="clear" w:pos="4536"/>
                <w:tab w:val="clear" w:pos="9072"/>
              </w:tabs>
              <w:snapToGrid w:val="0"/>
              <w:jc w:val="center"/>
              <w:rPr>
                <w:rFonts w:ascii="Calibri" w:hAnsi="Calibri" w:cs="Calibri"/>
                <w:i/>
                <w:sz w:val="22"/>
                <w:szCs w:val="22"/>
              </w:rPr>
            </w:pPr>
          </w:p>
        </w:tc>
        <w:tc>
          <w:tcPr>
            <w:tcW w:w="2700" w:type="dxa"/>
          </w:tcPr>
          <w:p w14:paraId="435F18B5" w14:textId="77777777" w:rsidR="00C616C2" w:rsidRDefault="00C616C2">
            <w:pPr>
              <w:jc w:val="center"/>
            </w:pPr>
            <w:r>
              <w:rPr>
                <w:rFonts w:ascii="Calibri" w:hAnsi="Calibri" w:cs="Calibri"/>
                <w:i/>
                <w:sz w:val="22"/>
                <w:szCs w:val="22"/>
              </w:rPr>
              <w:t>Metóda odpisovania</w:t>
            </w:r>
          </w:p>
        </w:tc>
      </w:tr>
      <w:tr w:rsidR="00C616C2" w14:paraId="5A267BC2" w14:textId="77777777">
        <w:tc>
          <w:tcPr>
            <w:tcW w:w="3600" w:type="dxa"/>
            <w:tcBorders>
              <w:top w:val="single" w:sz="6" w:space="0" w:color="000000"/>
            </w:tcBorders>
          </w:tcPr>
          <w:p w14:paraId="6A3D432C" w14:textId="77777777" w:rsidR="00C616C2" w:rsidRDefault="00C616C2">
            <w:pPr>
              <w:pStyle w:val="Hlavika"/>
              <w:tabs>
                <w:tab w:val="clear" w:pos="4536"/>
                <w:tab w:val="clear" w:pos="9072"/>
              </w:tabs>
              <w:snapToGrid w:val="0"/>
              <w:rPr>
                <w:rFonts w:ascii="Calibri" w:hAnsi="Calibri" w:cs="Calibri"/>
                <w:i/>
                <w:sz w:val="22"/>
                <w:szCs w:val="22"/>
              </w:rPr>
            </w:pPr>
          </w:p>
        </w:tc>
        <w:tc>
          <w:tcPr>
            <w:tcW w:w="2520" w:type="dxa"/>
            <w:tcBorders>
              <w:top w:val="single" w:sz="6" w:space="0" w:color="000000"/>
            </w:tcBorders>
          </w:tcPr>
          <w:p w14:paraId="4B46E4EC" w14:textId="77777777" w:rsidR="00C616C2" w:rsidRDefault="00C616C2">
            <w:pPr>
              <w:snapToGrid w:val="0"/>
              <w:jc w:val="center"/>
              <w:rPr>
                <w:rFonts w:ascii="Calibri" w:hAnsi="Calibri" w:cs="Calibri"/>
                <w:i/>
                <w:sz w:val="22"/>
                <w:szCs w:val="22"/>
              </w:rPr>
            </w:pPr>
          </w:p>
        </w:tc>
        <w:tc>
          <w:tcPr>
            <w:tcW w:w="180" w:type="dxa"/>
            <w:tcBorders>
              <w:top w:val="single" w:sz="6" w:space="0" w:color="000000"/>
            </w:tcBorders>
          </w:tcPr>
          <w:p w14:paraId="79C907D3" w14:textId="77777777" w:rsidR="00C616C2" w:rsidRDefault="00C616C2">
            <w:pPr>
              <w:snapToGrid w:val="0"/>
              <w:jc w:val="center"/>
              <w:rPr>
                <w:rFonts w:ascii="Calibri" w:hAnsi="Calibri" w:cs="Calibri"/>
                <w:i/>
                <w:sz w:val="22"/>
                <w:szCs w:val="22"/>
              </w:rPr>
            </w:pPr>
          </w:p>
        </w:tc>
        <w:tc>
          <w:tcPr>
            <w:tcW w:w="2700" w:type="dxa"/>
            <w:tcBorders>
              <w:top w:val="single" w:sz="6" w:space="0" w:color="000000"/>
            </w:tcBorders>
          </w:tcPr>
          <w:p w14:paraId="303E1E8B" w14:textId="77777777" w:rsidR="00C616C2" w:rsidRDefault="00C616C2">
            <w:pPr>
              <w:snapToGrid w:val="0"/>
              <w:jc w:val="center"/>
              <w:rPr>
                <w:rFonts w:ascii="Calibri" w:hAnsi="Calibri" w:cs="Calibri"/>
                <w:sz w:val="22"/>
                <w:szCs w:val="22"/>
              </w:rPr>
            </w:pPr>
          </w:p>
        </w:tc>
      </w:tr>
      <w:tr w:rsidR="00C616C2" w14:paraId="0D70B750" w14:textId="77777777">
        <w:tc>
          <w:tcPr>
            <w:tcW w:w="3600" w:type="dxa"/>
          </w:tcPr>
          <w:p w14:paraId="1166A356" w14:textId="77777777" w:rsidR="00C616C2" w:rsidRDefault="00C616C2">
            <w:pPr>
              <w:pStyle w:val="Hlavika"/>
              <w:tabs>
                <w:tab w:val="clear" w:pos="4536"/>
                <w:tab w:val="clear" w:pos="9072"/>
              </w:tabs>
            </w:pPr>
            <w:r>
              <w:rPr>
                <w:rFonts w:ascii="Calibri" w:hAnsi="Calibri" w:cs="Calibri"/>
                <w:sz w:val="22"/>
                <w:szCs w:val="22"/>
              </w:rPr>
              <w:t>Stavby</w:t>
            </w:r>
          </w:p>
        </w:tc>
        <w:tc>
          <w:tcPr>
            <w:tcW w:w="2520" w:type="dxa"/>
          </w:tcPr>
          <w:p w14:paraId="2994D643" w14:textId="77777777" w:rsidR="00C616C2" w:rsidRDefault="00C616C2">
            <w:pPr>
              <w:jc w:val="center"/>
            </w:pPr>
            <w:r>
              <w:rPr>
                <w:rFonts w:ascii="Calibri" w:hAnsi="Calibri" w:cs="Calibri"/>
                <w:sz w:val="22"/>
                <w:szCs w:val="22"/>
              </w:rPr>
              <w:t>20</w:t>
            </w:r>
          </w:p>
        </w:tc>
        <w:tc>
          <w:tcPr>
            <w:tcW w:w="180" w:type="dxa"/>
          </w:tcPr>
          <w:p w14:paraId="4DEC8EC6" w14:textId="77777777" w:rsidR="00C616C2" w:rsidRDefault="00C616C2">
            <w:pPr>
              <w:snapToGrid w:val="0"/>
              <w:jc w:val="center"/>
              <w:rPr>
                <w:rFonts w:ascii="Calibri" w:hAnsi="Calibri" w:cs="Calibri"/>
                <w:sz w:val="22"/>
                <w:szCs w:val="22"/>
              </w:rPr>
            </w:pPr>
          </w:p>
        </w:tc>
        <w:tc>
          <w:tcPr>
            <w:tcW w:w="2700" w:type="dxa"/>
          </w:tcPr>
          <w:p w14:paraId="072E11E2" w14:textId="77777777" w:rsidR="00C616C2" w:rsidRDefault="00C616C2">
            <w:pPr>
              <w:jc w:val="center"/>
            </w:pPr>
            <w:r>
              <w:rPr>
                <w:rFonts w:ascii="Calibri" w:hAnsi="Calibri" w:cs="Calibri"/>
                <w:sz w:val="22"/>
                <w:szCs w:val="22"/>
              </w:rPr>
              <w:t>Rovnomerne</w:t>
            </w:r>
          </w:p>
        </w:tc>
      </w:tr>
      <w:tr w:rsidR="00C616C2" w14:paraId="488C9A0A" w14:textId="77777777">
        <w:tc>
          <w:tcPr>
            <w:tcW w:w="3600" w:type="dxa"/>
            <w:tcBorders>
              <w:bottom w:val="single" w:sz="6" w:space="0" w:color="000000"/>
            </w:tcBorders>
          </w:tcPr>
          <w:p w14:paraId="383531FC" w14:textId="77777777" w:rsidR="00C616C2" w:rsidRDefault="00C616C2">
            <w:pPr>
              <w:pStyle w:val="Hlavika"/>
              <w:tabs>
                <w:tab w:val="clear" w:pos="4536"/>
                <w:tab w:val="clear" w:pos="9072"/>
              </w:tabs>
            </w:pPr>
            <w:r>
              <w:rPr>
                <w:rFonts w:ascii="Calibri" w:hAnsi="Calibri" w:cs="Calibri"/>
                <w:sz w:val="22"/>
                <w:szCs w:val="22"/>
              </w:rPr>
              <w:t>Stroje, prístroje, zariadenia</w:t>
            </w:r>
          </w:p>
        </w:tc>
        <w:tc>
          <w:tcPr>
            <w:tcW w:w="2520" w:type="dxa"/>
            <w:tcBorders>
              <w:bottom w:val="single" w:sz="6" w:space="0" w:color="000000"/>
            </w:tcBorders>
          </w:tcPr>
          <w:p w14:paraId="6BCB53AE" w14:textId="77777777" w:rsidR="00C616C2" w:rsidRDefault="00C616C2">
            <w:pPr>
              <w:jc w:val="center"/>
            </w:pPr>
            <w:r>
              <w:rPr>
                <w:rFonts w:ascii="Calibri" w:hAnsi="Calibri" w:cs="Calibri"/>
                <w:sz w:val="22"/>
                <w:szCs w:val="22"/>
              </w:rPr>
              <w:t>4-12</w:t>
            </w:r>
          </w:p>
        </w:tc>
        <w:tc>
          <w:tcPr>
            <w:tcW w:w="180" w:type="dxa"/>
          </w:tcPr>
          <w:p w14:paraId="725630D2" w14:textId="77777777" w:rsidR="00C616C2" w:rsidRDefault="00C616C2">
            <w:pPr>
              <w:snapToGrid w:val="0"/>
              <w:jc w:val="center"/>
              <w:rPr>
                <w:rFonts w:ascii="Calibri" w:hAnsi="Calibri" w:cs="Calibri"/>
                <w:sz w:val="22"/>
                <w:szCs w:val="22"/>
              </w:rPr>
            </w:pPr>
          </w:p>
        </w:tc>
        <w:tc>
          <w:tcPr>
            <w:tcW w:w="2700" w:type="dxa"/>
            <w:tcBorders>
              <w:bottom w:val="single" w:sz="6" w:space="0" w:color="000000"/>
            </w:tcBorders>
          </w:tcPr>
          <w:p w14:paraId="6F9BD6CE" w14:textId="77777777" w:rsidR="00C616C2" w:rsidRDefault="00C616C2">
            <w:pPr>
              <w:jc w:val="center"/>
            </w:pPr>
            <w:r>
              <w:rPr>
                <w:rFonts w:ascii="Calibri" w:hAnsi="Calibri" w:cs="Calibri"/>
                <w:sz w:val="22"/>
                <w:szCs w:val="22"/>
              </w:rPr>
              <w:t>Rovnomerne</w:t>
            </w:r>
          </w:p>
        </w:tc>
      </w:tr>
    </w:tbl>
    <w:p w14:paraId="54FE5F8D" w14:textId="77777777" w:rsidR="00C616C2" w:rsidRDefault="00C616C2">
      <w:pPr>
        <w:rPr>
          <w:rFonts w:ascii="Calibri" w:hAnsi="Calibri" w:cs="Calibri"/>
          <w:sz w:val="22"/>
          <w:szCs w:val="22"/>
        </w:rPr>
      </w:pPr>
    </w:p>
    <w:p w14:paraId="3DA48FF8" w14:textId="77777777" w:rsidR="00C616C2" w:rsidRDefault="00C616C2">
      <w:r>
        <w:rPr>
          <w:rFonts w:ascii="Calibri" w:hAnsi="Calibri" w:cs="Calibri"/>
          <w:sz w:val="22"/>
          <w:szCs w:val="22"/>
        </w:rPr>
        <w:t xml:space="preserve">Pre daňové účely spoločnosť odpisuje svoj dlhodobý hmotný majetok v zmysle § 22 – 29 zákona č. 595/2003 </w:t>
      </w:r>
      <w:proofErr w:type="spellStart"/>
      <w:r>
        <w:rPr>
          <w:rFonts w:ascii="Calibri" w:hAnsi="Calibri" w:cs="Calibri"/>
          <w:sz w:val="22"/>
          <w:szCs w:val="22"/>
        </w:rPr>
        <w:t>Z.z</w:t>
      </w:r>
      <w:proofErr w:type="spellEnd"/>
      <w:r>
        <w:rPr>
          <w:rFonts w:ascii="Calibri" w:hAnsi="Calibri" w:cs="Calibri"/>
          <w:sz w:val="22"/>
          <w:szCs w:val="22"/>
        </w:rPr>
        <w:t xml:space="preserve">. o dani z príjmov. </w:t>
      </w:r>
    </w:p>
    <w:bookmarkEnd w:id="0"/>
    <w:p w14:paraId="6D33FE93" w14:textId="77777777" w:rsidR="00C616C2" w:rsidRDefault="00C616C2">
      <w:pPr>
        <w:rPr>
          <w:rFonts w:ascii="Calibri" w:hAnsi="Calibri" w:cs="Calibri"/>
          <w:sz w:val="22"/>
          <w:szCs w:val="22"/>
        </w:rPr>
      </w:pPr>
    </w:p>
    <w:p w14:paraId="7EBA334D" w14:textId="77777777" w:rsidR="00C616C2" w:rsidRDefault="00C616C2">
      <w:pPr>
        <w:numPr>
          <w:ilvl w:val="2"/>
          <w:numId w:val="7"/>
        </w:numPr>
        <w:shd w:val="clear" w:color="auto" w:fill="D9D9D9"/>
        <w:tabs>
          <w:tab w:val="left" w:pos="426"/>
        </w:tabs>
        <w:ind w:left="426" w:hanging="426"/>
      </w:pPr>
      <w:r>
        <w:rPr>
          <w:rFonts w:ascii="Calibri" w:hAnsi="Calibri" w:cs="Calibri"/>
          <w:sz w:val="22"/>
          <w:szCs w:val="22"/>
        </w:rPr>
        <w:t>ZÁSADY PRE TVORBU OPRAVNÝCH POLOŽIEK</w:t>
      </w:r>
    </w:p>
    <w:p w14:paraId="484F1260" w14:textId="77777777" w:rsidR="00C616C2" w:rsidRDefault="00C616C2">
      <w:pPr>
        <w:rPr>
          <w:rFonts w:ascii="Calibri" w:hAnsi="Calibri" w:cs="Calibri"/>
          <w:sz w:val="22"/>
          <w:szCs w:val="22"/>
        </w:rPr>
      </w:pPr>
    </w:p>
    <w:p w14:paraId="1C80BB07" w14:textId="77777777" w:rsidR="00C616C2" w:rsidRDefault="00C616C2">
      <w:r>
        <w:rPr>
          <w:rFonts w:ascii="Calibri" w:hAnsi="Calibri" w:cs="Calibri"/>
          <w:b/>
          <w:sz w:val="22"/>
          <w:szCs w:val="22"/>
        </w:rPr>
        <w:t>a) Zásady pre tvorbu opravných položiek k zásobám</w:t>
      </w:r>
    </w:p>
    <w:p w14:paraId="1193C055" w14:textId="77777777" w:rsidR="00C616C2" w:rsidRDefault="00C616C2">
      <w:pPr>
        <w:pStyle w:val="Zkladntext"/>
      </w:pPr>
      <w:r>
        <w:rPr>
          <w:rFonts w:ascii="Calibri" w:eastAsia="Calibri" w:hAnsi="Calibri" w:cs="Calibri"/>
          <w:sz w:val="22"/>
          <w:szCs w:val="22"/>
        </w:rPr>
        <w:t xml:space="preserve"> </w:t>
      </w:r>
    </w:p>
    <w:p w14:paraId="6C46269D" w14:textId="77777777" w:rsidR="00C616C2" w:rsidRDefault="00C616C2">
      <w:pPr>
        <w:pStyle w:val="Zkladntext"/>
      </w:pPr>
      <w:r>
        <w:rPr>
          <w:rFonts w:ascii="Calibri" w:hAnsi="Calibri" w:cs="Calibri"/>
          <w:sz w:val="22"/>
          <w:szCs w:val="22"/>
        </w:rPr>
        <w:t xml:space="preserve">Spoločnosť netvorila opravnú položku k zásobám. </w:t>
      </w:r>
    </w:p>
    <w:p w14:paraId="5A44358B" w14:textId="77777777" w:rsidR="00C616C2" w:rsidRDefault="00C616C2">
      <w:pPr>
        <w:rPr>
          <w:rFonts w:ascii="Calibri" w:hAnsi="Calibri" w:cs="Calibri"/>
          <w:b/>
          <w:sz w:val="22"/>
          <w:szCs w:val="22"/>
        </w:rPr>
      </w:pPr>
    </w:p>
    <w:p w14:paraId="05C6ED8A" w14:textId="77777777" w:rsidR="00C616C2" w:rsidRDefault="00C616C2">
      <w:r>
        <w:rPr>
          <w:rFonts w:ascii="Calibri" w:hAnsi="Calibri" w:cs="Calibri"/>
          <w:b/>
          <w:sz w:val="22"/>
          <w:szCs w:val="22"/>
        </w:rPr>
        <w:t>b) Zásady pre tvorbu opravných položiek k pohľadávkam</w:t>
      </w:r>
    </w:p>
    <w:p w14:paraId="3B938B05" w14:textId="77777777" w:rsidR="00C616C2" w:rsidRDefault="00C616C2">
      <w:pPr>
        <w:rPr>
          <w:rFonts w:ascii="Calibri" w:hAnsi="Calibri" w:cs="Calibri"/>
          <w:b/>
          <w:i/>
          <w:sz w:val="22"/>
          <w:szCs w:val="22"/>
        </w:rPr>
      </w:pPr>
    </w:p>
    <w:p w14:paraId="26490806" w14:textId="77777777" w:rsidR="00C616C2" w:rsidRDefault="00C616C2">
      <w:pPr>
        <w:pStyle w:val="Zkladntext"/>
      </w:pPr>
      <w:r>
        <w:rPr>
          <w:rFonts w:ascii="Calibri" w:hAnsi="Calibri" w:cs="Calibri"/>
          <w:sz w:val="22"/>
          <w:szCs w:val="22"/>
        </w:rPr>
        <w:t xml:space="preserve">Spoločnosť netvorila opravnú položku k pohľadávkam. </w:t>
      </w:r>
    </w:p>
    <w:p w14:paraId="5AC5936A" w14:textId="77777777" w:rsidR="00C616C2" w:rsidRDefault="00C616C2">
      <w:pPr>
        <w:rPr>
          <w:rFonts w:ascii="Calibri" w:hAnsi="Calibri" w:cs="Calibri"/>
          <w:sz w:val="22"/>
          <w:szCs w:val="22"/>
        </w:rPr>
      </w:pPr>
    </w:p>
    <w:p w14:paraId="68B51D0D" w14:textId="77777777" w:rsidR="00C616C2" w:rsidRDefault="00C616C2">
      <w:pPr>
        <w:numPr>
          <w:ilvl w:val="2"/>
          <w:numId w:val="7"/>
        </w:numPr>
        <w:shd w:val="clear" w:color="auto" w:fill="D9D9D9"/>
        <w:tabs>
          <w:tab w:val="left" w:pos="426"/>
        </w:tabs>
        <w:ind w:left="426" w:hanging="426"/>
      </w:pPr>
      <w:r>
        <w:rPr>
          <w:rFonts w:ascii="Calibri" w:hAnsi="Calibri" w:cs="Calibri"/>
          <w:sz w:val="22"/>
          <w:szCs w:val="22"/>
        </w:rPr>
        <w:t>PREPOČET ÚDAJOV V CUDZÍCH MENÁCH NA MENU EURO</w:t>
      </w:r>
    </w:p>
    <w:p w14:paraId="072869DF" w14:textId="77777777" w:rsidR="00C616C2" w:rsidRDefault="00C616C2">
      <w:pPr>
        <w:rPr>
          <w:rFonts w:ascii="Calibri" w:hAnsi="Calibri" w:cs="Calibri"/>
          <w:sz w:val="22"/>
          <w:szCs w:val="22"/>
        </w:rPr>
      </w:pPr>
    </w:p>
    <w:p w14:paraId="347243F0" w14:textId="77777777" w:rsidR="00C616C2" w:rsidRDefault="00C616C2">
      <w:r>
        <w:rPr>
          <w:rFonts w:ascii="Calibri" w:hAnsi="Calibri" w:cs="Calibri"/>
          <w:sz w:val="22"/>
          <w:szCs w:val="22"/>
        </w:rPr>
        <w:t>V účtovníctve sa majetok a záväzky vyjadrené v cudzej mene prepočítavajú na menu euro kurzom určeným v kurzovom lístku Európskej centrálnej banky v deň predchádzajúci dňu uskutočnenia účtovného prípadu alebo v iný deň, ak to ustanovuje osobitný predpis.</w:t>
      </w:r>
    </w:p>
    <w:p w14:paraId="1EA5234F" w14:textId="77777777" w:rsidR="00C616C2" w:rsidRDefault="00C616C2">
      <w:pPr>
        <w:rPr>
          <w:rFonts w:ascii="Calibri" w:hAnsi="Calibri" w:cs="Calibri"/>
          <w:sz w:val="22"/>
          <w:szCs w:val="22"/>
        </w:rPr>
      </w:pPr>
    </w:p>
    <w:p w14:paraId="40484E5D" w14:textId="77777777" w:rsidR="00C616C2" w:rsidRDefault="00C616C2">
      <w:r>
        <w:rPr>
          <w:rFonts w:ascii="Calibri" w:hAnsi="Calibri" w:cs="Calibri"/>
          <w:sz w:val="22"/>
          <w:szCs w:val="22"/>
        </w:rPr>
        <w:t>Účtovná jednotka ku dňu, ku ktorému sa zostavuje účtovná závierka, prepočíta na menu euro majetok a záväzky vyjadrené v cudzej mene s výnimkou prijatých a poskytnutých preddavkov kurzom vyhláseným Európskou centrálnou bankou.</w:t>
      </w:r>
    </w:p>
    <w:p w14:paraId="30F31642" w14:textId="77777777" w:rsidR="00C616C2" w:rsidRDefault="00C616C2">
      <w:pPr>
        <w:rPr>
          <w:rFonts w:ascii="Calibri" w:hAnsi="Calibri" w:cs="Calibri"/>
          <w:sz w:val="22"/>
          <w:szCs w:val="22"/>
        </w:rPr>
      </w:pPr>
    </w:p>
    <w:p w14:paraId="78A9BEF6" w14:textId="77777777" w:rsidR="00C616C2" w:rsidRDefault="00C616C2">
      <w:r>
        <w:rPr>
          <w:rFonts w:ascii="Calibri" w:hAnsi="Calibri" w:cs="Calibri"/>
          <w:sz w:val="22"/>
          <w:szCs w:val="22"/>
        </w:rPr>
        <w:t>Kurzové rozdiely vzniknuté počas roka ako aj kurzové rozdiely vzniknuté pri prepočte majetku a záväzkov ku dňu zostavenia účtovnej závierku ovplyvňujú hospodársky výsledok bežného účtovného obdobia.</w:t>
      </w:r>
    </w:p>
    <w:p w14:paraId="230FCD2B" w14:textId="77777777" w:rsidR="00C616C2" w:rsidRDefault="00C616C2">
      <w:pPr>
        <w:rPr>
          <w:rFonts w:ascii="Calibri" w:hAnsi="Calibri" w:cs="Calibri"/>
          <w:sz w:val="22"/>
          <w:szCs w:val="22"/>
        </w:rPr>
      </w:pPr>
    </w:p>
    <w:p w14:paraId="303EB061" w14:textId="77777777" w:rsidR="00C616C2" w:rsidRDefault="00C616C2">
      <w:pPr>
        <w:numPr>
          <w:ilvl w:val="2"/>
          <w:numId w:val="7"/>
        </w:numPr>
        <w:shd w:val="clear" w:color="auto" w:fill="D9D9D9"/>
        <w:tabs>
          <w:tab w:val="left" w:pos="709"/>
        </w:tabs>
        <w:ind w:left="709" w:hanging="709"/>
      </w:pPr>
      <w:r>
        <w:rPr>
          <w:rFonts w:ascii="Calibri" w:hAnsi="Calibri" w:cs="Calibri"/>
          <w:sz w:val="22"/>
          <w:szCs w:val="22"/>
        </w:rPr>
        <w:t>DOTÁCIE POSKYTNUTÉ NA OBSTARANIE MAJETKU</w:t>
      </w:r>
    </w:p>
    <w:p w14:paraId="70015732" w14:textId="77777777" w:rsidR="00C616C2" w:rsidRDefault="00C616C2">
      <w:pPr>
        <w:rPr>
          <w:rFonts w:ascii="Calibri" w:hAnsi="Calibri" w:cs="Calibri"/>
          <w:sz w:val="22"/>
          <w:szCs w:val="22"/>
        </w:rPr>
      </w:pPr>
    </w:p>
    <w:p w14:paraId="7E7B10D2" w14:textId="77777777" w:rsidR="00C616C2" w:rsidRDefault="00C616C2">
      <w:r>
        <w:rPr>
          <w:rFonts w:ascii="Calibri" w:hAnsi="Calibri" w:cs="Calibri"/>
          <w:sz w:val="22"/>
          <w:szCs w:val="22"/>
        </w:rPr>
        <w:t xml:space="preserve">Účtovná jednotka nemá náplň pre túto položku. </w:t>
      </w:r>
    </w:p>
    <w:p w14:paraId="52414BA3" w14:textId="77777777" w:rsidR="00C616C2" w:rsidRDefault="00C616C2">
      <w:pPr>
        <w:rPr>
          <w:rFonts w:ascii="Calibri" w:hAnsi="Calibri" w:cs="Calibri"/>
          <w:sz w:val="22"/>
          <w:szCs w:val="22"/>
        </w:rPr>
      </w:pPr>
    </w:p>
    <w:p w14:paraId="2DFF9617" w14:textId="77777777" w:rsidR="00C616C2" w:rsidRDefault="00C616C2">
      <w:pPr>
        <w:numPr>
          <w:ilvl w:val="2"/>
          <w:numId w:val="7"/>
        </w:numPr>
        <w:shd w:val="clear" w:color="auto" w:fill="D9D9D9"/>
        <w:tabs>
          <w:tab w:val="left" w:pos="709"/>
        </w:tabs>
        <w:ind w:left="709" w:hanging="709"/>
      </w:pPr>
      <w:r>
        <w:rPr>
          <w:rFonts w:ascii="Calibri" w:hAnsi="Calibri" w:cs="Calibri"/>
          <w:caps/>
          <w:sz w:val="22"/>
          <w:szCs w:val="22"/>
        </w:rPr>
        <w:t xml:space="preserve">Zmeny účtovných zásad a účtovných metód, zmeny spôsobov oceňovania, odpisovania, vykazovania a postupov </w:t>
      </w:r>
    </w:p>
    <w:p w14:paraId="412DBD15" w14:textId="77777777" w:rsidR="00C616C2" w:rsidRDefault="00C616C2">
      <w:pPr>
        <w:rPr>
          <w:rFonts w:ascii="Calibri" w:hAnsi="Calibri" w:cs="Calibri"/>
          <w:caps/>
          <w:sz w:val="22"/>
          <w:szCs w:val="22"/>
        </w:rPr>
      </w:pPr>
    </w:p>
    <w:p w14:paraId="12BBA879" w14:textId="77777777" w:rsidR="00C616C2" w:rsidRDefault="00C616C2">
      <w:r>
        <w:rPr>
          <w:rFonts w:ascii="Calibri" w:hAnsi="Calibri" w:cs="Calibri"/>
          <w:sz w:val="22"/>
          <w:szCs w:val="22"/>
        </w:rPr>
        <w:t>V účtovnej jednotke sa počas roka neuskutočnili zmeny spôsobov oceňovania, spôsobov odpisovania, postupov účtovania, usporiadania položiek účtovnej závierky ani obsahového vymedzenia týchto položiek oproti predchádzajúcemu účtovnému obdobiu, ak nie je uvedené inak, okrem tých, ktoré vyplývali priamo zo zmien v slovenskej účtovnej legislatíve.</w:t>
      </w:r>
    </w:p>
    <w:p w14:paraId="443AD544" w14:textId="77777777" w:rsidR="00C616C2" w:rsidRDefault="00C616C2">
      <w:pPr>
        <w:rPr>
          <w:rFonts w:ascii="Calibri" w:hAnsi="Calibri" w:cs="Calibri"/>
          <w:sz w:val="22"/>
          <w:szCs w:val="22"/>
        </w:rPr>
      </w:pPr>
    </w:p>
    <w:p w14:paraId="20146B18" w14:textId="77777777" w:rsidR="00C616C2" w:rsidRDefault="00C616C2">
      <w:pPr>
        <w:numPr>
          <w:ilvl w:val="2"/>
          <w:numId w:val="7"/>
        </w:numPr>
        <w:shd w:val="clear" w:color="auto" w:fill="D9D9D9"/>
        <w:tabs>
          <w:tab w:val="left" w:pos="426"/>
        </w:tabs>
        <w:ind w:left="426" w:hanging="426"/>
      </w:pPr>
      <w:r>
        <w:rPr>
          <w:rFonts w:ascii="Calibri" w:hAnsi="Calibri" w:cs="Calibri"/>
          <w:sz w:val="22"/>
          <w:szCs w:val="22"/>
        </w:rPr>
        <w:t xml:space="preserve">OPRAVA VÝZNAMNÝCH CHÝB MINULÝCH ÚČTOVNÝCH OBDOBÍ </w:t>
      </w:r>
    </w:p>
    <w:p w14:paraId="4A5D45F2" w14:textId="77777777" w:rsidR="00C616C2" w:rsidRDefault="00C616C2">
      <w:pPr>
        <w:rPr>
          <w:rFonts w:ascii="Calibri" w:hAnsi="Calibri" w:cs="Calibri"/>
          <w:sz w:val="22"/>
          <w:szCs w:val="22"/>
        </w:rPr>
      </w:pPr>
    </w:p>
    <w:p w14:paraId="775120AA" w14:textId="77777777" w:rsidR="00C616C2" w:rsidRDefault="00C616C2">
      <w:r>
        <w:rPr>
          <w:rFonts w:ascii="Calibri" w:hAnsi="Calibri" w:cs="Calibri"/>
          <w:sz w:val="22"/>
          <w:szCs w:val="22"/>
        </w:rPr>
        <w:t xml:space="preserve">Účtovná jednotka nemá náplň pre túto položku. </w:t>
      </w:r>
    </w:p>
    <w:p w14:paraId="7E5F0C18" w14:textId="77777777" w:rsidR="00C616C2" w:rsidRDefault="00C616C2">
      <w:pPr>
        <w:jc w:val="center"/>
        <w:rPr>
          <w:rFonts w:ascii="Calibri" w:hAnsi="Calibri" w:cs="Calibri"/>
          <w:b/>
          <w:sz w:val="22"/>
          <w:szCs w:val="22"/>
        </w:rPr>
      </w:pPr>
    </w:p>
    <w:p w14:paraId="1F5FFC1E" w14:textId="77777777" w:rsidR="00C616C2" w:rsidRDefault="00C616C2">
      <w:pPr>
        <w:jc w:val="center"/>
        <w:rPr>
          <w:rFonts w:ascii="Calibri" w:hAnsi="Calibri" w:cs="Calibri"/>
          <w:b/>
          <w:sz w:val="22"/>
          <w:szCs w:val="22"/>
        </w:rPr>
      </w:pPr>
    </w:p>
    <w:p w14:paraId="4057C711" w14:textId="77777777" w:rsidR="00C616C2" w:rsidRDefault="00C616C2">
      <w:pPr>
        <w:jc w:val="center"/>
      </w:pPr>
      <w:r>
        <w:rPr>
          <w:rFonts w:ascii="Calibri" w:hAnsi="Calibri" w:cs="Calibri"/>
          <w:b/>
          <w:sz w:val="22"/>
          <w:szCs w:val="22"/>
        </w:rPr>
        <w:t>ČL. IV</w:t>
      </w:r>
    </w:p>
    <w:p w14:paraId="027CAB8D" w14:textId="77777777" w:rsidR="00C616C2" w:rsidRDefault="00C616C2">
      <w:pPr>
        <w:jc w:val="center"/>
      </w:pPr>
      <w:r>
        <w:rPr>
          <w:rFonts w:ascii="Calibri" w:hAnsi="Calibri" w:cs="Calibri"/>
          <w:b/>
          <w:sz w:val="22"/>
          <w:szCs w:val="22"/>
        </w:rPr>
        <w:t>INFORMÁCIE, KTORÉ VYSVETĽUJÚ A DOPLŇAJÚ POLOŽKY SÚVAHY A VÝKAZU ZISKOV A STRÁT</w:t>
      </w:r>
    </w:p>
    <w:p w14:paraId="03CDE192" w14:textId="77777777" w:rsidR="00C616C2" w:rsidRDefault="00C616C2">
      <w:pPr>
        <w:rPr>
          <w:rFonts w:ascii="Calibri" w:hAnsi="Calibri" w:cs="Calibri"/>
          <w:b/>
          <w:sz w:val="22"/>
          <w:szCs w:val="22"/>
        </w:rPr>
      </w:pPr>
    </w:p>
    <w:p w14:paraId="0C534B00" w14:textId="77777777" w:rsidR="00C616C2" w:rsidRDefault="00C616C2">
      <w:pPr>
        <w:rPr>
          <w:rFonts w:ascii="Calibri" w:hAnsi="Calibri" w:cs="Calibri"/>
          <w:b/>
          <w:sz w:val="22"/>
          <w:szCs w:val="22"/>
          <w:highlight w:val="green"/>
        </w:rPr>
      </w:pPr>
    </w:p>
    <w:p w14:paraId="727108DE" w14:textId="77777777" w:rsidR="00C616C2" w:rsidRDefault="00C616C2">
      <w:pPr>
        <w:numPr>
          <w:ilvl w:val="0"/>
          <w:numId w:val="11"/>
        </w:numPr>
        <w:shd w:val="clear" w:color="auto" w:fill="D9D9D9"/>
        <w:ind w:left="426" w:hanging="426"/>
      </w:pPr>
      <w:r>
        <w:rPr>
          <w:rFonts w:ascii="Calibri" w:hAnsi="Calibri" w:cs="Calibri"/>
          <w:sz w:val="22"/>
          <w:szCs w:val="22"/>
        </w:rPr>
        <w:t>GOODWILL</w:t>
      </w:r>
    </w:p>
    <w:p w14:paraId="756E2156" w14:textId="77777777" w:rsidR="00C616C2" w:rsidRDefault="00C616C2">
      <w:pPr>
        <w:rPr>
          <w:rFonts w:ascii="Calibri" w:hAnsi="Calibri" w:cs="Calibri"/>
          <w:sz w:val="22"/>
          <w:szCs w:val="22"/>
        </w:rPr>
      </w:pPr>
    </w:p>
    <w:p w14:paraId="1D01E0BF" w14:textId="77777777" w:rsidR="00C616C2" w:rsidRDefault="00C616C2">
      <w:pPr>
        <w:pStyle w:val="Default"/>
      </w:pPr>
      <w:r>
        <w:rPr>
          <w:rFonts w:ascii="Calibri" w:hAnsi="Calibri" w:cs="Calibri"/>
          <w:sz w:val="22"/>
          <w:szCs w:val="22"/>
        </w:rPr>
        <w:t>Účtovná jednotka nemá náplň pre túto položku.</w:t>
      </w:r>
    </w:p>
    <w:p w14:paraId="6C17C6A4" w14:textId="77777777" w:rsidR="00C616C2" w:rsidRDefault="00C616C2">
      <w:pPr>
        <w:pStyle w:val="Default"/>
        <w:rPr>
          <w:rFonts w:ascii="Calibri" w:hAnsi="Calibri" w:cs="Calibri"/>
          <w:i/>
          <w:sz w:val="22"/>
          <w:szCs w:val="22"/>
        </w:rPr>
      </w:pPr>
    </w:p>
    <w:p w14:paraId="672C77D0" w14:textId="77777777" w:rsidR="00C616C2" w:rsidRDefault="00C616C2">
      <w:pPr>
        <w:rPr>
          <w:rFonts w:ascii="Calibri" w:hAnsi="Calibri" w:cs="Calibri"/>
          <w:i/>
          <w:color w:val="000000"/>
          <w:sz w:val="22"/>
          <w:szCs w:val="22"/>
        </w:rPr>
      </w:pPr>
    </w:p>
    <w:p w14:paraId="2FFD58AE" w14:textId="77777777" w:rsidR="00C616C2" w:rsidRDefault="00C616C2">
      <w:pPr>
        <w:numPr>
          <w:ilvl w:val="0"/>
          <w:numId w:val="11"/>
        </w:numPr>
        <w:shd w:val="clear" w:color="auto" w:fill="D9D9D9"/>
        <w:ind w:left="426" w:hanging="426"/>
      </w:pPr>
      <w:r>
        <w:rPr>
          <w:rFonts w:ascii="Calibri" w:hAnsi="Calibri" w:cs="Calibri"/>
          <w:sz w:val="22"/>
          <w:szCs w:val="22"/>
        </w:rPr>
        <w:t>DERIVÁTY</w:t>
      </w:r>
    </w:p>
    <w:p w14:paraId="253FD731" w14:textId="77777777" w:rsidR="00C616C2" w:rsidRDefault="00C616C2">
      <w:pPr>
        <w:pStyle w:val="Default"/>
        <w:rPr>
          <w:rFonts w:ascii="Calibri" w:hAnsi="Calibri" w:cs="Calibri"/>
          <w:i/>
          <w:color w:val="0070C0"/>
          <w:sz w:val="22"/>
          <w:szCs w:val="22"/>
        </w:rPr>
      </w:pPr>
    </w:p>
    <w:p w14:paraId="1D2F2D52" w14:textId="77777777" w:rsidR="00C616C2" w:rsidRDefault="00C616C2">
      <w:pPr>
        <w:pStyle w:val="Default"/>
      </w:pPr>
      <w:r>
        <w:rPr>
          <w:rFonts w:ascii="Calibri" w:hAnsi="Calibri" w:cs="Calibri"/>
          <w:sz w:val="22"/>
          <w:szCs w:val="22"/>
        </w:rPr>
        <w:t>Účtovná jednotka nemá náplň pre túto položku.</w:t>
      </w:r>
    </w:p>
    <w:p w14:paraId="35EA774F" w14:textId="77777777" w:rsidR="00C616C2" w:rsidRDefault="00C616C2">
      <w:pPr>
        <w:rPr>
          <w:rFonts w:ascii="Calibri" w:hAnsi="Calibri" w:cs="Calibri"/>
          <w:color w:val="000000"/>
          <w:sz w:val="22"/>
          <w:szCs w:val="22"/>
        </w:rPr>
      </w:pPr>
    </w:p>
    <w:p w14:paraId="7EEFE757" w14:textId="77777777" w:rsidR="00C616C2" w:rsidRDefault="00C616C2">
      <w:pPr>
        <w:numPr>
          <w:ilvl w:val="0"/>
          <w:numId w:val="8"/>
        </w:numPr>
      </w:pPr>
      <w:r>
        <w:rPr>
          <w:rFonts w:ascii="Calibri" w:hAnsi="Calibri" w:cs="Calibri"/>
          <w:b/>
          <w:sz w:val="22"/>
          <w:szCs w:val="22"/>
        </w:rPr>
        <w:t>Majetok a záväzky zabezpečené derivátmi</w:t>
      </w:r>
    </w:p>
    <w:p w14:paraId="548AE60C" w14:textId="77777777" w:rsidR="00C616C2" w:rsidRDefault="00C616C2">
      <w:pPr>
        <w:rPr>
          <w:rFonts w:ascii="Calibri" w:hAnsi="Calibri" w:cs="Calibri"/>
          <w:b/>
          <w:sz w:val="22"/>
          <w:szCs w:val="22"/>
        </w:rPr>
      </w:pPr>
    </w:p>
    <w:p w14:paraId="6FA8347F" w14:textId="77777777" w:rsidR="00C616C2" w:rsidRDefault="00C616C2">
      <w:pPr>
        <w:pStyle w:val="Heading"/>
        <w:widowControl w:val="0"/>
        <w:spacing w:after="60"/>
        <w:jc w:val="left"/>
      </w:pPr>
      <w:r>
        <w:rPr>
          <w:rFonts w:ascii="Calibri" w:hAnsi="Calibri" w:cs="Calibri"/>
          <w:b w:val="0"/>
          <w:sz w:val="22"/>
          <w:szCs w:val="22"/>
        </w:rPr>
        <w:t xml:space="preserve">Účtovná jednotka nemá náplň pre túto položku. </w:t>
      </w:r>
    </w:p>
    <w:p w14:paraId="22F2D9AF" w14:textId="77777777" w:rsidR="00C616C2" w:rsidRDefault="00C616C2">
      <w:pPr>
        <w:pStyle w:val="Hlavika"/>
        <w:tabs>
          <w:tab w:val="clear" w:pos="4536"/>
          <w:tab w:val="clear" w:pos="9072"/>
        </w:tabs>
        <w:rPr>
          <w:rFonts w:ascii="Calibri" w:hAnsi="Calibri" w:cs="Calibri"/>
          <w:b/>
          <w:sz w:val="22"/>
          <w:szCs w:val="22"/>
          <w:highlight w:val="yellow"/>
        </w:rPr>
      </w:pPr>
    </w:p>
    <w:p w14:paraId="5995D7A1" w14:textId="77777777" w:rsidR="00C616C2" w:rsidRDefault="00C616C2">
      <w:pPr>
        <w:pStyle w:val="Hlavika"/>
        <w:numPr>
          <w:ilvl w:val="0"/>
          <w:numId w:val="11"/>
        </w:numPr>
        <w:shd w:val="clear" w:color="auto" w:fill="D9D9D9"/>
        <w:tabs>
          <w:tab w:val="clear" w:pos="4536"/>
          <w:tab w:val="clear" w:pos="9072"/>
        </w:tabs>
        <w:ind w:left="426" w:hanging="426"/>
      </w:pPr>
      <w:r>
        <w:rPr>
          <w:rFonts w:ascii="Calibri" w:hAnsi="Calibri" w:cs="Calibri"/>
          <w:sz w:val="22"/>
          <w:szCs w:val="22"/>
        </w:rPr>
        <w:t>ZÁVÄZKY</w:t>
      </w:r>
    </w:p>
    <w:p w14:paraId="647E1926" w14:textId="77777777" w:rsidR="00C616C2" w:rsidRDefault="00C616C2">
      <w:pPr>
        <w:rPr>
          <w:rFonts w:ascii="Calibri" w:hAnsi="Calibri" w:cs="Calibri"/>
          <w:b/>
          <w:sz w:val="22"/>
          <w:szCs w:val="22"/>
        </w:rPr>
      </w:pPr>
    </w:p>
    <w:p w14:paraId="5497A297" w14:textId="77777777" w:rsidR="00C616C2" w:rsidRDefault="00C616C2">
      <w:pPr>
        <w:numPr>
          <w:ilvl w:val="0"/>
          <w:numId w:val="2"/>
        </w:numPr>
        <w:ind w:left="426" w:hanging="426"/>
      </w:pPr>
      <w:r>
        <w:rPr>
          <w:rFonts w:ascii="Calibri" w:hAnsi="Calibri" w:cs="Calibri"/>
          <w:b/>
          <w:sz w:val="22"/>
          <w:szCs w:val="22"/>
        </w:rPr>
        <w:t>Záväzky so zostatkovou dobou splatnosti dlhšou ako 5 rokov</w:t>
      </w:r>
    </w:p>
    <w:p w14:paraId="58456840" w14:textId="77777777" w:rsidR="00C616C2" w:rsidRDefault="00C616C2">
      <w:pPr>
        <w:rPr>
          <w:rFonts w:ascii="Calibri" w:hAnsi="Calibri" w:cs="Calibri"/>
          <w:b/>
          <w:sz w:val="22"/>
          <w:szCs w:val="22"/>
        </w:rPr>
      </w:pPr>
    </w:p>
    <w:p w14:paraId="79BD4094" w14:textId="77777777" w:rsidR="00C616C2" w:rsidRDefault="00C616C2">
      <w:r>
        <w:rPr>
          <w:rFonts w:ascii="Calibri" w:hAnsi="Calibri" w:cs="Calibri"/>
          <w:sz w:val="22"/>
          <w:szCs w:val="22"/>
        </w:rPr>
        <w:t xml:space="preserve">Účtovná jednotka nemá náplň pre túto položku. </w:t>
      </w:r>
    </w:p>
    <w:p w14:paraId="6C636C18" w14:textId="77777777" w:rsidR="00C616C2" w:rsidRDefault="00C616C2">
      <w:pPr>
        <w:rPr>
          <w:rFonts w:ascii="Calibri" w:hAnsi="Calibri" w:cs="Calibri"/>
          <w:sz w:val="22"/>
          <w:szCs w:val="22"/>
        </w:rPr>
      </w:pPr>
    </w:p>
    <w:p w14:paraId="3D36B826" w14:textId="77777777" w:rsidR="00C616C2" w:rsidRDefault="00C616C2">
      <w:pPr>
        <w:numPr>
          <w:ilvl w:val="0"/>
          <w:numId w:val="2"/>
        </w:numPr>
        <w:ind w:left="426" w:hanging="426"/>
      </w:pPr>
      <w:r>
        <w:rPr>
          <w:rFonts w:ascii="Calibri" w:hAnsi="Calibri" w:cs="Calibri"/>
          <w:b/>
          <w:sz w:val="22"/>
          <w:szCs w:val="22"/>
        </w:rPr>
        <w:t>Zabezpečené záväzky</w:t>
      </w:r>
    </w:p>
    <w:p w14:paraId="77436524" w14:textId="77777777" w:rsidR="00C616C2" w:rsidRDefault="00C616C2">
      <w:pPr>
        <w:rPr>
          <w:rFonts w:ascii="Calibri" w:hAnsi="Calibri" w:cs="Calibri"/>
          <w:b/>
          <w:sz w:val="22"/>
          <w:szCs w:val="22"/>
        </w:rPr>
      </w:pPr>
    </w:p>
    <w:p w14:paraId="6F8C0006" w14:textId="77777777" w:rsidR="00C616C2" w:rsidRDefault="00C616C2">
      <w:r>
        <w:rPr>
          <w:rFonts w:ascii="Calibri" w:hAnsi="Calibri" w:cs="Calibri"/>
          <w:sz w:val="22"/>
          <w:szCs w:val="22"/>
        </w:rPr>
        <w:t xml:space="preserve">Účtovná jednotka nemá náplň pre túto položku. </w:t>
      </w:r>
    </w:p>
    <w:p w14:paraId="68E9E063" w14:textId="77777777" w:rsidR="00C616C2" w:rsidRDefault="00C616C2">
      <w:pPr>
        <w:rPr>
          <w:rFonts w:ascii="Calibri" w:hAnsi="Calibri" w:cs="Calibri"/>
          <w:smallCaps/>
          <w:sz w:val="22"/>
          <w:szCs w:val="22"/>
        </w:rPr>
      </w:pPr>
    </w:p>
    <w:p w14:paraId="6F5219B1" w14:textId="77777777" w:rsidR="00C616C2" w:rsidRDefault="00C616C2">
      <w:pPr>
        <w:numPr>
          <w:ilvl w:val="0"/>
          <w:numId w:val="11"/>
        </w:numPr>
        <w:shd w:val="clear" w:color="auto" w:fill="D9D9D9"/>
        <w:ind w:left="426" w:hanging="426"/>
      </w:pPr>
      <w:r>
        <w:rPr>
          <w:rFonts w:ascii="Calibri" w:hAnsi="Calibri" w:cs="Calibri"/>
          <w:smallCaps/>
          <w:sz w:val="22"/>
          <w:szCs w:val="22"/>
        </w:rPr>
        <w:t>VLASTNÉ AKCIE</w:t>
      </w:r>
    </w:p>
    <w:p w14:paraId="3BB09270" w14:textId="77777777" w:rsidR="00C616C2" w:rsidRDefault="00C616C2">
      <w:pPr>
        <w:rPr>
          <w:rFonts w:ascii="Calibri" w:hAnsi="Calibri" w:cs="Calibri"/>
          <w:smallCaps/>
          <w:sz w:val="22"/>
          <w:szCs w:val="22"/>
        </w:rPr>
      </w:pPr>
    </w:p>
    <w:p w14:paraId="7FEEA554" w14:textId="77777777" w:rsidR="00C616C2" w:rsidRDefault="00C616C2">
      <w:pPr>
        <w:pStyle w:val="Default"/>
      </w:pPr>
      <w:r>
        <w:rPr>
          <w:rFonts w:ascii="Calibri" w:hAnsi="Calibri" w:cs="Calibri"/>
          <w:sz w:val="22"/>
          <w:szCs w:val="22"/>
        </w:rPr>
        <w:t>Účtovná jednotka nemá náplň pre túto položku.</w:t>
      </w:r>
    </w:p>
    <w:p w14:paraId="01499522" w14:textId="77777777" w:rsidR="00C616C2" w:rsidRDefault="00C616C2">
      <w:pPr>
        <w:pStyle w:val="Default"/>
        <w:rPr>
          <w:rFonts w:ascii="Calibri" w:hAnsi="Calibri" w:cs="Calibri"/>
          <w:sz w:val="22"/>
          <w:szCs w:val="22"/>
        </w:rPr>
      </w:pPr>
    </w:p>
    <w:p w14:paraId="7EEAF883" w14:textId="77777777" w:rsidR="00C616C2" w:rsidRDefault="00C616C2">
      <w:pPr>
        <w:numPr>
          <w:ilvl w:val="0"/>
          <w:numId w:val="11"/>
        </w:numPr>
        <w:shd w:val="clear" w:color="auto" w:fill="D9D9D9"/>
        <w:ind w:left="426" w:hanging="426"/>
      </w:pPr>
      <w:r>
        <w:rPr>
          <w:rFonts w:ascii="Calibri" w:hAnsi="Calibri" w:cs="Calibri"/>
          <w:smallCaps/>
          <w:sz w:val="22"/>
          <w:szCs w:val="22"/>
        </w:rPr>
        <w:t>INFORMÁCIA O VYTVORENÍ KAPITÁLOVÝCH FONDOV Z PRÍSPEVKOV</w:t>
      </w:r>
    </w:p>
    <w:p w14:paraId="174CBE84" w14:textId="77777777" w:rsidR="00C616C2" w:rsidRDefault="00C616C2">
      <w:pPr>
        <w:pStyle w:val="Default"/>
        <w:rPr>
          <w:rFonts w:ascii="Calibri" w:hAnsi="Calibri" w:cs="Calibri"/>
          <w:smallCaps/>
          <w:sz w:val="22"/>
          <w:szCs w:val="22"/>
        </w:rPr>
      </w:pPr>
    </w:p>
    <w:p w14:paraId="763595CE" w14:textId="77777777" w:rsidR="00C616C2" w:rsidRDefault="00C616C2">
      <w:pPr>
        <w:pStyle w:val="Default"/>
      </w:pPr>
      <w:r>
        <w:rPr>
          <w:rFonts w:ascii="Calibri" w:hAnsi="Calibri" w:cs="Calibri"/>
          <w:sz w:val="22"/>
          <w:szCs w:val="22"/>
        </w:rPr>
        <w:t>Účtovná  jednotka vytvorila kapitálový fond z príspevkov podľa § 123 ods. 2 a § 217a Obchodného zákonníka v znení neskorších predpisov v bežnom účtovnom období.</w:t>
      </w:r>
    </w:p>
    <w:p w14:paraId="00C10776" w14:textId="77777777" w:rsidR="00C616C2" w:rsidRDefault="00C616C2">
      <w:pPr>
        <w:pStyle w:val="Default"/>
        <w:rPr>
          <w:rFonts w:ascii="Calibri" w:hAnsi="Calibri" w:cs="Calibri"/>
          <w:sz w:val="22"/>
          <w:szCs w:val="22"/>
        </w:rPr>
      </w:pPr>
    </w:p>
    <w:p w14:paraId="0847E4A8" w14:textId="77777777" w:rsidR="00C616C2" w:rsidRDefault="00C616C2">
      <w:pPr>
        <w:pStyle w:val="Default"/>
        <w:rPr>
          <w:rFonts w:ascii="Calibri" w:hAnsi="Calibri" w:cs="Calibri"/>
          <w:sz w:val="22"/>
          <w:szCs w:val="22"/>
        </w:rPr>
      </w:pPr>
    </w:p>
    <w:p w14:paraId="491BA9A5" w14:textId="77777777" w:rsidR="00C616C2" w:rsidRDefault="00C616C2">
      <w:pPr>
        <w:numPr>
          <w:ilvl w:val="0"/>
          <w:numId w:val="11"/>
        </w:numPr>
        <w:shd w:val="clear" w:color="auto" w:fill="D9D9D9"/>
        <w:ind w:left="426" w:hanging="426"/>
      </w:pPr>
      <w:r>
        <w:rPr>
          <w:rFonts w:ascii="Calibri" w:hAnsi="Calibri" w:cs="Calibri"/>
          <w:sz w:val="22"/>
          <w:szCs w:val="22"/>
        </w:rPr>
        <w:t>NÁKLADY A VÝNOSY</w:t>
      </w:r>
    </w:p>
    <w:p w14:paraId="4547EF27" w14:textId="77777777" w:rsidR="00C616C2" w:rsidRDefault="00C616C2">
      <w:pPr>
        <w:pStyle w:val="Default"/>
        <w:rPr>
          <w:rFonts w:ascii="Calibri" w:hAnsi="Calibri" w:cs="Calibri"/>
          <w:sz w:val="22"/>
          <w:szCs w:val="22"/>
        </w:rPr>
      </w:pPr>
    </w:p>
    <w:p w14:paraId="73AE82FB" w14:textId="77777777" w:rsidR="00C616C2" w:rsidRPr="00B74C5A" w:rsidRDefault="00C616C2">
      <w:pPr>
        <w:pStyle w:val="Default"/>
        <w:jc w:val="both"/>
        <w:rPr>
          <w:rFonts w:ascii="Calibri" w:hAnsi="Calibri" w:cs="Calibri"/>
          <w:sz w:val="22"/>
          <w:szCs w:val="22"/>
        </w:rPr>
      </w:pPr>
      <w:r>
        <w:rPr>
          <w:rFonts w:ascii="Calibri" w:hAnsi="Calibri" w:cs="Calibri"/>
          <w:sz w:val="22"/>
          <w:szCs w:val="22"/>
        </w:rPr>
        <w:lastRenderedPageBreak/>
        <w:t xml:space="preserve">Spoločnosť počas roka </w:t>
      </w:r>
      <w:r w:rsidR="00880FC0">
        <w:rPr>
          <w:rFonts w:ascii="Calibri" w:hAnsi="Calibri" w:cs="Calibri"/>
          <w:sz w:val="22"/>
          <w:szCs w:val="22"/>
        </w:rPr>
        <w:t xml:space="preserve">2025 </w:t>
      </w:r>
      <w:r>
        <w:rPr>
          <w:rFonts w:ascii="Calibri" w:hAnsi="Calibri" w:cs="Calibri"/>
          <w:sz w:val="22"/>
          <w:szCs w:val="22"/>
        </w:rPr>
        <w:t xml:space="preserve">neúčtovala o vzniku výnimočných nákladov a výnosov, ktoré by mali výnimočný rozsah alebo výskyt, napríklad výnosy z predaja podniku alebo časti podniku, náklady z dôvodu predaja podniku alebo časti podniku, škody z dôvodu živelných pohrôm. </w:t>
      </w:r>
    </w:p>
    <w:p w14:paraId="08E3D2E5" w14:textId="77777777" w:rsidR="00C616C2" w:rsidRDefault="00C616C2">
      <w:pPr>
        <w:pStyle w:val="Default"/>
        <w:rPr>
          <w:rFonts w:ascii="Calibri" w:hAnsi="Calibri" w:cs="Calibri"/>
          <w:sz w:val="22"/>
          <w:szCs w:val="22"/>
        </w:rPr>
      </w:pPr>
    </w:p>
    <w:p w14:paraId="271E4A79" w14:textId="77777777" w:rsidR="00C616C2" w:rsidRDefault="00C616C2">
      <w:pPr>
        <w:rPr>
          <w:rFonts w:ascii="Calibri" w:hAnsi="Calibri" w:cs="Calibri"/>
          <w:color w:val="000000"/>
          <w:sz w:val="22"/>
          <w:szCs w:val="22"/>
        </w:rPr>
      </w:pPr>
    </w:p>
    <w:p w14:paraId="501BCF09" w14:textId="77777777" w:rsidR="00C616C2" w:rsidRDefault="00C616C2">
      <w:pPr>
        <w:jc w:val="center"/>
      </w:pPr>
      <w:r>
        <w:rPr>
          <w:rFonts w:ascii="Calibri" w:hAnsi="Calibri" w:cs="Calibri"/>
          <w:b/>
          <w:sz w:val="22"/>
          <w:szCs w:val="22"/>
        </w:rPr>
        <w:t>ČL. V</w:t>
      </w:r>
    </w:p>
    <w:p w14:paraId="55E26642" w14:textId="77777777" w:rsidR="00C616C2" w:rsidRDefault="00C616C2">
      <w:pPr>
        <w:jc w:val="center"/>
      </w:pPr>
      <w:r>
        <w:rPr>
          <w:rFonts w:ascii="Calibri" w:hAnsi="Calibri" w:cs="Calibri"/>
          <w:b/>
          <w:sz w:val="22"/>
          <w:szCs w:val="22"/>
        </w:rPr>
        <w:t>INÉ AKTÍVA A INÉ PASÍVA</w:t>
      </w:r>
    </w:p>
    <w:p w14:paraId="6979D195" w14:textId="77777777" w:rsidR="00C616C2" w:rsidRDefault="00C616C2">
      <w:pPr>
        <w:rPr>
          <w:rFonts w:ascii="Calibri" w:hAnsi="Calibri" w:cs="Calibri"/>
          <w:b/>
          <w:sz w:val="22"/>
          <w:szCs w:val="22"/>
        </w:rPr>
      </w:pPr>
    </w:p>
    <w:p w14:paraId="016A38A5" w14:textId="77777777" w:rsidR="00C616C2" w:rsidRDefault="00C616C2">
      <w:pPr>
        <w:rPr>
          <w:rFonts w:ascii="Calibri" w:hAnsi="Calibri" w:cs="Calibri"/>
          <w:b/>
          <w:sz w:val="22"/>
          <w:szCs w:val="22"/>
        </w:rPr>
      </w:pPr>
    </w:p>
    <w:p w14:paraId="630BBA8D" w14:textId="77777777" w:rsidR="00C616C2" w:rsidRDefault="00C616C2">
      <w:pPr>
        <w:numPr>
          <w:ilvl w:val="0"/>
          <w:numId w:val="13"/>
        </w:numPr>
        <w:shd w:val="clear" w:color="auto" w:fill="D9D9D9"/>
      </w:pPr>
      <w:r>
        <w:rPr>
          <w:rFonts w:ascii="Calibri" w:hAnsi="Calibri" w:cs="Calibri"/>
          <w:sz w:val="22"/>
          <w:szCs w:val="22"/>
        </w:rPr>
        <w:t>PODMIENENÝ MAJETOK A PODMIENENÉ ZÁV</w:t>
      </w:r>
      <w:r>
        <w:rPr>
          <w:rFonts w:ascii="Calibri" w:hAnsi="Calibri" w:cs="Calibri"/>
          <w:sz w:val="22"/>
          <w:szCs w:val="22"/>
          <w:lang w:val="de-LI"/>
        </w:rPr>
        <w:t>ÄZKY</w:t>
      </w:r>
    </w:p>
    <w:p w14:paraId="54009E4C" w14:textId="77777777" w:rsidR="00C616C2" w:rsidRDefault="00C616C2">
      <w:pPr>
        <w:pStyle w:val="Heading"/>
        <w:spacing w:after="60"/>
        <w:jc w:val="left"/>
        <w:rPr>
          <w:rFonts w:ascii="Calibri" w:hAnsi="Calibri" w:cs="Calibri"/>
          <w:sz w:val="22"/>
          <w:szCs w:val="22"/>
        </w:rPr>
      </w:pPr>
    </w:p>
    <w:p w14:paraId="36C59E34" w14:textId="77777777" w:rsidR="00C616C2" w:rsidRDefault="00C616C2">
      <w:pPr>
        <w:pStyle w:val="Heading"/>
        <w:numPr>
          <w:ilvl w:val="0"/>
          <w:numId w:val="3"/>
        </w:numPr>
        <w:spacing w:after="60"/>
        <w:jc w:val="left"/>
      </w:pPr>
      <w:r>
        <w:rPr>
          <w:rFonts w:ascii="Calibri" w:hAnsi="Calibri" w:cs="Calibri"/>
          <w:sz w:val="22"/>
          <w:szCs w:val="22"/>
        </w:rPr>
        <w:t>Podmienený majetok</w:t>
      </w:r>
    </w:p>
    <w:p w14:paraId="56530D80" w14:textId="77777777" w:rsidR="00C616C2" w:rsidRDefault="00C616C2">
      <w:pPr>
        <w:pStyle w:val="Heading"/>
        <w:spacing w:after="60"/>
        <w:ind w:left="720"/>
        <w:jc w:val="left"/>
        <w:rPr>
          <w:rFonts w:ascii="Calibri" w:hAnsi="Calibri" w:cs="Calibri"/>
          <w:sz w:val="22"/>
          <w:szCs w:val="22"/>
        </w:rPr>
      </w:pPr>
    </w:p>
    <w:p w14:paraId="4B39D4D2" w14:textId="77777777" w:rsidR="00C616C2" w:rsidRDefault="00C616C2">
      <w:pPr>
        <w:pStyle w:val="Default"/>
      </w:pPr>
      <w:r>
        <w:rPr>
          <w:rFonts w:ascii="Calibri" w:hAnsi="Calibri" w:cs="Calibri"/>
          <w:sz w:val="22"/>
          <w:szCs w:val="22"/>
        </w:rPr>
        <w:t>Účtovná jednotka nemá náplň pre túto položku.</w:t>
      </w:r>
    </w:p>
    <w:p w14:paraId="04A656A8" w14:textId="77777777" w:rsidR="00C616C2" w:rsidRDefault="00C616C2">
      <w:pPr>
        <w:pStyle w:val="Default"/>
        <w:rPr>
          <w:rFonts w:ascii="Calibri" w:hAnsi="Calibri" w:cs="Calibri"/>
          <w:sz w:val="22"/>
          <w:szCs w:val="22"/>
        </w:rPr>
      </w:pPr>
    </w:p>
    <w:p w14:paraId="7C5720C0" w14:textId="77777777" w:rsidR="00C616C2" w:rsidRDefault="00C616C2">
      <w:pPr>
        <w:pStyle w:val="Default"/>
        <w:rPr>
          <w:rFonts w:ascii="Calibri" w:hAnsi="Calibri" w:cs="Calibri"/>
          <w:sz w:val="22"/>
          <w:szCs w:val="22"/>
        </w:rPr>
      </w:pPr>
    </w:p>
    <w:p w14:paraId="35906F05" w14:textId="77777777" w:rsidR="00C616C2" w:rsidRDefault="00C616C2">
      <w:pPr>
        <w:pStyle w:val="Heading"/>
        <w:numPr>
          <w:ilvl w:val="0"/>
          <w:numId w:val="3"/>
        </w:numPr>
        <w:spacing w:after="60"/>
        <w:jc w:val="left"/>
      </w:pPr>
      <w:r>
        <w:rPr>
          <w:rFonts w:ascii="Calibri" w:hAnsi="Calibri" w:cs="Calibri"/>
          <w:sz w:val="22"/>
          <w:szCs w:val="22"/>
        </w:rPr>
        <w:t>Podmienené záväzky</w:t>
      </w:r>
    </w:p>
    <w:p w14:paraId="00FFE3AB" w14:textId="77777777" w:rsidR="00C616C2" w:rsidRDefault="00C616C2">
      <w:pPr>
        <w:pStyle w:val="Heading"/>
        <w:spacing w:after="60"/>
        <w:ind w:left="720"/>
        <w:jc w:val="left"/>
        <w:rPr>
          <w:rFonts w:ascii="Calibri" w:hAnsi="Calibri" w:cs="Calibri"/>
          <w:sz w:val="22"/>
          <w:szCs w:val="22"/>
          <w:highlight w:val="yellow"/>
        </w:rPr>
      </w:pPr>
      <w:bookmarkStart w:id="1" w:name="_Hlk99548866"/>
    </w:p>
    <w:p w14:paraId="73CDCA38" w14:textId="77777777" w:rsidR="00CD723F" w:rsidRPr="002A4556" w:rsidRDefault="00CD723F" w:rsidP="00CD723F">
      <w:pPr>
        <w:rPr>
          <w:rFonts w:ascii="Calibri" w:hAnsi="Calibri" w:cs="Calibri"/>
          <w:sz w:val="22"/>
          <w:szCs w:val="22"/>
        </w:rPr>
      </w:pPr>
      <w:r w:rsidRPr="002A4556">
        <w:rPr>
          <w:rFonts w:ascii="Calibri" w:hAnsi="Calibri" w:cs="Calibri"/>
          <w:sz w:val="22"/>
          <w:szCs w:val="22"/>
        </w:rPr>
        <w:t>V roku 2025 bol splátkový úver vo výške 550 tis. EUR splatený v plnom rozsahu. V súčasnosti má spoločnosť poskytnuté výlučne kontokorentné úvery, a to v SLSP s rámcom 300 tis. EUR a v UniCredit Bank s možnosťou čerpania až do výšky 500 tis. EUR.</w:t>
      </w:r>
      <w:r>
        <w:rPr>
          <w:rFonts w:ascii="Calibri" w:hAnsi="Calibri" w:cs="Calibri"/>
          <w:sz w:val="22"/>
          <w:szCs w:val="22"/>
        </w:rPr>
        <w:t xml:space="preserve"> Úvery sú zabezpečené záložným právom k nehnuteľnému majetku.</w:t>
      </w:r>
    </w:p>
    <w:p w14:paraId="38D3C1E7" w14:textId="77777777" w:rsidR="00CD723F" w:rsidRDefault="00CD723F" w:rsidP="00CD723F">
      <w:pPr>
        <w:pStyle w:val="Heading"/>
        <w:spacing w:after="60"/>
        <w:ind w:left="720"/>
        <w:jc w:val="left"/>
        <w:rPr>
          <w:rFonts w:ascii="Calibri" w:hAnsi="Calibri" w:cs="Calibri"/>
          <w:sz w:val="22"/>
          <w:szCs w:val="22"/>
          <w:highlight w:val="yellow"/>
        </w:rPr>
      </w:pPr>
    </w:p>
    <w:p w14:paraId="2EC28E2A" w14:textId="77777777" w:rsidR="00CD723F" w:rsidRDefault="00CD723F" w:rsidP="00CD723F">
      <w:r>
        <w:rPr>
          <w:rFonts w:ascii="Calibri" w:hAnsi="Calibri" w:cs="Calibri"/>
          <w:sz w:val="22"/>
          <w:szCs w:val="22"/>
        </w:rPr>
        <w:t>Ďalej spoločnosť poskytla bankové záruky v celkovej výške 119 760  EUR.</w:t>
      </w:r>
    </w:p>
    <w:bookmarkEnd w:id="1"/>
    <w:p w14:paraId="78D4B387" w14:textId="77777777" w:rsidR="00C616C2" w:rsidRDefault="00C616C2">
      <w:pPr>
        <w:pStyle w:val="Heading"/>
        <w:spacing w:after="60"/>
        <w:jc w:val="left"/>
        <w:rPr>
          <w:rFonts w:ascii="Calibri" w:hAnsi="Calibri" w:cs="Calibri"/>
          <w:sz w:val="22"/>
          <w:szCs w:val="22"/>
          <w:highlight w:val="yellow"/>
        </w:rPr>
      </w:pPr>
    </w:p>
    <w:p w14:paraId="12F82CD2" w14:textId="77777777" w:rsidR="00C616C2" w:rsidRDefault="00C616C2">
      <w:pPr>
        <w:pStyle w:val="Heading"/>
        <w:jc w:val="left"/>
        <w:rPr>
          <w:rFonts w:ascii="Calibri" w:hAnsi="Calibri" w:cs="Calibri"/>
          <w:sz w:val="22"/>
          <w:szCs w:val="22"/>
          <w:highlight w:val="green"/>
        </w:rPr>
      </w:pPr>
    </w:p>
    <w:p w14:paraId="55DC219F" w14:textId="77777777" w:rsidR="00C616C2" w:rsidRDefault="00C616C2">
      <w:pPr>
        <w:numPr>
          <w:ilvl w:val="0"/>
          <w:numId w:val="13"/>
        </w:numPr>
        <w:shd w:val="clear" w:color="auto" w:fill="D9D9D9"/>
      </w:pPr>
      <w:r>
        <w:rPr>
          <w:rFonts w:ascii="Calibri" w:hAnsi="Calibri" w:cs="Calibri"/>
          <w:sz w:val="22"/>
          <w:szCs w:val="22"/>
        </w:rPr>
        <w:t>OSTATNÉ FINANČNÉ POVINNOSTI</w:t>
      </w:r>
    </w:p>
    <w:p w14:paraId="7902A67A" w14:textId="77777777" w:rsidR="00C616C2" w:rsidRDefault="00C616C2">
      <w:pPr>
        <w:rPr>
          <w:rFonts w:ascii="Calibri" w:hAnsi="Calibri" w:cs="Calibri"/>
          <w:sz w:val="22"/>
          <w:szCs w:val="22"/>
        </w:rPr>
      </w:pPr>
    </w:p>
    <w:p w14:paraId="75B98EBA" w14:textId="77777777" w:rsidR="00C616C2" w:rsidRDefault="00C616C2">
      <w:pPr>
        <w:pStyle w:val="Default"/>
      </w:pPr>
      <w:r>
        <w:rPr>
          <w:rFonts w:ascii="Calibri" w:hAnsi="Calibri" w:cs="Calibri"/>
          <w:sz w:val="22"/>
          <w:szCs w:val="22"/>
        </w:rPr>
        <w:t>Účtovná jednotka nemá náplň pre túto položku.</w:t>
      </w:r>
    </w:p>
    <w:p w14:paraId="6AA571E0" w14:textId="77777777" w:rsidR="00C616C2" w:rsidRDefault="00C616C2">
      <w:pPr>
        <w:rPr>
          <w:rFonts w:ascii="Calibri" w:hAnsi="Calibri" w:cs="Calibri"/>
          <w:color w:val="000000"/>
          <w:sz w:val="22"/>
          <w:szCs w:val="22"/>
          <w:highlight w:val="yellow"/>
        </w:rPr>
      </w:pPr>
    </w:p>
    <w:p w14:paraId="680E8566" w14:textId="77777777" w:rsidR="00C616C2" w:rsidRDefault="00C616C2">
      <w:pPr>
        <w:numPr>
          <w:ilvl w:val="0"/>
          <w:numId w:val="13"/>
        </w:numPr>
        <w:shd w:val="clear" w:color="auto" w:fill="D9D9D9"/>
      </w:pPr>
      <w:r>
        <w:rPr>
          <w:rFonts w:ascii="Calibri" w:hAnsi="Calibri" w:cs="Calibri"/>
          <w:smallCaps/>
          <w:sz w:val="22"/>
          <w:szCs w:val="22"/>
        </w:rPr>
        <w:t>PODSÚVAHOVÉ ÚČTY</w:t>
      </w:r>
    </w:p>
    <w:p w14:paraId="102090E5" w14:textId="77777777" w:rsidR="00C616C2" w:rsidRDefault="00C616C2">
      <w:pPr>
        <w:pStyle w:val="Default"/>
        <w:rPr>
          <w:rFonts w:ascii="Calibri" w:hAnsi="Calibri" w:cs="Calibri"/>
          <w:smallCaps/>
          <w:sz w:val="22"/>
          <w:szCs w:val="22"/>
        </w:rPr>
      </w:pPr>
    </w:p>
    <w:p w14:paraId="4C6357D0" w14:textId="77777777" w:rsidR="00C616C2" w:rsidRDefault="00C616C2">
      <w:pPr>
        <w:pStyle w:val="Default"/>
      </w:pPr>
      <w:r>
        <w:rPr>
          <w:rFonts w:ascii="Calibri" w:hAnsi="Calibri" w:cs="Calibri"/>
          <w:sz w:val="22"/>
          <w:szCs w:val="22"/>
        </w:rPr>
        <w:t>Účtovná jednotka nemá náplň pre túto položku.</w:t>
      </w:r>
    </w:p>
    <w:p w14:paraId="1A2CB05D" w14:textId="77777777" w:rsidR="00C616C2" w:rsidRDefault="00C616C2">
      <w:pPr>
        <w:jc w:val="center"/>
        <w:rPr>
          <w:rFonts w:ascii="Calibri" w:hAnsi="Calibri" w:cs="Calibri"/>
          <w:b/>
          <w:color w:val="000000"/>
          <w:sz w:val="22"/>
          <w:szCs w:val="22"/>
          <w:highlight w:val="yellow"/>
        </w:rPr>
      </w:pPr>
    </w:p>
    <w:p w14:paraId="3F76A58B" w14:textId="77777777" w:rsidR="00C616C2" w:rsidRDefault="00C616C2">
      <w:pPr>
        <w:jc w:val="center"/>
        <w:rPr>
          <w:rFonts w:ascii="Calibri" w:hAnsi="Calibri" w:cs="Calibri"/>
          <w:b/>
          <w:color w:val="000000"/>
          <w:sz w:val="22"/>
          <w:szCs w:val="22"/>
          <w:highlight w:val="yellow"/>
        </w:rPr>
      </w:pPr>
    </w:p>
    <w:p w14:paraId="45B9A375" w14:textId="77777777" w:rsidR="00C616C2" w:rsidRDefault="00C616C2">
      <w:pPr>
        <w:jc w:val="center"/>
      </w:pPr>
      <w:r>
        <w:rPr>
          <w:rFonts w:ascii="Calibri" w:hAnsi="Calibri" w:cs="Calibri"/>
          <w:b/>
          <w:sz w:val="22"/>
          <w:szCs w:val="22"/>
        </w:rPr>
        <w:t>ČL. VI</w:t>
      </w:r>
    </w:p>
    <w:p w14:paraId="7DC090CC" w14:textId="77777777" w:rsidR="00C616C2" w:rsidRDefault="00C616C2">
      <w:pPr>
        <w:jc w:val="center"/>
      </w:pPr>
      <w:r>
        <w:rPr>
          <w:rFonts w:ascii="Calibri" w:hAnsi="Calibri" w:cs="Calibri"/>
          <w:b/>
          <w:sz w:val="22"/>
          <w:szCs w:val="22"/>
        </w:rPr>
        <w:t>UDALOSTI, KTORÉ NASTALI PO DNI, KU KTORÉMU SA ZOSTAVUJE ÚČTOVNÁ ZÁVIERKA</w:t>
      </w:r>
    </w:p>
    <w:p w14:paraId="5F7FE562" w14:textId="77777777" w:rsidR="00C616C2" w:rsidRDefault="00C616C2">
      <w:pPr>
        <w:rPr>
          <w:rFonts w:ascii="Calibri" w:hAnsi="Calibri" w:cs="Calibri"/>
          <w:b/>
          <w:sz w:val="22"/>
          <w:szCs w:val="22"/>
        </w:rPr>
      </w:pPr>
    </w:p>
    <w:p w14:paraId="488FC36F" w14:textId="77777777" w:rsidR="00C616C2" w:rsidRDefault="00C616C2">
      <w:pPr>
        <w:jc w:val="left"/>
      </w:pPr>
      <w:r>
        <w:rPr>
          <w:rFonts w:ascii="Calibri" w:hAnsi="Calibri" w:cs="Calibri"/>
          <w:bCs/>
          <w:color w:val="000000"/>
          <w:sz w:val="22"/>
          <w:szCs w:val="22"/>
        </w:rPr>
        <w:t>Spoločnosti nie sú známe žiadne iné skutočnosti, ktoré vznikli po dni, ku ktorému je zostavená účtovná závierka, ktoré by významnejším spôsobom menili výsledky účtovnej závierky za rok 20</w:t>
      </w:r>
      <w:r w:rsidR="00742676">
        <w:rPr>
          <w:rFonts w:ascii="Calibri" w:hAnsi="Calibri" w:cs="Calibri"/>
          <w:bCs/>
          <w:color w:val="000000"/>
          <w:sz w:val="22"/>
          <w:szCs w:val="22"/>
        </w:rPr>
        <w:t>25</w:t>
      </w:r>
      <w:r>
        <w:rPr>
          <w:rFonts w:ascii="Calibri" w:hAnsi="Calibri" w:cs="Calibri"/>
          <w:bCs/>
          <w:color w:val="000000"/>
          <w:sz w:val="22"/>
          <w:szCs w:val="22"/>
        </w:rPr>
        <w:t xml:space="preserve"> resp. by významnejším spôsobom ovplyvnili činnosť spoločnosti v nasledujúcich účtovných obdobiach. </w:t>
      </w:r>
    </w:p>
    <w:p w14:paraId="4E494334" w14:textId="77777777" w:rsidR="00C616C2" w:rsidRDefault="00C616C2">
      <w:pPr>
        <w:rPr>
          <w:rFonts w:ascii="Calibri" w:hAnsi="Calibri" w:cs="Calibri"/>
          <w:sz w:val="22"/>
          <w:szCs w:val="22"/>
        </w:rPr>
      </w:pPr>
    </w:p>
    <w:p w14:paraId="6BA3FF79" w14:textId="77777777" w:rsidR="00C616C2" w:rsidRDefault="00C616C2">
      <w:pPr>
        <w:rPr>
          <w:rFonts w:ascii="Calibri" w:hAnsi="Calibri" w:cs="Calibri"/>
          <w:sz w:val="22"/>
          <w:szCs w:val="22"/>
        </w:rPr>
      </w:pPr>
    </w:p>
    <w:p w14:paraId="0D8CC024" w14:textId="77777777" w:rsidR="00C616C2" w:rsidRDefault="00C616C2">
      <w:pPr>
        <w:jc w:val="center"/>
      </w:pPr>
      <w:r>
        <w:rPr>
          <w:rFonts w:ascii="Calibri" w:hAnsi="Calibri" w:cs="Calibri"/>
          <w:b/>
          <w:sz w:val="22"/>
          <w:szCs w:val="22"/>
        </w:rPr>
        <w:t>ČL. VII</w:t>
      </w:r>
    </w:p>
    <w:p w14:paraId="6BB3F03B" w14:textId="77777777" w:rsidR="00C616C2" w:rsidRDefault="00C616C2">
      <w:pPr>
        <w:jc w:val="center"/>
      </w:pPr>
      <w:r>
        <w:rPr>
          <w:rFonts w:ascii="Calibri" w:hAnsi="Calibri" w:cs="Calibri"/>
          <w:b/>
          <w:sz w:val="22"/>
          <w:szCs w:val="22"/>
        </w:rPr>
        <w:t>OSTATNÉ INFORMÁCIE</w:t>
      </w:r>
    </w:p>
    <w:p w14:paraId="7113E863" w14:textId="77777777" w:rsidR="00C616C2" w:rsidRDefault="00C616C2">
      <w:pPr>
        <w:pStyle w:val="Default"/>
        <w:rPr>
          <w:rFonts w:ascii="Calibri" w:hAnsi="Calibri" w:cs="Calibri"/>
          <w:b/>
          <w:sz w:val="22"/>
          <w:szCs w:val="22"/>
        </w:rPr>
      </w:pPr>
    </w:p>
    <w:p w14:paraId="23C71FF8" w14:textId="77777777" w:rsidR="00C616C2" w:rsidRDefault="00C616C2">
      <w:pPr>
        <w:pStyle w:val="Default"/>
        <w:spacing w:after="14"/>
        <w:jc w:val="both"/>
      </w:pPr>
      <w:r>
        <w:rPr>
          <w:rFonts w:ascii="Calibri" w:hAnsi="Calibri" w:cs="Calibri"/>
          <w:iCs/>
          <w:sz w:val="22"/>
          <w:szCs w:val="22"/>
        </w:rPr>
        <w:lastRenderedPageBreak/>
        <w:t xml:space="preserve">1. V poznámkach sa uvádza informácia o udelení výlučného práva alebo osobitného práva, ktorým sa udelilo právo poskytovať služby vo verejnom záujme, pričom sa uvádza náhrada za túto činnosť v akejkoľvek forme, a ak sa zároveň vykonávajú aj iné činnosti, uvádzajú sa aj informácie o </w:t>
      </w:r>
    </w:p>
    <w:p w14:paraId="29222644" w14:textId="77777777" w:rsidR="00C616C2" w:rsidRDefault="00C616C2">
      <w:pPr>
        <w:pStyle w:val="Default"/>
        <w:spacing w:after="14"/>
        <w:jc w:val="both"/>
      </w:pPr>
      <w:r>
        <w:rPr>
          <w:rFonts w:ascii="Calibri" w:hAnsi="Calibri" w:cs="Calibri"/>
          <w:iCs/>
          <w:sz w:val="22"/>
          <w:szCs w:val="22"/>
        </w:rPr>
        <w:t xml:space="preserve">a) všetkých formách prijatej náhrady, </w:t>
      </w:r>
    </w:p>
    <w:p w14:paraId="1E22C8E2" w14:textId="77777777" w:rsidR="00C616C2" w:rsidRDefault="00C616C2">
      <w:pPr>
        <w:pStyle w:val="Default"/>
        <w:spacing w:after="14"/>
        <w:jc w:val="both"/>
      </w:pPr>
      <w:r>
        <w:rPr>
          <w:rFonts w:ascii="Calibri" w:hAnsi="Calibri" w:cs="Calibri"/>
          <w:iCs/>
          <w:sz w:val="22"/>
          <w:szCs w:val="22"/>
        </w:rPr>
        <w:t xml:space="preserve">b) účtovných zásadách použitých pri prideľovaní nákladov a výnosov, </w:t>
      </w:r>
    </w:p>
    <w:p w14:paraId="37815933" w14:textId="77777777" w:rsidR="00C616C2" w:rsidRDefault="00C616C2">
      <w:pPr>
        <w:pStyle w:val="Default"/>
        <w:jc w:val="both"/>
      </w:pPr>
      <w:r>
        <w:rPr>
          <w:rFonts w:ascii="Calibri" w:hAnsi="Calibri" w:cs="Calibri"/>
          <w:iCs/>
          <w:sz w:val="22"/>
          <w:szCs w:val="22"/>
        </w:rPr>
        <w:t xml:space="preserve">c) všetkých druhoch činností účtovnej jednotky. </w:t>
      </w:r>
    </w:p>
    <w:p w14:paraId="7847BDDC" w14:textId="77777777" w:rsidR="00C616C2" w:rsidRDefault="00C616C2">
      <w:pPr>
        <w:pStyle w:val="Default"/>
        <w:jc w:val="both"/>
        <w:rPr>
          <w:rFonts w:ascii="Calibri" w:hAnsi="Calibri" w:cs="Calibri"/>
          <w:iCs/>
          <w:sz w:val="22"/>
          <w:szCs w:val="22"/>
        </w:rPr>
      </w:pPr>
    </w:p>
    <w:p w14:paraId="734B93EF" w14:textId="77777777" w:rsidR="00C616C2" w:rsidRDefault="00C616C2">
      <w:pPr>
        <w:pStyle w:val="Default"/>
        <w:spacing w:after="14"/>
        <w:jc w:val="both"/>
      </w:pPr>
      <w:r>
        <w:rPr>
          <w:rFonts w:ascii="Calibri" w:hAnsi="Calibri" w:cs="Calibri"/>
          <w:iCs/>
          <w:sz w:val="22"/>
          <w:szCs w:val="22"/>
        </w:rPr>
        <w:t xml:space="preserve">2. V poznámkach účtovnej jednotky, na ktorú sa vzťahuje § 23d ods. 6 zákona, ktorej činnosť je zaradená do kategórie priemyselnej výroby podľa osobitného predpisu23) a ktorej čistý obrat za bezprostredne predchádzajúce účtovné obdobie bol väčší ako 250 000 000 eur, sa uvedú aj informácie o </w:t>
      </w:r>
    </w:p>
    <w:p w14:paraId="35773122" w14:textId="77777777" w:rsidR="00C616C2" w:rsidRDefault="00C616C2">
      <w:pPr>
        <w:pStyle w:val="Default"/>
        <w:spacing w:after="14"/>
        <w:jc w:val="both"/>
      </w:pPr>
      <w:r>
        <w:rPr>
          <w:rFonts w:ascii="Calibri" w:hAnsi="Calibri" w:cs="Calibri"/>
          <w:iCs/>
          <w:sz w:val="22"/>
          <w:szCs w:val="22"/>
        </w:rPr>
        <w:t xml:space="preserve">a) zložení a výške základného imania pripadajúceho na orgány verejnej moci a iné osoby, v ktorých má orgán verejnej moci väčšinový podiel na hlasovacích právach s uvedením druhu akcie, opisu práv a povinností s nimi spojených pre každý druh akcií a ich percentuálny podiel na celkovom základnom imaní alebo hodnote a percentuálnej výške podielov na základnom imaní a s nimi spojených hlasovacích právach, </w:t>
      </w:r>
    </w:p>
    <w:p w14:paraId="38A4C230" w14:textId="77777777" w:rsidR="00C616C2" w:rsidRDefault="00C616C2">
      <w:pPr>
        <w:pStyle w:val="Default"/>
        <w:spacing w:after="14"/>
        <w:jc w:val="both"/>
      </w:pPr>
      <w:r>
        <w:rPr>
          <w:rFonts w:ascii="Calibri" w:hAnsi="Calibri" w:cs="Calibri"/>
          <w:iCs/>
          <w:sz w:val="22"/>
          <w:szCs w:val="22"/>
        </w:rPr>
        <w:t xml:space="preserve">b) cenných papieroch vo vlastníctve orgánov verejnej moci a iných osôb, v ktorých má orgán verejnej moci väčšinový podiel na hlasovacích právach, s ktorými je spojené právo na výmenu za akcie, napríklad konvertibilné dlhopisy, </w:t>
      </w:r>
    </w:p>
    <w:p w14:paraId="23BA874D" w14:textId="77777777" w:rsidR="00C616C2" w:rsidRDefault="00C616C2">
      <w:pPr>
        <w:pStyle w:val="Default"/>
        <w:spacing w:after="14"/>
        <w:jc w:val="both"/>
      </w:pPr>
      <w:r>
        <w:rPr>
          <w:rFonts w:ascii="Calibri" w:hAnsi="Calibri" w:cs="Calibri"/>
          <w:iCs/>
          <w:sz w:val="22"/>
          <w:szCs w:val="22"/>
        </w:rPr>
        <w:t xml:space="preserve">c) výške dotácií a návratných finančných výpomocí, </w:t>
      </w:r>
    </w:p>
    <w:p w14:paraId="45E562F9" w14:textId="77777777" w:rsidR="00C616C2" w:rsidRDefault="00C616C2">
      <w:pPr>
        <w:pStyle w:val="Default"/>
        <w:spacing w:after="14"/>
        <w:jc w:val="both"/>
      </w:pPr>
      <w:r>
        <w:rPr>
          <w:rFonts w:ascii="Calibri" w:hAnsi="Calibri" w:cs="Calibri"/>
          <w:iCs/>
          <w:sz w:val="22"/>
          <w:szCs w:val="22"/>
        </w:rPr>
        <w:t xml:space="preserve">d) prijatých úveroch, poskytnutých prečerpaniach úverov, prijatých kapitálových príspevkoch s uvedením úrokových sadzieb a o podmienkach poskytnutia úveru a zárukách poskytnutých účtovnou jednotkou, </w:t>
      </w:r>
    </w:p>
    <w:p w14:paraId="0C12C7AC" w14:textId="77777777" w:rsidR="00C616C2" w:rsidRDefault="00C616C2">
      <w:pPr>
        <w:pStyle w:val="Default"/>
        <w:jc w:val="both"/>
      </w:pPr>
      <w:r>
        <w:rPr>
          <w:rFonts w:ascii="Calibri" w:hAnsi="Calibri" w:cs="Calibri"/>
          <w:iCs/>
          <w:sz w:val="22"/>
          <w:szCs w:val="22"/>
        </w:rPr>
        <w:t xml:space="preserve">e) zárukách poskytnutých orgánom verejnej moci a zárukách poskytnutých inou účtovnou jednotkou, v ktorej má orgán verejnej moci väčšinový podiel na hlasovacích právach, podmienkach ich poskytnutia a nákladoch na ich získanie, </w:t>
      </w:r>
    </w:p>
    <w:p w14:paraId="4782C376" w14:textId="77777777" w:rsidR="00C616C2" w:rsidRDefault="00C616C2">
      <w:pPr>
        <w:pStyle w:val="Default"/>
        <w:jc w:val="both"/>
      </w:pPr>
      <w:r>
        <w:rPr>
          <w:rFonts w:ascii="Calibri" w:hAnsi="Calibri" w:cs="Calibri"/>
          <w:iCs/>
          <w:sz w:val="22"/>
          <w:szCs w:val="22"/>
        </w:rPr>
        <w:t xml:space="preserve">3) Sekcia C prílohy vyhlášky Štatistického úradu Slovenskej republiky č. 306/2007 Z. z., ktorou sa vydáva Štatistická klasifikácia ekonomických činností. 9 </w:t>
      </w:r>
    </w:p>
    <w:p w14:paraId="7E91659F" w14:textId="77777777" w:rsidR="00C616C2" w:rsidRDefault="00C616C2">
      <w:pPr>
        <w:pStyle w:val="Default"/>
        <w:spacing w:after="17"/>
        <w:jc w:val="both"/>
      </w:pPr>
      <w:r>
        <w:rPr>
          <w:rFonts w:ascii="Calibri" w:hAnsi="Calibri" w:cs="Calibri"/>
          <w:iCs/>
          <w:sz w:val="22"/>
          <w:szCs w:val="22"/>
        </w:rPr>
        <w:t xml:space="preserve">f) vyplatených dividendách a výške nerozdeleného zisku, </w:t>
      </w:r>
    </w:p>
    <w:p w14:paraId="2AF48A36" w14:textId="77777777" w:rsidR="00C616C2" w:rsidRDefault="00C616C2">
      <w:pPr>
        <w:pStyle w:val="Default"/>
        <w:jc w:val="both"/>
      </w:pPr>
      <w:r>
        <w:rPr>
          <w:rFonts w:ascii="Calibri" w:hAnsi="Calibri" w:cs="Calibri"/>
          <w:iCs/>
          <w:sz w:val="22"/>
          <w:szCs w:val="22"/>
        </w:rPr>
        <w:t xml:space="preserve">g) iných formách prijatej štátnej pomoci, najmä odpustenie súm, ktoré účtovná jednotka dlhuje štátu alebo inému subjektu verejnej správy. </w:t>
      </w:r>
    </w:p>
    <w:p w14:paraId="0267006E" w14:textId="77777777" w:rsidR="00C616C2" w:rsidRDefault="00C616C2">
      <w:pPr>
        <w:pStyle w:val="Default"/>
        <w:jc w:val="both"/>
        <w:rPr>
          <w:rFonts w:ascii="Calibri" w:hAnsi="Calibri" w:cs="Calibri"/>
          <w:iCs/>
          <w:sz w:val="22"/>
          <w:szCs w:val="22"/>
        </w:rPr>
      </w:pPr>
    </w:p>
    <w:p w14:paraId="44882206" w14:textId="77777777" w:rsidR="00C616C2" w:rsidRDefault="00C616C2">
      <w:pPr>
        <w:pStyle w:val="Default"/>
        <w:spacing w:after="17"/>
        <w:jc w:val="both"/>
      </w:pPr>
      <w:r>
        <w:rPr>
          <w:rFonts w:ascii="Calibri" w:hAnsi="Calibri" w:cs="Calibri"/>
          <w:iCs/>
          <w:sz w:val="22"/>
          <w:szCs w:val="22"/>
        </w:rPr>
        <w:t xml:space="preserve">3. V poznámkach účtovnej jednotky, na ktorú sa vzťahuje § 23d ods. 6 zákona, sa uvedú aj informácie o finančných vzťahoch medzi orgánom verejnej moci a účtovnou jednotkou a to o: </w:t>
      </w:r>
    </w:p>
    <w:p w14:paraId="358E2483" w14:textId="77777777" w:rsidR="00C616C2" w:rsidRDefault="00C616C2">
      <w:pPr>
        <w:pStyle w:val="Default"/>
        <w:spacing w:after="17"/>
        <w:jc w:val="both"/>
      </w:pPr>
      <w:r>
        <w:rPr>
          <w:rFonts w:ascii="Calibri" w:hAnsi="Calibri" w:cs="Calibri"/>
          <w:iCs/>
          <w:sz w:val="22"/>
          <w:szCs w:val="22"/>
        </w:rPr>
        <w:t xml:space="preserve">a) náhradách strát z hospodárskej činnosti účtovnej jednotky, </w:t>
      </w:r>
    </w:p>
    <w:p w14:paraId="291B8863" w14:textId="77777777" w:rsidR="00C616C2" w:rsidRDefault="00C616C2">
      <w:pPr>
        <w:pStyle w:val="Default"/>
        <w:spacing w:after="17"/>
        <w:jc w:val="both"/>
      </w:pPr>
      <w:r>
        <w:rPr>
          <w:rFonts w:ascii="Calibri" w:hAnsi="Calibri" w:cs="Calibri"/>
          <w:iCs/>
          <w:sz w:val="22"/>
          <w:szCs w:val="22"/>
        </w:rPr>
        <w:t xml:space="preserve">b) peňažných vkladoch a nepeňažných vkladoch, </w:t>
      </w:r>
    </w:p>
    <w:p w14:paraId="204C0CCB" w14:textId="77777777" w:rsidR="00C616C2" w:rsidRDefault="00C616C2">
      <w:pPr>
        <w:pStyle w:val="Default"/>
        <w:spacing w:after="17"/>
        <w:jc w:val="both"/>
      </w:pPr>
      <w:r>
        <w:rPr>
          <w:rFonts w:ascii="Calibri" w:hAnsi="Calibri" w:cs="Calibri"/>
          <w:iCs/>
          <w:sz w:val="22"/>
          <w:szCs w:val="22"/>
        </w:rPr>
        <w:t xml:space="preserve">c) nenávratných finančných príspevkoch alebo pôžičkách za zvýhodnených podmienok, </w:t>
      </w:r>
    </w:p>
    <w:p w14:paraId="20937E85" w14:textId="77777777" w:rsidR="00C616C2" w:rsidRDefault="00C616C2">
      <w:pPr>
        <w:pStyle w:val="Default"/>
        <w:spacing w:after="17"/>
        <w:jc w:val="both"/>
      </w:pPr>
      <w:r>
        <w:rPr>
          <w:rFonts w:ascii="Calibri" w:hAnsi="Calibri" w:cs="Calibri"/>
          <w:iCs/>
          <w:sz w:val="22"/>
          <w:szCs w:val="22"/>
        </w:rPr>
        <w:t xml:space="preserve">d) finančných výhodách, ktorými sú napríklad nevymáhanie pohľadávky voči účtovnej jednotke, </w:t>
      </w:r>
    </w:p>
    <w:p w14:paraId="556985B0" w14:textId="77777777" w:rsidR="00C616C2" w:rsidRDefault="00C616C2">
      <w:pPr>
        <w:pStyle w:val="Default"/>
        <w:spacing w:after="17"/>
        <w:jc w:val="both"/>
      </w:pPr>
      <w:r>
        <w:rPr>
          <w:rFonts w:ascii="Calibri" w:hAnsi="Calibri" w:cs="Calibri"/>
          <w:iCs/>
          <w:sz w:val="22"/>
          <w:szCs w:val="22"/>
        </w:rPr>
        <w:t xml:space="preserve">e) vzdaní sa dividend alebo podielov na zisku, </w:t>
      </w:r>
    </w:p>
    <w:p w14:paraId="4C3A94D1" w14:textId="77777777" w:rsidR="00C616C2" w:rsidRDefault="00C616C2">
      <w:pPr>
        <w:jc w:val="left"/>
      </w:pPr>
      <w:r>
        <w:rPr>
          <w:rFonts w:ascii="Calibri" w:hAnsi="Calibri" w:cs="Calibri"/>
          <w:iCs/>
          <w:sz w:val="22"/>
          <w:szCs w:val="22"/>
        </w:rPr>
        <w:t xml:space="preserve">f) poskytnutých náhradách za finančné povinnosti uložené orgánom verejnej moci. </w:t>
      </w:r>
    </w:p>
    <w:p w14:paraId="7E6BF4A2" w14:textId="77777777" w:rsidR="00C616C2" w:rsidRDefault="00C616C2">
      <w:pPr>
        <w:pStyle w:val="Default"/>
        <w:rPr>
          <w:rFonts w:ascii="Calibri" w:hAnsi="Calibri" w:cs="Calibri"/>
          <w:iCs/>
          <w:sz w:val="22"/>
          <w:szCs w:val="22"/>
        </w:rPr>
      </w:pPr>
    </w:p>
    <w:p w14:paraId="0E94DB79" w14:textId="77777777" w:rsidR="00C616C2" w:rsidRDefault="00C616C2">
      <w:pPr>
        <w:pStyle w:val="Default"/>
        <w:rPr>
          <w:rFonts w:ascii="Calibri" w:hAnsi="Calibri" w:cs="Calibri"/>
          <w:iCs/>
          <w:sz w:val="22"/>
          <w:szCs w:val="22"/>
        </w:rPr>
      </w:pPr>
    </w:p>
    <w:p w14:paraId="7FB464BB" w14:textId="77777777" w:rsidR="008F5129" w:rsidRDefault="00C616C2">
      <w:pPr>
        <w:pStyle w:val="Default"/>
      </w:pPr>
      <w:r>
        <w:rPr>
          <w:rFonts w:ascii="Calibri" w:hAnsi="Calibri" w:cs="Calibri"/>
          <w:sz w:val="22"/>
          <w:szCs w:val="22"/>
        </w:rPr>
        <w:t>Účtovná jednotka nemá náplň pre túto položku.</w:t>
      </w:r>
    </w:p>
    <w:sectPr w:rsidR="008F5129">
      <w:headerReference w:type="default" r:id="rId11"/>
      <w:footerReference w:type="default" r:id="rId12"/>
      <w:pgSz w:w="11906" w:h="16838"/>
      <w:pgMar w:top="1418" w:right="1418" w:bottom="1418" w:left="141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B5A33E8" w14:textId="77777777" w:rsidR="004D3A62" w:rsidRDefault="004D3A62">
      <w:r>
        <w:separator/>
      </w:r>
    </w:p>
  </w:endnote>
  <w:endnote w:type="continuationSeparator" w:id="0">
    <w:p w14:paraId="39D8189E" w14:textId="77777777" w:rsidR="004D3A62" w:rsidRDefault="004D3A6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EFF" w:usb1="C000785B" w:usb2="00000009" w:usb3="00000000" w:csb0="000001FF" w:csb1="00000000"/>
  </w:font>
  <w:font w:name="Arial Narrow">
    <w:panose1 w:val="020B0606020202030204"/>
    <w:charset w:val="EE"/>
    <w:family w:val="swiss"/>
    <w:pitch w:val="variable"/>
    <w:sig w:usb0="00000287" w:usb1="00000800" w:usb2="00000000" w:usb3="00000000" w:csb0="0000009F" w:csb1="00000000"/>
  </w:font>
  <w:font w:name="Verdana">
    <w:panose1 w:val="020B0604030504040204"/>
    <w:charset w:val="EE"/>
    <w:family w:val="swiss"/>
    <w:pitch w:val="variable"/>
    <w:sig w:usb0="A00006FF" w:usb1="4000205B" w:usb2="00000010" w:usb3="00000000" w:csb0="0000019F" w:csb1="00000000"/>
  </w:font>
  <w:font w:name="Aptos Display">
    <w:charset w:val="00"/>
    <w:family w:val="swiss"/>
    <w:pitch w:val="variable"/>
    <w:sig w:usb0="20000287" w:usb1="00000003" w:usb2="00000000" w:usb3="00000000" w:csb0="0000019F" w:csb1="00000000"/>
  </w:font>
  <w:font w:name="Aptos">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82996B" w14:textId="77777777" w:rsidR="00C616C2" w:rsidRDefault="00C616C2">
    <w:pPr>
      <w:pStyle w:val="Pta"/>
      <w:ind w:right="360"/>
      <w:jc w:val="right"/>
      <w:rPr>
        <w:rFonts w:cs="Verdana"/>
      </w:rPr>
    </w:pPr>
    <w:r>
      <w:pict w14:anchorId="3A1A826A">
        <v:shapetype id="_x0000_t202" coordsize="21600,21600" o:spt="202" path="m,l,21600r21600,l21600,xe">
          <v:stroke joinstyle="miter"/>
          <v:path gradientshapeok="t" o:connecttype="rect"/>
        </v:shapetype>
        <v:shape id="_x0000_s1025" type="#_x0000_t202" style="position:absolute;left:0;text-align:left;margin-left:524.4pt;margin-top:.05pt;width:10.05pt;height:9.6pt;z-index:251657728;mso-wrap-distance-left:0;mso-wrap-distance-right:0;mso-position-horizontal-relative:page" stroked="f">
          <v:fill opacity="0" color2="black"/>
          <v:textbox inset=".1pt,.1pt,.1pt,.1pt">
            <w:txbxContent>
              <w:p w14:paraId="2609E6C3" w14:textId="77777777" w:rsidR="00C616C2" w:rsidRDefault="00C616C2">
                <w:pPr>
                  <w:pStyle w:val="Pta"/>
                </w:pPr>
                <w:r>
                  <w:rPr>
                    <w:rStyle w:val="slostrany"/>
                    <w:rFonts w:ascii="Verdana" w:hAnsi="Verdana" w:cs="Verdana"/>
                    <w:sz w:val="16"/>
                    <w:szCs w:val="16"/>
                  </w:rPr>
                  <w:fldChar w:fldCharType="begin"/>
                </w:r>
                <w:r>
                  <w:rPr>
                    <w:rStyle w:val="slostrany"/>
                    <w:rFonts w:ascii="Verdana" w:hAnsi="Verdana" w:cs="Verdana"/>
                    <w:sz w:val="16"/>
                    <w:szCs w:val="16"/>
                  </w:rPr>
                  <w:instrText xml:space="preserve"> PAGE </w:instrText>
                </w:r>
                <w:r>
                  <w:rPr>
                    <w:rStyle w:val="slostrany"/>
                    <w:rFonts w:ascii="Verdana" w:hAnsi="Verdana" w:cs="Verdana"/>
                    <w:sz w:val="16"/>
                    <w:szCs w:val="16"/>
                  </w:rPr>
                  <w:fldChar w:fldCharType="separate"/>
                </w:r>
                <w:r>
                  <w:rPr>
                    <w:rStyle w:val="slostrany"/>
                    <w:rFonts w:ascii="Verdana" w:hAnsi="Verdana" w:cs="Verdana"/>
                    <w:sz w:val="16"/>
                    <w:szCs w:val="16"/>
                  </w:rPr>
                  <w:t>1</w:t>
                </w:r>
                <w:r>
                  <w:rPr>
                    <w:rStyle w:val="slostrany"/>
                    <w:rFonts w:ascii="Verdana" w:hAnsi="Verdana" w:cs="Verdana"/>
                    <w:sz w:val="16"/>
                    <w:szCs w:val="16"/>
                  </w:rPr>
                  <w:fldChar w:fldCharType="end"/>
                </w:r>
              </w:p>
            </w:txbxContent>
          </v:textbox>
          <w10:wrap type="square" side="largest"/>
        </v:shape>
      </w:pict>
    </w:r>
  </w:p>
  <w:p w14:paraId="704471F0" w14:textId="77777777" w:rsidR="00C616C2" w:rsidRDefault="00C616C2">
    <w:pPr>
      <w:pStyle w:val="Pta"/>
      <w:rPr>
        <w:rFonts w:cs="Verdana"/>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7381016" w14:textId="77777777" w:rsidR="004D3A62" w:rsidRDefault="004D3A62">
      <w:r>
        <w:separator/>
      </w:r>
    </w:p>
  </w:footnote>
  <w:footnote w:type="continuationSeparator" w:id="0">
    <w:p w14:paraId="4B13B0CA" w14:textId="77777777" w:rsidR="004D3A62" w:rsidRDefault="004D3A6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Layout w:type="fixed"/>
      <w:tblLook w:val="0000" w:firstRow="0" w:lastRow="0" w:firstColumn="0" w:lastColumn="0" w:noHBand="0" w:noVBand="0"/>
    </w:tblPr>
    <w:tblGrid>
      <w:gridCol w:w="2679"/>
      <w:gridCol w:w="3112"/>
      <w:gridCol w:w="953"/>
      <w:gridCol w:w="318"/>
      <w:gridCol w:w="318"/>
      <w:gridCol w:w="318"/>
      <w:gridCol w:w="318"/>
      <w:gridCol w:w="318"/>
      <w:gridCol w:w="318"/>
      <w:gridCol w:w="318"/>
      <w:gridCol w:w="348"/>
    </w:tblGrid>
    <w:tr w:rsidR="00C616C2" w14:paraId="571C42EB" w14:textId="77777777">
      <w:tc>
        <w:tcPr>
          <w:tcW w:w="2679" w:type="dxa"/>
        </w:tcPr>
        <w:p w14:paraId="5C16829D" w14:textId="77777777" w:rsidR="00C616C2" w:rsidRDefault="00C616C2">
          <w:pPr>
            <w:tabs>
              <w:tab w:val="left" w:pos="7797"/>
              <w:tab w:val="right" w:pos="9072"/>
            </w:tabs>
            <w:jc w:val="left"/>
          </w:pPr>
          <w:r>
            <w:rPr>
              <w:rFonts w:ascii="Verdana" w:hAnsi="Verdana" w:cs="Verdana"/>
              <w:sz w:val="16"/>
              <w:szCs w:val="16"/>
            </w:rPr>
            <w:t xml:space="preserve">Poznámky </w:t>
          </w:r>
          <w:proofErr w:type="spellStart"/>
          <w:r>
            <w:rPr>
              <w:rFonts w:ascii="Verdana" w:hAnsi="Verdana" w:cs="Verdana"/>
              <w:sz w:val="16"/>
              <w:szCs w:val="16"/>
            </w:rPr>
            <w:t>Úč</w:t>
          </w:r>
          <w:proofErr w:type="spellEnd"/>
          <w:r>
            <w:rPr>
              <w:rFonts w:ascii="Verdana" w:hAnsi="Verdana" w:cs="Verdana"/>
              <w:sz w:val="16"/>
              <w:szCs w:val="16"/>
            </w:rPr>
            <w:t xml:space="preserve"> POD 3 - 01</w:t>
          </w:r>
        </w:p>
      </w:tc>
      <w:tc>
        <w:tcPr>
          <w:tcW w:w="3112" w:type="dxa"/>
        </w:tcPr>
        <w:p w14:paraId="669D9D6B" w14:textId="77777777" w:rsidR="00C616C2" w:rsidRDefault="00C616C2">
          <w:pPr>
            <w:tabs>
              <w:tab w:val="center" w:pos="1424"/>
              <w:tab w:val="left" w:pos="7797"/>
              <w:tab w:val="right" w:pos="9072"/>
            </w:tabs>
          </w:pPr>
          <w:r>
            <w:rPr>
              <w:rFonts w:ascii="Verdana" w:hAnsi="Verdana" w:cs="Verdana"/>
              <w:sz w:val="16"/>
              <w:szCs w:val="16"/>
            </w:rPr>
            <w:tab/>
            <w:t>Starý otec, a. s.</w:t>
          </w:r>
        </w:p>
      </w:tc>
      <w:tc>
        <w:tcPr>
          <w:tcW w:w="953" w:type="dxa"/>
          <w:tcBorders>
            <w:right w:val="single" w:sz="4" w:space="0" w:color="000000"/>
          </w:tcBorders>
        </w:tcPr>
        <w:p w14:paraId="47AD10A6" w14:textId="77777777" w:rsidR="00C616C2" w:rsidRDefault="00C616C2">
          <w:pPr>
            <w:tabs>
              <w:tab w:val="left" w:pos="7797"/>
              <w:tab w:val="right" w:pos="9072"/>
            </w:tabs>
            <w:jc w:val="left"/>
          </w:pPr>
          <w:r>
            <w:rPr>
              <w:rFonts w:ascii="Verdana" w:hAnsi="Verdana" w:cs="Verdana"/>
              <w:sz w:val="16"/>
              <w:szCs w:val="16"/>
            </w:rPr>
            <w:t>IČO</w:t>
          </w:r>
        </w:p>
      </w:tc>
      <w:tc>
        <w:tcPr>
          <w:tcW w:w="318" w:type="dxa"/>
          <w:tcBorders>
            <w:top w:val="single" w:sz="4" w:space="0" w:color="000000"/>
            <w:left w:val="single" w:sz="4" w:space="0" w:color="000000"/>
            <w:bottom w:val="single" w:sz="4" w:space="0" w:color="000000"/>
            <w:right w:val="single" w:sz="4" w:space="0" w:color="000000"/>
          </w:tcBorders>
        </w:tcPr>
        <w:p w14:paraId="55649708" w14:textId="77777777" w:rsidR="00C616C2" w:rsidRDefault="00C616C2">
          <w:pPr>
            <w:tabs>
              <w:tab w:val="left" w:pos="7797"/>
              <w:tab w:val="right" w:pos="9072"/>
            </w:tabs>
            <w:jc w:val="left"/>
          </w:pPr>
          <w:r>
            <w:rPr>
              <w:rFonts w:ascii="Verdana" w:hAnsi="Verdana" w:cs="Verdana"/>
              <w:sz w:val="16"/>
              <w:szCs w:val="16"/>
            </w:rPr>
            <w:t>3</w:t>
          </w:r>
        </w:p>
      </w:tc>
      <w:tc>
        <w:tcPr>
          <w:tcW w:w="318" w:type="dxa"/>
          <w:tcBorders>
            <w:top w:val="single" w:sz="4" w:space="0" w:color="000000"/>
            <w:left w:val="single" w:sz="4" w:space="0" w:color="000000"/>
            <w:bottom w:val="single" w:sz="4" w:space="0" w:color="000000"/>
            <w:right w:val="single" w:sz="4" w:space="0" w:color="000000"/>
          </w:tcBorders>
        </w:tcPr>
        <w:p w14:paraId="0F02E8DF" w14:textId="77777777" w:rsidR="00C616C2" w:rsidRDefault="00C616C2">
          <w:pPr>
            <w:tabs>
              <w:tab w:val="left" w:pos="7797"/>
              <w:tab w:val="right" w:pos="9072"/>
            </w:tabs>
            <w:jc w:val="left"/>
          </w:pPr>
          <w:r>
            <w:rPr>
              <w:rFonts w:ascii="Verdana" w:hAnsi="Verdana" w:cs="Verdana"/>
              <w:sz w:val="16"/>
              <w:szCs w:val="16"/>
            </w:rPr>
            <w:t>6</w:t>
          </w:r>
        </w:p>
      </w:tc>
      <w:tc>
        <w:tcPr>
          <w:tcW w:w="318" w:type="dxa"/>
          <w:tcBorders>
            <w:top w:val="single" w:sz="4" w:space="0" w:color="000000"/>
            <w:left w:val="single" w:sz="4" w:space="0" w:color="000000"/>
            <w:bottom w:val="single" w:sz="4" w:space="0" w:color="000000"/>
            <w:right w:val="single" w:sz="4" w:space="0" w:color="000000"/>
          </w:tcBorders>
        </w:tcPr>
        <w:p w14:paraId="7DAC7A1D" w14:textId="77777777" w:rsidR="00C616C2" w:rsidRDefault="00C616C2">
          <w:pPr>
            <w:tabs>
              <w:tab w:val="left" w:pos="7797"/>
              <w:tab w:val="right" w:pos="9072"/>
            </w:tabs>
            <w:jc w:val="left"/>
          </w:pPr>
          <w:r>
            <w:rPr>
              <w:rFonts w:ascii="Verdana" w:hAnsi="Verdana" w:cs="Verdana"/>
              <w:sz w:val="16"/>
              <w:szCs w:val="16"/>
            </w:rPr>
            <w:t>7</w:t>
          </w:r>
        </w:p>
      </w:tc>
      <w:tc>
        <w:tcPr>
          <w:tcW w:w="318" w:type="dxa"/>
          <w:tcBorders>
            <w:top w:val="single" w:sz="4" w:space="0" w:color="000000"/>
            <w:left w:val="single" w:sz="4" w:space="0" w:color="000000"/>
            <w:bottom w:val="single" w:sz="4" w:space="0" w:color="000000"/>
            <w:right w:val="single" w:sz="4" w:space="0" w:color="000000"/>
          </w:tcBorders>
        </w:tcPr>
        <w:p w14:paraId="5CD5B932" w14:textId="77777777" w:rsidR="00C616C2" w:rsidRDefault="00C616C2">
          <w:pPr>
            <w:tabs>
              <w:tab w:val="left" w:pos="7797"/>
              <w:tab w:val="right" w:pos="9072"/>
            </w:tabs>
            <w:jc w:val="left"/>
          </w:pPr>
          <w:r>
            <w:rPr>
              <w:rFonts w:ascii="Verdana" w:hAnsi="Verdana" w:cs="Verdana"/>
              <w:sz w:val="16"/>
              <w:szCs w:val="16"/>
            </w:rPr>
            <w:t>6</w:t>
          </w:r>
        </w:p>
      </w:tc>
      <w:tc>
        <w:tcPr>
          <w:tcW w:w="318" w:type="dxa"/>
          <w:tcBorders>
            <w:top w:val="single" w:sz="4" w:space="0" w:color="000000"/>
            <w:left w:val="single" w:sz="4" w:space="0" w:color="000000"/>
            <w:bottom w:val="single" w:sz="4" w:space="0" w:color="000000"/>
            <w:right w:val="single" w:sz="4" w:space="0" w:color="000000"/>
          </w:tcBorders>
        </w:tcPr>
        <w:p w14:paraId="0E2EAD60" w14:textId="77777777" w:rsidR="00C616C2" w:rsidRDefault="00C616C2">
          <w:pPr>
            <w:tabs>
              <w:tab w:val="left" w:pos="7797"/>
              <w:tab w:val="right" w:pos="9072"/>
            </w:tabs>
            <w:jc w:val="left"/>
          </w:pPr>
          <w:r>
            <w:rPr>
              <w:rFonts w:ascii="Verdana" w:hAnsi="Verdana" w:cs="Verdana"/>
              <w:sz w:val="16"/>
              <w:szCs w:val="16"/>
            </w:rPr>
            <w:t>9</w:t>
          </w:r>
        </w:p>
      </w:tc>
      <w:tc>
        <w:tcPr>
          <w:tcW w:w="318" w:type="dxa"/>
          <w:tcBorders>
            <w:top w:val="single" w:sz="4" w:space="0" w:color="000000"/>
            <w:left w:val="single" w:sz="4" w:space="0" w:color="000000"/>
            <w:bottom w:val="single" w:sz="4" w:space="0" w:color="000000"/>
            <w:right w:val="single" w:sz="4" w:space="0" w:color="000000"/>
          </w:tcBorders>
        </w:tcPr>
        <w:p w14:paraId="2FBDF92B" w14:textId="77777777" w:rsidR="00C616C2" w:rsidRDefault="00C616C2">
          <w:pPr>
            <w:tabs>
              <w:tab w:val="left" w:pos="7797"/>
              <w:tab w:val="right" w:pos="9072"/>
            </w:tabs>
            <w:jc w:val="left"/>
          </w:pPr>
          <w:r>
            <w:rPr>
              <w:rFonts w:ascii="Verdana" w:hAnsi="Verdana" w:cs="Verdana"/>
              <w:sz w:val="16"/>
              <w:szCs w:val="16"/>
            </w:rPr>
            <w:t>3</w:t>
          </w:r>
        </w:p>
      </w:tc>
      <w:tc>
        <w:tcPr>
          <w:tcW w:w="318" w:type="dxa"/>
          <w:tcBorders>
            <w:top w:val="single" w:sz="4" w:space="0" w:color="000000"/>
            <w:left w:val="single" w:sz="4" w:space="0" w:color="000000"/>
            <w:bottom w:val="single" w:sz="4" w:space="0" w:color="000000"/>
            <w:right w:val="single" w:sz="4" w:space="0" w:color="000000"/>
          </w:tcBorders>
        </w:tcPr>
        <w:p w14:paraId="260CB06D" w14:textId="77777777" w:rsidR="00C616C2" w:rsidRDefault="00C616C2">
          <w:pPr>
            <w:tabs>
              <w:tab w:val="left" w:pos="7797"/>
              <w:tab w:val="right" w:pos="9072"/>
            </w:tabs>
            <w:jc w:val="left"/>
          </w:pPr>
          <w:r>
            <w:rPr>
              <w:rFonts w:ascii="Verdana" w:hAnsi="Verdana" w:cs="Verdana"/>
              <w:sz w:val="16"/>
              <w:szCs w:val="16"/>
            </w:rPr>
            <w:t>7</w:t>
          </w:r>
        </w:p>
      </w:tc>
      <w:tc>
        <w:tcPr>
          <w:tcW w:w="348" w:type="dxa"/>
          <w:tcBorders>
            <w:top w:val="single" w:sz="4" w:space="0" w:color="000000"/>
            <w:left w:val="single" w:sz="4" w:space="0" w:color="000000"/>
            <w:bottom w:val="single" w:sz="4" w:space="0" w:color="000000"/>
            <w:right w:val="single" w:sz="4" w:space="0" w:color="000000"/>
          </w:tcBorders>
        </w:tcPr>
        <w:p w14:paraId="4FD91C37" w14:textId="77777777" w:rsidR="00C616C2" w:rsidRDefault="00C616C2">
          <w:pPr>
            <w:tabs>
              <w:tab w:val="left" w:pos="7797"/>
              <w:tab w:val="right" w:pos="9072"/>
            </w:tabs>
            <w:jc w:val="left"/>
          </w:pPr>
          <w:r>
            <w:rPr>
              <w:rFonts w:ascii="Verdana" w:hAnsi="Verdana" w:cs="Verdana"/>
              <w:sz w:val="16"/>
              <w:szCs w:val="16"/>
            </w:rPr>
            <w:t>1</w:t>
          </w:r>
        </w:p>
      </w:tc>
    </w:tr>
  </w:tbl>
  <w:p w14:paraId="72402283" w14:textId="77777777" w:rsidR="00C616C2" w:rsidRDefault="00C616C2"/>
  <w:tbl>
    <w:tblPr>
      <w:tblW w:w="0" w:type="auto"/>
      <w:tblLayout w:type="fixed"/>
      <w:tblLook w:val="0000" w:firstRow="0" w:lastRow="0" w:firstColumn="0" w:lastColumn="0" w:noHBand="0" w:noVBand="0"/>
    </w:tblPr>
    <w:tblGrid>
      <w:gridCol w:w="858"/>
      <w:gridCol w:w="259"/>
      <w:gridCol w:w="259"/>
      <w:gridCol w:w="260"/>
      <w:gridCol w:w="260"/>
      <w:gridCol w:w="259"/>
      <w:gridCol w:w="259"/>
      <w:gridCol w:w="259"/>
      <w:gridCol w:w="2912"/>
      <w:gridCol w:w="521"/>
      <w:gridCol w:w="318"/>
      <w:gridCol w:w="318"/>
      <w:gridCol w:w="318"/>
      <w:gridCol w:w="318"/>
      <w:gridCol w:w="318"/>
      <w:gridCol w:w="318"/>
      <w:gridCol w:w="318"/>
      <w:gridCol w:w="318"/>
      <w:gridCol w:w="318"/>
      <w:gridCol w:w="348"/>
    </w:tblGrid>
    <w:tr w:rsidR="00C616C2" w14:paraId="1D816688" w14:textId="77777777">
      <w:tc>
        <w:tcPr>
          <w:tcW w:w="858" w:type="dxa"/>
        </w:tcPr>
        <w:p w14:paraId="2178E012" w14:textId="77777777" w:rsidR="00C616C2" w:rsidRDefault="00C616C2">
          <w:pPr>
            <w:tabs>
              <w:tab w:val="left" w:pos="7797"/>
              <w:tab w:val="right" w:pos="9072"/>
            </w:tabs>
            <w:snapToGrid w:val="0"/>
            <w:jc w:val="left"/>
            <w:rPr>
              <w:rFonts w:ascii="Verdana" w:hAnsi="Verdana" w:cs="Verdana"/>
              <w:sz w:val="16"/>
              <w:szCs w:val="16"/>
            </w:rPr>
          </w:pPr>
        </w:p>
      </w:tc>
      <w:tc>
        <w:tcPr>
          <w:tcW w:w="259" w:type="dxa"/>
        </w:tcPr>
        <w:p w14:paraId="3538DC58" w14:textId="77777777" w:rsidR="00C616C2" w:rsidRDefault="00C616C2">
          <w:pPr>
            <w:tabs>
              <w:tab w:val="left" w:pos="7797"/>
              <w:tab w:val="right" w:pos="9072"/>
            </w:tabs>
            <w:snapToGrid w:val="0"/>
            <w:jc w:val="left"/>
            <w:rPr>
              <w:rFonts w:ascii="Verdana" w:hAnsi="Verdana" w:cs="Verdana"/>
              <w:sz w:val="16"/>
              <w:szCs w:val="16"/>
            </w:rPr>
          </w:pPr>
        </w:p>
      </w:tc>
      <w:tc>
        <w:tcPr>
          <w:tcW w:w="259" w:type="dxa"/>
        </w:tcPr>
        <w:p w14:paraId="6169F296" w14:textId="77777777" w:rsidR="00C616C2" w:rsidRDefault="00C616C2">
          <w:pPr>
            <w:tabs>
              <w:tab w:val="left" w:pos="7797"/>
              <w:tab w:val="right" w:pos="9072"/>
            </w:tabs>
            <w:snapToGrid w:val="0"/>
            <w:jc w:val="left"/>
            <w:rPr>
              <w:rFonts w:ascii="Verdana" w:hAnsi="Verdana" w:cs="Verdana"/>
              <w:sz w:val="16"/>
              <w:szCs w:val="16"/>
            </w:rPr>
          </w:pPr>
        </w:p>
      </w:tc>
      <w:tc>
        <w:tcPr>
          <w:tcW w:w="260" w:type="dxa"/>
        </w:tcPr>
        <w:p w14:paraId="388C3D6F" w14:textId="77777777" w:rsidR="00C616C2" w:rsidRDefault="00C616C2">
          <w:pPr>
            <w:tabs>
              <w:tab w:val="left" w:pos="7797"/>
              <w:tab w:val="right" w:pos="9072"/>
            </w:tabs>
            <w:snapToGrid w:val="0"/>
            <w:jc w:val="left"/>
            <w:rPr>
              <w:rFonts w:ascii="Verdana" w:hAnsi="Verdana" w:cs="Verdana"/>
              <w:sz w:val="16"/>
              <w:szCs w:val="16"/>
            </w:rPr>
          </w:pPr>
        </w:p>
      </w:tc>
      <w:tc>
        <w:tcPr>
          <w:tcW w:w="260" w:type="dxa"/>
        </w:tcPr>
        <w:p w14:paraId="771D961A" w14:textId="77777777" w:rsidR="00C616C2" w:rsidRDefault="00C616C2">
          <w:pPr>
            <w:tabs>
              <w:tab w:val="left" w:pos="7797"/>
              <w:tab w:val="right" w:pos="9072"/>
            </w:tabs>
            <w:snapToGrid w:val="0"/>
            <w:jc w:val="left"/>
            <w:rPr>
              <w:rFonts w:ascii="Verdana" w:hAnsi="Verdana" w:cs="Verdana"/>
              <w:sz w:val="16"/>
              <w:szCs w:val="16"/>
            </w:rPr>
          </w:pPr>
        </w:p>
      </w:tc>
      <w:tc>
        <w:tcPr>
          <w:tcW w:w="259" w:type="dxa"/>
        </w:tcPr>
        <w:p w14:paraId="451447ED" w14:textId="77777777" w:rsidR="00C616C2" w:rsidRDefault="00C616C2">
          <w:pPr>
            <w:tabs>
              <w:tab w:val="left" w:pos="7797"/>
              <w:tab w:val="right" w:pos="9072"/>
            </w:tabs>
            <w:snapToGrid w:val="0"/>
            <w:jc w:val="left"/>
            <w:rPr>
              <w:rFonts w:ascii="Verdana" w:hAnsi="Verdana" w:cs="Verdana"/>
              <w:sz w:val="16"/>
              <w:szCs w:val="16"/>
            </w:rPr>
          </w:pPr>
        </w:p>
      </w:tc>
      <w:tc>
        <w:tcPr>
          <w:tcW w:w="259" w:type="dxa"/>
        </w:tcPr>
        <w:p w14:paraId="361818E7" w14:textId="77777777" w:rsidR="00C616C2" w:rsidRDefault="00C616C2">
          <w:pPr>
            <w:tabs>
              <w:tab w:val="left" w:pos="7797"/>
              <w:tab w:val="right" w:pos="9072"/>
            </w:tabs>
            <w:snapToGrid w:val="0"/>
            <w:jc w:val="left"/>
            <w:rPr>
              <w:rFonts w:ascii="Verdana" w:hAnsi="Verdana" w:cs="Verdana"/>
              <w:sz w:val="16"/>
              <w:szCs w:val="16"/>
            </w:rPr>
          </w:pPr>
        </w:p>
      </w:tc>
      <w:tc>
        <w:tcPr>
          <w:tcW w:w="259" w:type="dxa"/>
        </w:tcPr>
        <w:p w14:paraId="55802C89" w14:textId="77777777" w:rsidR="00C616C2" w:rsidRDefault="00C616C2">
          <w:pPr>
            <w:tabs>
              <w:tab w:val="left" w:pos="7797"/>
              <w:tab w:val="right" w:pos="9072"/>
            </w:tabs>
            <w:snapToGrid w:val="0"/>
            <w:jc w:val="left"/>
            <w:rPr>
              <w:rFonts w:ascii="Verdana" w:hAnsi="Verdana" w:cs="Verdana"/>
              <w:sz w:val="16"/>
              <w:szCs w:val="16"/>
            </w:rPr>
          </w:pPr>
        </w:p>
      </w:tc>
      <w:tc>
        <w:tcPr>
          <w:tcW w:w="2912" w:type="dxa"/>
        </w:tcPr>
        <w:p w14:paraId="31395CB6" w14:textId="77777777" w:rsidR="00126FE6" w:rsidRPr="00742676" w:rsidRDefault="00C616C2" w:rsidP="00126FE6">
          <w:pPr>
            <w:tabs>
              <w:tab w:val="left" w:pos="7797"/>
              <w:tab w:val="right" w:pos="9072"/>
            </w:tabs>
            <w:jc w:val="center"/>
            <w:rPr>
              <w:rFonts w:ascii="Verdana" w:hAnsi="Verdana" w:cs="Verdana"/>
              <w:sz w:val="16"/>
              <w:szCs w:val="16"/>
            </w:rPr>
          </w:pPr>
          <w:r w:rsidRPr="00742676">
            <w:rPr>
              <w:rFonts w:ascii="Verdana" w:hAnsi="Verdana" w:cs="Verdana"/>
              <w:sz w:val="16"/>
              <w:szCs w:val="16"/>
            </w:rPr>
            <w:t>Poznámky k 31.</w:t>
          </w:r>
          <w:r w:rsidR="00742676" w:rsidRPr="00742676">
            <w:rPr>
              <w:rFonts w:ascii="Verdana" w:hAnsi="Verdana" w:cs="Verdana"/>
              <w:sz w:val="16"/>
              <w:szCs w:val="16"/>
            </w:rPr>
            <w:t>12.2025</w:t>
          </w:r>
        </w:p>
        <w:p w14:paraId="00A67CE6" w14:textId="77777777" w:rsidR="00C616C2" w:rsidRDefault="00C616C2">
          <w:pPr>
            <w:tabs>
              <w:tab w:val="left" w:pos="7797"/>
              <w:tab w:val="right" w:pos="9072"/>
            </w:tabs>
            <w:jc w:val="center"/>
            <w:rPr>
              <w:rFonts w:ascii="Verdana" w:hAnsi="Verdana" w:cs="Verdana"/>
              <w:sz w:val="16"/>
              <w:szCs w:val="16"/>
            </w:rPr>
          </w:pPr>
        </w:p>
      </w:tc>
      <w:tc>
        <w:tcPr>
          <w:tcW w:w="521" w:type="dxa"/>
          <w:tcBorders>
            <w:right w:val="single" w:sz="4" w:space="0" w:color="000000"/>
          </w:tcBorders>
        </w:tcPr>
        <w:p w14:paraId="0E1241AC" w14:textId="77777777" w:rsidR="00C616C2" w:rsidRDefault="00C616C2">
          <w:pPr>
            <w:tabs>
              <w:tab w:val="left" w:pos="7797"/>
              <w:tab w:val="right" w:pos="9072"/>
            </w:tabs>
            <w:jc w:val="left"/>
          </w:pPr>
          <w:r>
            <w:rPr>
              <w:rFonts w:ascii="Verdana" w:hAnsi="Verdana" w:cs="Verdana"/>
              <w:sz w:val="16"/>
              <w:szCs w:val="16"/>
            </w:rPr>
            <w:t>DIČ</w:t>
          </w:r>
        </w:p>
      </w:tc>
      <w:tc>
        <w:tcPr>
          <w:tcW w:w="318" w:type="dxa"/>
          <w:tcBorders>
            <w:top w:val="single" w:sz="4" w:space="0" w:color="000000"/>
            <w:left w:val="single" w:sz="4" w:space="0" w:color="000000"/>
            <w:bottom w:val="single" w:sz="4" w:space="0" w:color="000000"/>
            <w:right w:val="single" w:sz="4" w:space="0" w:color="000000"/>
          </w:tcBorders>
        </w:tcPr>
        <w:p w14:paraId="6D6E2D36" w14:textId="77777777" w:rsidR="00C616C2" w:rsidRDefault="00C616C2">
          <w:pPr>
            <w:tabs>
              <w:tab w:val="left" w:pos="7797"/>
              <w:tab w:val="right" w:pos="9072"/>
            </w:tabs>
            <w:jc w:val="left"/>
          </w:pPr>
          <w:r>
            <w:rPr>
              <w:rFonts w:ascii="Verdana" w:hAnsi="Verdana" w:cs="Verdana"/>
              <w:sz w:val="16"/>
              <w:szCs w:val="16"/>
            </w:rPr>
            <w:t>2</w:t>
          </w:r>
        </w:p>
      </w:tc>
      <w:tc>
        <w:tcPr>
          <w:tcW w:w="318" w:type="dxa"/>
          <w:tcBorders>
            <w:top w:val="single" w:sz="4" w:space="0" w:color="000000"/>
            <w:left w:val="single" w:sz="4" w:space="0" w:color="000000"/>
            <w:bottom w:val="single" w:sz="4" w:space="0" w:color="000000"/>
            <w:right w:val="single" w:sz="4" w:space="0" w:color="000000"/>
          </w:tcBorders>
        </w:tcPr>
        <w:p w14:paraId="36C97222" w14:textId="77777777" w:rsidR="00C616C2" w:rsidRDefault="00C616C2">
          <w:pPr>
            <w:tabs>
              <w:tab w:val="left" w:pos="7797"/>
              <w:tab w:val="right" w:pos="9072"/>
            </w:tabs>
            <w:jc w:val="left"/>
          </w:pPr>
          <w:r>
            <w:rPr>
              <w:rFonts w:ascii="Verdana" w:hAnsi="Verdana" w:cs="Verdana"/>
              <w:sz w:val="16"/>
              <w:szCs w:val="16"/>
            </w:rPr>
            <w:t>0</w:t>
          </w:r>
        </w:p>
      </w:tc>
      <w:tc>
        <w:tcPr>
          <w:tcW w:w="318" w:type="dxa"/>
          <w:tcBorders>
            <w:top w:val="single" w:sz="4" w:space="0" w:color="000000"/>
            <w:left w:val="single" w:sz="4" w:space="0" w:color="000000"/>
            <w:bottom w:val="single" w:sz="4" w:space="0" w:color="000000"/>
            <w:right w:val="single" w:sz="4" w:space="0" w:color="000000"/>
          </w:tcBorders>
        </w:tcPr>
        <w:p w14:paraId="692C47CF" w14:textId="77777777" w:rsidR="00C616C2" w:rsidRDefault="00C616C2">
          <w:pPr>
            <w:tabs>
              <w:tab w:val="left" w:pos="7797"/>
              <w:tab w:val="right" w:pos="9072"/>
            </w:tabs>
            <w:jc w:val="left"/>
          </w:pPr>
          <w:r>
            <w:rPr>
              <w:rFonts w:ascii="Verdana" w:hAnsi="Verdana" w:cs="Verdana"/>
              <w:sz w:val="16"/>
              <w:szCs w:val="16"/>
            </w:rPr>
            <w:t>2</w:t>
          </w:r>
        </w:p>
      </w:tc>
      <w:tc>
        <w:tcPr>
          <w:tcW w:w="318" w:type="dxa"/>
          <w:tcBorders>
            <w:top w:val="single" w:sz="4" w:space="0" w:color="000000"/>
            <w:left w:val="single" w:sz="4" w:space="0" w:color="000000"/>
            <w:bottom w:val="single" w:sz="4" w:space="0" w:color="000000"/>
            <w:right w:val="single" w:sz="4" w:space="0" w:color="000000"/>
          </w:tcBorders>
        </w:tcPr>
        <w:p w14:paraId="62CBB8A6" w14:textId="77777777" w:rsidR="00C616C2" w:rsidRDefault="00C616C2">
          <w:pPr>
            <w:tabs>
              <w:tab w:val="left" w:pos="7797"/>
              <w:tab w:val="right" w:pos="9072"/>
            </w:tabs>
            <w:jc w:val="left"/>
          </w:pPr>
          <w:r>
            <w:rPr>
              <w:rFonts w:ascii="Verdana" w:hAnsi="Verdana" w:cs="Verdana"/>
              <w:sz w:val="16"/>
              <w:szCs w:val="16"/>
            </w:rPr>
            <w:t>2</w:t>
          </w:r>
        </w:p>
      </w:tc>
      <w:tc>
        <w:tcPr>
          <w:tcW w:w="318" w:type="dxa"/>
          <w:tcBorders>
            <w:top w:val="single" w:sz="4" w:space="0" w:color="000000"/>
            <w:left w:val="single" w:sz="4" w:space="0" w:color="000000"/>
            <w:bottom w:val="single" w:sz="4" w:space="0" w:color="000000"/>
            <w:right w:val="single" w:sz="4" w:space="0" w:color="000000"/>
          </w:tcBorders>
        </w:tcPr>
        <w:p w14:paraId="3C779A16" w14:textId="77777777" w:rsidR="00C616C2" w:rsidRDefault="00C616C2">
          <w:pPr>
            <w:tabs>
              <w:tab w:val="left" w:pos="7797"/>
              <w:tab w:val="right" w:pos="9072"/>
            </w:tabs>
            <w:jc w:val="left"/>
          </w:pPr>
          <w:r>
            <w:rPr>
              <w:rFonts w:ascii="Verdana" w:hAnsi="Verdana" w:cs="Verdana"/>
              <w:sz w:val="16"/>
              <w:szCs w:val="16"/>
            </w:rPr>
            <w:t>3</w:t>
          </w:r>
        </w:p>
      </w:tc>
      <w:tc>
        <w:tcPr>
          <w:tcW w:w="318" w:type="dxa"/>
          <w:tcBorders>
            <w:top w:val="single" w:sz="4" w:space="0" w:color="000000"/>
            <w:left w:val="single" w:sz="4" w:space="0" w:color="000000"/>
            <w:bottom w:val="single" w:sz="4" w:space="0" w:color="000000"/>
            <w:right w:val="single" w:sz="4" w:space="0" w:color="000000"/>
          </w:tcBorders>
        </w:tcPr>
        <w:p w14:paraId="535F1967" w14:textId="77777777" w:rsidR="00C616C2" w:rsidRDefault="00C616C2">
          <w:pPr>
            <w:tabs>
              <w:tab w:val="left" w:pos="7797"/>
              <w:tab w:val="right" w:pos="9072"/>
            </w:tabs>
            <w:jc w:val="left"/>
          </w:pPr>
          <w:r>
            <w:rPr>
              <w:rFonts w:ascii="Verdana" w:hAnsi="Verdana" w:cs="Verdana"/>
              <w:sz w:val="16"/>
              <w:szCs w:val="16"/>
            </w:rPr>
            <w:t>8</w:t>
          </w:r>
        </w:p>
      </w:tc>
      <w:tc>
        <w:tcPr>
          <w:tcW w:w="318" w:type="dxa"/>
          <w:tcBorders>
            <w:top w:val="single" w:sz="4" w:space="0" w:color="000000"/>
            <w:left w:val="single" w:sz="4" w:space="0" w:color="000000"/>
            <w:bottom w:val="single" w:sz="4" w:space="0" w:color="000000"/>
            <w:right w:val="single" w:sz="4" w:space="0" w:color="000000"/>
          </w:tcBorders>
        </w:tcPr>
        <w:p w14:paraId="025E7557" w14:textId="77777777" w:rsidR="00C616C2" w:rsidRDefault="00C616C2">
          <w:pPr>
            <w:tabs>
              <w:tab w:val="left" w:pos="7797"/>
              <w:tab w:val="right" w:pos="9072"/>
            </w:tabs>
            <w:jc w:val="left"/>
          </w:pPr>
          <w:r>
            <w:rPr>
              <w:rFonts w:ascii="Verdana" w:hAnsi="Verdana" w:cs="Verdana"/>
              <w:sz w:val="16"/>
              <w:szCs w:val="16"/>
            </w:rPr>
            <w:t>5</w:t>
          </w:r>
        </w:p>
      </w:tc>
      <w:tc>
        <w:tcPr>
          <w:tcW w:w="318" w:type="dxa"/>
          <w:tcBorders>
            <w:top w:val="single" w:sz="4" w:space="0" w:color="000000"/>
            <w:left w:val="single" w:sz="4" w:space="0" w:color="000000"/>
            <w:bottom w:val="single" w:sz="4" w:space="0" w:color="000000"/>
            <w:right w:val="single" w:sz="4" w:space="0" w:color="000000"/>
          </w:tcBorders>
        </w:tcPr>
        <w:p w14:paraId="7CC833D0" w14:textId="77777777" w:rsidR="00C616C2" w:rsidRDefault="00C616C2">
          <w:pPr>
            <w:tabs>
              <w:tab w:val="left" w:pos="7797"/>
              <w:tab w:val="right" w:pos="9072"/>
            </w:tabs>
            <w:jc w:val="left"/>
          </w:pPr>
          <w:r>
            <w:rPr>
              <w:rFonts w:ascii="Verdana" w:hAnsi="Verdana" w:cs="Verdana"/>
              <w:sz w:val="16"/>
              <w:szCs w:val="16"/>
            </w:rPr>
            <w:t>2</w:t>
          </w:r>
        </w:p>
      </w:tc>
      <w:tc>
        <w:tcPr>
          <w:tcW w:w="318" w:type="dxa"/>
          <w:tcBorders>
            <w:top w:val="single" w:sz="4" w:space="0" w:color="000000"/>
            <w:left w:val="single" w:sz="4" w:space="0" w:color="000000"/>
            <w:bottom w:val="single" w:sz="4" w:space="0" w:color="000000"/>
            <w:right w:val="single" w:sz="4" w:space="0" w:color="000000"/>
          </w:tcBorders>
        </w:tcPr>
        <w:p w14:paraId="2778AF06" w14:textId="77777777" w:rsidR="00C616C2" w:rsidRDefault="00C616C2">
          <w:pPr>
            <w:tabs>
              <w:tab w:val="left" w:pos="7797"/>
              <w:tab w:val="right" w:pos="9072"/>
            </w:tabs>
            <w:jc w:val="left"/>
          </w:pPr>
          <w:r>
            <w:rPr>
              <w:rFonts w:ascii="Verdana" w:hAnsi="Verdana" w:cs="Verdana"/>
              <w:sz w:val="16"/>
              <w:szCs w:val="16"/>
            </w:rPr>
            <w:t>0</w:t>
          </w:r>
        </w:p>
      </w:tc>
      <w:tc>
        <w:tcPr>
          <w:tcW w:w="348" w:type="dxa"/>
          <w:tcBorders>
            <w:top w:val="single" w:sz="4" w:space="0" w:color="000000"/>
            <w:left w:val="single" w:sz="4" w:space="0" w:color="000000"/>
            <w:bottom w:val="single" w:sz="4" w:space="0" w:color="000000"/>
            <w:right w:val="single" w:sz="4" w:space="0" w:color="000000"/>
          </w:tcBorders>
        </w:tcPr>
        <w:p w14:paraId="5BDF3858" w14:textId="77777777" w:rsidR="00C616C2" w:rsidRDefault="00C616C2">
          <w:pPr>
            <w:tabs>
              <w:tab w:val="left" w:pos="7797"/>
              <w:tab w:val="right" w:pos="9072"/>
            </w:tabs>
            <w:jc w:val="left"/>
          </w:pPr>
          <w:r>
            <w:rPr>
              <w:rFonts w:ascii="Verdana" w:hAnsi="Verdana" w:cs="Verdana"/>
              <w:sz w:val="16"/>
              <w:szCs w:val="16"/>
            </w:rPr>
            <w:t>0</w:t>
          </w:r>
        </w:p>
      </w:tc>
    </w:tr>
  </w:tbl>
  <w:p w14:paraId="08472BBA" w14:textId="77777777" w:rsidR="00C616C2" w:rsidRDefault="00C616C2">
    <w:pPr>
      <w:pStyle w:val="Hlavika"/>
      <w:rPr>
        <w:rFonts w:ascii="Verdana" w:hAnsi="Verdana" w:cs="Verdana"/>
        <w:sz w:val="16"/>
        <w:szCs w:val="16"/>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1"/>
    <w:multiLevelType w:val="multilevel"/>
    <w:tmpl w:val="00000001"/>
    <w:lvl w:ilvl="0">
      <w:start w:val="1"/>
      <w:numFmt w:val="none"/>
      <w:suff w:val="nothing"/>
      <w:lvlText w:val=""/>
      <w:lvlJc w:val="left"/>
      <w:pPr>
        <w:tabs>
          <w:tab w:val="num" w:pos="0"/>
        </w:tabs>
        <w:ind w:left="0" w:firstLine="0"/>
      </w:pPr>
    </w:lvl>
    <w:lvl w:ilvl="1">
      <w:start w:val="1"/>
      <w:numFmt w:val="none"/>
      <w:suff w:val="nothing"/>
      <w:lvlText w:val=""/>
      <w:lvlJc w:val="left"/>
      <w:pPr>
        <w:tabs>
          <w:tab w:val="num" w:pos="0"/>
        </w:tabs>
        <w:ind w:left="0" w:firstLine="0"/>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1" w15:restartNumberingAfterBreak="0">
    <w:nsid w:val="00000002"/>
    <w:multiLevelType w:val="singleLevel"/>
    <w:tmpl w:val="00000002"/>
    <w:name w:val="WW8Num2"/>
    <w:lvl w:ilvl="0">
      <w:start w:val="1"/>
      <w:numFmt w:val="lowerLetter"/>
      <w:lvlText w:val="%1)"/>
      <w:lvlJc w:val="left"/>
      <w:pPr>
        <w:tabs>
          <w:tab w:val="num" w:pos="0"/>
        </w:tabs>
        <w:ind w:left="720" w:hanging="360"/>
      </w:pPr>
      <w:rPr>
        <w:rFonts w:cs="Calibri" w:hint="default"/>
      </w:rPr>
    </w:lvl>
  </w:abstractNum>
  <w:abstractNum w:abstractNumId="2" w15:restartNumberingAfterBreak="0">
    <w:nsid w:val="00000003"/>
    <w:multiLevelType w:val="singleLevel"/>
    <w:tmpl w:val="00000003"/>
    <w:name w:val="WW8Num3"/>
    <w:lvl w:ilvl="0">
      <w:start w:val="1"/>
      <w:numFmt w:val="lowerLetter"/>
      <w:lvlText w:val="%1)"/>
      <w:lvlJc w:val="left"/>
      <w:pPr>
        <w:tabs>
          <w:tab w:val="num" w:pos="0"/>
        </w:tabs>
        <w:ind w:left="0" w:firstLine="0"/>
      </w:pPr>
      <w:rPr>
        <w:rFonts w:ascii="Calibri" w:hAnsi="Calibri" w:cs="Calibri" w:hint="default"/>
        <w:sz w:val="22"/>
        <w:szCs w:val="22"/>
      </w:rPr>
    </w:lvl>
  </w:abstractNum>
  <w:abstractNum w:abstractNumId="3" w15:restartNumberingAfterBreak="0">
    <w:nsid w:val="00000004"/>
    <w:multiLevelType w:val="singleLevel"/>
    <w:tmpl w:val="00000004"/>
    <w:name w:val="WW8Num4"/>
    <w:lvl w:ilvl="0">
      <w:start w:val="8"/>
      <w:numFmt w:val="lowerLetter"/>
      <w:lvlText w:val="%1)"/>
      <w:lvlJc w:val="left"/>
      <w:pPr>
        <w:tabs>
          <w:tab w:val="num" w:pos="360"/>
        </w:tabs>
        <w:ind w:left="360" w:hanging="360"/>
      </w:pPr>
      <w:rPr>
        <w:rFonts w:ascii="Calibri" w:hAnsi="Calibri" w:cs="Calibri" w:hint="default"/>
        <w:b/>
        <w:sz w:val="22"/>
        <w:szCs w:val="22"/>
      </w:rPr>
    </w:lvl>
  </w:abstractNum>
  <w:abstractNum w:abstractNumId="4" w15:restartNumberingAfterBreak="0">
    <w:nsid w:val="00000005"/>
    <w:multiLevelType w:val="singleLevel"/>
    <w:tmpl w:val="00000005"/>
    <w:name w:val="WW8Num5"/>
    <w:lvl w:ilvl="0">
      <w:start w:val="1"/>
      <w:numFmt w:val="upperLetter"/>
      <w:lvlText w:val="%1."/>
      <w:lvlJc w:val="left"/>
      <w:pPr>
        <w:tabs>
          <w:tab w:val="num" w:pos="708"/>
        </w:tabs>
        <w:ind w:left="720" w:hanging="360"/>
      </w:pPr>
      <w:rPr>
        <w:rFonts w:ascii="Calibri" w:hAnsi="Calibri" w:cs="Calibri" w:hint="default"/>
        <w:i w:val="0"/>
        <w:sz w:val="22"/>
        <w:szCs w:val="22"/>
      </w:rPr>
    </w:lvl>
  </w:abstractNum>
  <w:abstractNum w:abstractNumId="5" w15:restartNumberingAfterBreak="0">
    <w:nsid w:val="00000006"/>
    <w:multiLevelType w:val="singleLevel"/>
    <w:tmpl w:val="00000006"/>
    <w:name w:val="WW8Num6"/>
    <w:lvl w:ilvl="0">
      <w:start w:val="1"/>
      <w:numFmt w:val="decimal"/>
      <w:lvlText w:val="%1."/>
      <w:lvlJc w:val="left"/>
      <w:pPr>
        <w:tabs>
          <w:tab w:val="num" w:pos="708"/>
        </w:tabs>
        <w:ind w:left="720" w:hanging="360"/>
      </w:pPr>
      <w:rPr>
        <w:rFonts w:ascii="Calibri" w:hAnsi="Calibri" w:cs="Calibri" w:hint="default"/>
        <w:b w:val="0"/>
        <w:i w:val="0"/>
        <w:sz w:val="16"/>
        <w:szCs w:val="20"/>
      </w:rPr>
    </w:lvl>
  </w:abstractNum>
  <w:abstractNum w:abstractNumId="6" w15:restartNumberingAfterBreak="0">
    <w:nsid w:val="00000007"/>
    <w:multiLevelType w:val="multilevel"/>
    <w:tmpl w:val="00000007"/>
    <w:name w:val="WW8Num7"/>
    <w:lvl w:ilvl="0">
      <w:start w:val="1"/>
      <w:numFmt w:val="decimal"/>
      <w:lvlText w:val="%1."/>
      <w:lvlJc w:val="left"/>
      <w:pPr>
        <w:tabs>
          <w:tab w:val="num" w:pos="720"/>
        </w:tabs>
        <w:ind w:left="720" w:hanging="360"/>
      </w:pPr>
      <w:rPr>
        <w:rFonts w:ascii="Calibri" w:hAnsi="Calibri" w:cs="Calibri" w:hint="default"/>
        <w:b/>
        <w:caps/>
        <w:sz w:val="22"/>
        <w:szCs w:val="22"/>
      </w:rPr>
    </w:lvl>
    <w:lvl w:ilvl="1">
      <w:start w:val="1"/>
      <w:numFmt w:val="decimal"/>
      <w:lvlText w:val="%1.%2."/>
      <w:lvlJc w:val="left"/>
      <w:pPr>
        <w:tabs>
          <w:tab w:val="num" w:pos="0"/>
        </w:tabs>
        <w:ind w:left="1080" w:hanging="720"/>
      </w:pPr>
      <w:rPr>
        <w:rFonts w:ascii="Calibri" w:hAnsi="Calibri" w:cs="Calibri" w:hint="default"/>
        <w:b/>
        <w:caps/>
        <w:sz w:val="22"/>
        <w:szCs w:val="22"/>
      </w:rPr>
    </w:lvl>
    <w:lvl w:ilvl="2">
      <w:start w:val="1"/>
      <w:numFmt w:val="decimal"/>
      <w:lvlText w:val="%1.%2.%3."/>
      <w:lvlJc w:val="left"/>
      <w:pPr>
        <w:tabs>
          <w:tab w:val="num" w:pos="0"/>
        </w:tabs>
        <w:ind w:left="1080" w:hanging="720"/>
      </w:pPr>
      <w:rPr>
        <w:rFonts w:ascii="Calibri" w:hAnsi="Calibri" w:cs="Calibri" w:hint="default"/>
        <w:b/>
        <w:caps/>
        <w:sz w:val="22"/>
        <w:szCs w:val="22"/>
      </w:rPr>
    </w:lvl>
    <w:lvl w:ilvl="3">
      <w:start w:val="1"/>
      <w:numFmt w:val="decimal"/>
      <w:lvlText w:val="%1.%2.%3.%4."/>
      <w:lvlJc w:val="left"/>
      <w:pPr>
        <w:tabs>
          <w:tab w:val="num" w:pos="0"/>
        </w:tabs>
        <w:ind w:left="1440" w:hanging="1080"/>
      </w:pPr>
      <w:rPr>
        <w:rFonts w:ascii="Calibri" w:hAnsi="Calibri" w:cs="Calibri" w:hint="default"/>
        <w:b/>
        <w:caps/>
        <w:sz w:val="22"/>
        <w:szCs w:val="22"/>
      </w:rPr>
    </w:lvl>
    <w:lvl w:ilvl="4">
      <w:start w:val="1"/>
      <w:numFmt w:val="decimal"/>
      <w:lvlText w:val="%1.%2.%3.%4.%5."/>
      <w:lvlJc w:val="left"/>
      <w:pPr>
        <w:tabs>
          <w:tab w:val="num" w:pos="0"/>
        </w:tabs>
        <w:ind w:left="1440" w:hanging="1080"/>
      </w:pPr>
      <w:rPr>
        <w:rFonts w:ascii="Calibri" w:hAnsi="Calibri" w:cs="Calibri" w:hint="default"/>
        <w:b/>
        <w:caps/>
        <w:sz w:val="22"/>
        <w:szCs w:val="22"/>
      </w:rPr>
    </w:lvl>
    <w:lvl w:ilvl="5">
      <w:start w:val="1"/>
      <w:numFmt w:val="decimal"/>
      <w:lvlText w:val="%1.%2.%3.%4.%5.%6."/>
      <w:lvlJc w:val="left"/>
      <w:pPr>
        <w:tabs>
          <w:tab w:val="num" w:pos="0"/>
        </w:tabs>
        <w:ind w:left="1800" w:hanging="1440"/>
      </w:pPr>
      <w:rPr>
        <w:rFonts w:ascii="Calibri" w:hAnsi="Calibri" w:cs="Calibri" w:hint="default"/>
        <w:b/>
        <w:caps/>
        <w:sz w:val="22"/>
        <w:szCs w:val="22"/>
      </w:rPr>
    </w:lvl>
    <w:lvl w:ilvl="6">
      <w:start w:val="1"/>
      <w:numFmt w:val="decimal"/>
      <w:lvlText w:val="%1.%2.%3.%4.%5.%6.%7."/>
      <w:lvlJc w:val="left"/>
      <w:pPr>
        <w:tabs>
          <w:tab w:val="num" w:pos="0"/>
        </w:tabs>
        <w:ind w:left="1800" w:hanging="1440"/>
      </w:pPr>
      <w:rPr>
        <w:rFonts w:ascii="Calibri" w:hAnsi="Calibri" w:cs="Calibri" w:hint="default"/>
        <w:b/>
        <w:caps/>
        <w:sz w:val="22"/>
        <w:szCs w:val="22"/>
      </w:rPr>
    </w:lvl>
    <w:lvl w:ilvl="7">
      <w:start w:val="1"/>
      <w:numFmt w:val="decimal"/>
      <w:lvlText w:val="%1.%2.%3.%4.%5.%6.%7.%8."/>
      <w:lvlJc w:val="left"/>
      <w:pPr>
        <w:tabs>
          <w:tab w:val="num" w:pos="0"/>
        </w:tabs>
        <w:ind w:left="2160" w:hanging="1800"/>
      </w:pPr>
      <w:rPr>
        <w:rFonts w:ascii="Calibri" w:hAnsi="Calibri" w:cs="Calibri" w:hint="default"/>
        <w:b/>
        <w:caps/>
        <w:sz w:val="22"/>
        <w:szCs w:val="22"/>
      </w:rPr>
    </w:lvl>
    <w:lvl w:ilvl="8">
      <w:start w:val="1"/>
      <w:numFmt w:val="decimal"/>
      <w:lvlText w:val="%1.%2.%3.%4.%5.%6.%7.%8.%9."/>
      <w:lvlJc w:val="left"/>
      <w:pPr>
        <w:tabs>
          <w:tab w:val="num" w:pos="0"/>
        </w:tabs>
        <w:ind w:left="2160" w:hanging="1800"/>
      </w:pPr>
      <w:rPr>
        <w:rFonts w:ascii="Calibri" w:hAnsi="Calibri" w:cs="Calibri" w:hint="default"/>
        <w:b/>
        <w:caps/>
        <w:sz w:val="22"/>
        <w:szCs w:val="22"/>
      </w:rPr>
    </w:lvl>
  </w:abstractNum>
  <w:abstractNum w:abstractNumId="7" w15:restartNumberingAfterBreak="0">
    <w:nsid w:val="00000008"/>
    <w:multiLevelType w:val="singleLevel"/>
    <w:tmpl w:val="00000008"/>
    <w:name w:val="WW8Num8"/>
    <w:lvl w:ilvl="0">
      <w:start w:val="1"/>
      <w:numFmt w:val="lowerLetter"/>
      <w:lvlText w:val="%1)"/>
      <w:lvlJc w:val="left"/>
      <w:pPr>
        <w:tabs>
          <w:tab w:val="num" w:pos="360"/>
        </w:tabs>
        <w:ind w:left="360" w:hanging="360"/>
      </w:pPr>
      <w:rPr>
        <w:rFonts w:ascii="Calibri" w:hAnsi="Calibri" w:cs="Calibri"/>
        <w:b/>
        <w:sz w:val="22"/>
        <w:szCs w:val="22"/>
      </w:rPr>
    </w:lvl>
  </w:abstractNum>
  <w:abstractNum w:abstractNumId="8" w15:restartNumberingAfterBreak="0">
    <w:nsid w:val="00000009"/>
    <w:multiLevelType w:val="singleLevel"/>
    <w:tmpl w:val="00000009"/>
    <w:name w:val="WW8Num9"/>
    <w:lvl w:ilvl="0">
      <w:start w:val="1"/>
      <w:numFmt w:val="decimal"/>
      <w:lvlText w:val="%1."/>
      <w:lvlJc w:val="left"/>
      <w:pPr>
        <w:tabs>
          <w:tab w:val="num" w:pos="283"/>
        </w:tabs>
        <w:ind w:left="283" w:hanging="283"/>
      </w:pPr>
      <w:rPr>
        <w:rFonts w:ascii="Calibri" w:hAnsi="Calibri" w:cs="Calibri"/>
        <w:sz w:val="22"/>
        <w:szCs w:val="22"/>
      </w:rPr>
    </w:lvl>
  </w:abstractNum>
  <w:abstractNum w:abstractNumId="9" w15:restartNumberingAfterBreak="0">
    <w:nsid w:val="0000000A"/>
    <w:multiLevelType w:val="singleLevel"/>
    <w:tmpl w:val="0000000A"/>
    <w:name w:val="WW8Num10"/>
    <w:lvl w:ilvl="0">
      <w:start w:val="3"/>
      <w:numFmt w:val="lowerLetter"/>
      <w:lvlText w:val="%1)"/>
      <w:lvlJc w:val="left"/>
      <w:pPr>
        <w:tabs>
          <w:tab w:val="num" w:pos="360"/>
        </w:tabs>
        <w:ind w:left="360" w:hanging="360"/>
      </w:pPr>
      <w:rPr>
        <w:rFonts w:ascii="Calibri" w:hAnsi="Calibri" w:cs="Calibri"/>
        <w:b/>
        <w:sz w:val="22"/>
        <w:szCs w:val="22"/>
      </w:rPr>
    </w:lvl>
  </w:abstractNum>
  <w:abstractNum w:abstractNumId="10" w15:restartNumberingAfterBreak="0">
    <w:nsid w:val="0000000B"/>
    <w:multiLevelType w:val="singleLevel"/>
    <w:tmpl w:val="0000000B"/>
    <w:name w:val="WW8Num11"/>
    <w:lvl w:ilvl="0">
      <w:start w:val="1"/>
      <w:numFmt w:val="decimal"/>
      <w:lvlText w:val="%1."/>
      <w:lvlJc w:val="left"/>
      <w:pPr>
        <w:tabs>
          <w:tab w:val="num" w:pos="0"/>
        </w:tabs>
        <w:ind w:left="720" w:hanging="360"/>
      </w:pPr>
      <w:rPr>
        <w:rFonts w:cs="Calibri" w:hint="default"/>
      </w:rPr>
    </w:lvl>
  </w:abstractNum>
  <w:abstractNum w:abstractNumId="11" w15:restartNumberingAfterBreak="0">
    <w:nsid w:val="0000000C"/>
    <w:multiLevelType w:val="singleLevel"/>
    <w:tmpl w:val="0000000C"/>
    <w:name w:val="WW8Num12"/>
    <w:lvl w:ilvl="0">
      <w:start w:val="1"/>
      <w:numFmt w:val="lowerLetter"/>
      <w:lvlText w:val="%1)"/>
      <w:lvlJc w:val="left"/>
      <w:pPr>
        <w:tabs>
          <w:tab w:val="num" w:pos="360"/>
        </w:tabs>
        <w:ind w:left="360" w:hanging="360"/>
      </w:pPr>
      <w:rPr>
        <w:rFonts w:hint="default"/>
      </w:rPr>
    </w:lvl>
  </w:abstractNum>
  <w:abstractNum w:abstractNumId="12" w15:restartNumberingAfterBreak="0">
    <w:nsid w:val="0000000D"/>
    <w:multiLevelType w:val="singleLevel"/>
    <w:tmpl w:val="0000000D"/>
    <w:name w:val="WW8Num13"/>
    <w:lvl w:ilvl="0">
      <w:start w:val="1"/>
      <w:numFmt w:val="decimal"/>
      <w:lvlText w:val="%1."/>
      <w:lvlJc w:val="left"/>
      <w:pPr>
        <w:tabs>
          <w:tab w:val="num" w:pos="360"/>
        </w:tabs>
        <w:ind w:left="360" w:hanging="360"/>
      </w:pPr>
      <w:rPr>
        <w:rFonts w:ascii="Calibri" w:hAnsi="Calibri" w:cs="Calibri" w:hint="default"/>
        <w:b w:val="0"/>
        <w:i w:val="0"/>
        <w:smallCaps/>
        <w:sz w:val="22"/>
        <w:szCs w:val="22"/>
      </w:rPr>
    </w:lvl>
  </w:abstractNum>
  <w:abstractNum w:abstractNumId="13" w15:restartNumberingAfterBreak="0">
    <w:nsid w:val="0000000E"/>
    <w:multiLevelType w:val="singleLevel"/>
    <w:tmpl w:val="0000000E"/>
    <w:name w:val="WW8Num14"/>
    <w:lvl w:ilvl="0">
      <w:numFmt w:val="bullet"/>
      <w:lvlText w:val=""/>
      <w:lvlJc w:val="left"/>
      <w:pPr>
        <w:tabs>
          <w:tab w:val="num" w:pos="283"/>
        </w:tabs>
        <w:ind w:left="283" w:hanging="283"/>
      </w:pPr>
      <w:rPr>
        <w:rFonts w:ascii="Symbol" w:hAnsi="Symbol" w:cs="Symbol" w:hint="default"/>
        <w:color w:val="000000"/>
        <w:sz w:val="22"/>
        <w:szCs w:val="22"/>
      </w:rPr>
    </w:lvl>
  </w:abstractNum>
  <w:num w:numId="1" w16cid:durableId="1556433009">
    <w:abstractNumId w:val="0"/>
  </w:num>
  <w:num w:numId="2" w16cid:durableId="1752314855">
    <w:abstractNumId w:val="1"/>
  </w:num>
  <w:num w:numId="3" w16cid:durableId="1405831590">
    <w:abstractNumId w:val="2"/>
  </w:num>
  <w:num w:numId="4" w16cid:durableId="848057189">
    <w:abstractNumId w:val="3"/>
  </w:num>
  <w:num w:numId="5" w16cid:durableId="538474332">
    <w:abstractNumId w:val="4"/>
  </w:num>
  <w:num w:numId="6" w16cid:durableId="1244725470">
    <w:abstractNumId w:val="5"/>
  </w:num>
  <w:num w:numId="7" w16cid:durableId="2103213548">
    <w:abstractNumId w:val="6"/>
  </w:num>
  <w:num w:numId="8" w16cid:durableId="185291892">
    <w:abstractNumId w:val="7"/>
  </w:num>
  <w:num w:numId="9" w16cid:durableId="813105736">
    <w:abstractNumId w:val="8"/>
  </w:num>
  <w:num w:numId="10" w16cid:durableId="982274287">
    <w:abstractNumId w:val="9"/>
  </w:num>
  <w:num w:numId="11" w16cid:durableId="510602438">
    <w:abstractNumId w:val="10"/>
  </w:num>
  <w:num w:numId="12" w16cid:durableId="1805465436">
    <w:abstractNumId w:val="11"/>
  </w:num>
  <w:num w:numId="13" w16cid:durableId="12728211">
    <w:abstractNumId w:val="12"/>
  </w:num>
  <w:num w:numId="14" w16cid:durableId="1108507294">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isplayBackgroundShape/>
  <w:embedSystemFonts/>
  <w:proofState w:spelling="clean" w:grammar="clean"/>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trackRevisions/>
  <w:doNotTrackMoves/>
  <w:defaultTabStop w:val="708"/>
  <w:defaultTableStyle w:val="Normlny"/>
  <w:drawingGridHorizontalSpacing w:val="0"/>
  <w:drawingGridVerticalSpacing w:val="0"/>
  <w:displayHorizontalDrawingGridEvery w:val="0"/>
  <w:displayVerticalDrawingGridEvery w:val="0"/>
  <w:doNotUseMarginsForDrawingGridOrigin/>
  <w:drawingGridHorizontalOrigin w:val="0"/>
  <w:drawingGridVerticalOrigin w:val="0"/>
  <w:characterSpacingControl w:val="doNotCompress"/>
  <w:hdrShapeDefaults>
    <o:shapedefaults v:ext="edit" spidmax="2050"/>
    <o:shapelayout v:ext="edit">
      <o:idmap v:ext="edit" data="1"/>
    </o:shapelayout>
  </w:hdrShapeDefaults>
  <w:footnotePr>
    <w:footnote w:id="-1"/>
    <w:footnote w:id="0"/>
  </w:footnotePr>
  <w:endnotePr>
    <w:endnote w:id="-1"/>
    <w:endnote w:id="0"/>
  </w:endnotePr>
  <w:compat>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Setting w:name="allowHyphenationAtTrackBottom" w:uri="http://schemas.microsoft.com/office/word" w:val="1"/>
    <w:compatSetting w:name="useWord2013TrackBottomHyphenation" w:uri="http://schemas.microsoft.com/office/word" w:val="1"/>
  </w:compat>
  <w:rsids>
    <w:rsidRoot w:val="0077289A"/>
    <w:rsid w:val="00073945"/>
    <w:rsid w:val="00097DE0"/>
    <w:rsid w:val="0011374A"/>
    <w:rsid w:val="00126FE6"/>
    <w:rsid w:val="001414B0"/>
    <w:rsid w:val="0016445D"/>
    <w:rsid w:val="002F267C"/>
    <w:rsid w:val="00303566"/>
    <w:rsid w:val="00367DBC"/>
    <w:rsid w:val="00390821"/>
    <w:rsid w:val="004D3A62"/>
    <w:rsid w:val="004E1978"/>
    <w:rsid w:val="00597079"/>
    <w:rsid w:val="005D276E"/>
    <w:rsid w:val="005F4412"/>
    <w:rsid w:val="0063287C"/>
    <w:rsid w:val="00727133"/>
    <w:rsid w:val="00742676"/>
    <w:rsid w:val="0077289A"/>
    <w:rsid w:val="007E6695"/>
    <w:rsid w:val="00880FC0"/>
    <w:rsid w:val="008C52AB"/>
    <w:rsid w:val="008E6CE7"/>
    <w:rsid w:val="008F5129"/>
    <w:rsid w:val="009F16B3"/>
    <w:rsid w:val="009F285E"/>
    <w:rsid w:val="009F7E1D"/>
    <w:rsid w:val="00A47BF5"/>
    <w:rsid w:val="00B74C5A"/>
    <w:rsid w:val="00C616C2"/>
    <w:rsid w:val="00C77E1F"/>
    <w:rsid w:val="00C91084"/>
    <w:rsid w:val="00C91308"/>
    <w:rsid w:val="00CA05A4"/>
    <w:rsid w:val="00CD723F"/>
    <w:rsid w:val="00CD7954"/>
    <w:rsid w:val="00D0136B"/>
    <w:rsid w:val="00DB2898"/>
    <w:rsid w:val="00E85BCF"/>
    <w:rsid w:val="00F24E9B"/>
    <w:rsid w:val="00FA38CB"/>
    <w:rsid w:val="00FE7831"/>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oNotEmbedSmartTags/>
  <w:decimalSymbol w:val=","/>
  <w:listSeparator w:val=";"/>
  <w14:docId w14:val="625546CF"/>
  <w15:chartTrackingRefBased/>
  <w15:docId w15:val="{D9E76363-E500-43A8-9205-13C434F4929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k-SK" w:eastAsia="sk-SK"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pPr>
      <w:suppressAutoHyphens/>
      <w:jc w:val="both"/>
    </w:pPr>
    <w:rPr>
      <w:lang w:eastAsia="zh-CN"/>
    </w:rPr>
  </w:style>
  <w:style w:type="paragraph" w:styleId="Nadpis1">
    <w:name w:val="heading 1"/>
    <w:basedOn w:val="Normlny"/>
    <w:next w:val="Normlny"/>
    <w:qFormat/>
    <w:pPr>
      <w:keepNext/>
      <w:numPr>
        <w:numId w:val="1"/>
      </w:numPr>
      <w:spacing w:after="120"/>
      <w:outlineLvl w:val="0"/>
    </w:pPr>
    <w:rPr>
      <w:b/>
      <w:kern w:val="2"/>
      <w:u w:val="single"/>
    </w:rPr>
  </w:style>
  <w:style w:type="paragraph" w:styleId="Nadpis2">
    <w:name w:val="heading 2"/>
    <w:basedOn w:val="Normlny"/>
    <w:next w:val="Normlny"/>
    <w:qFormat/>
    <w:pPr>
      <w:keepNext/>
      <w:numPr>
        <w:ilvl w:val="1"/>
        <w:numId w:val="1"/>
      </w:numPr>
      <w:outlineLvl w:val="1"/>
    </w:pPr>
    <w:rPr>
      <w:sz w:val="24"/>
    </w:rPr>
  </w:style>
  <w:style w:type="paragraph" w:styleId="Nadpis3">
    <w:name w:val="heading 3"/>
    <w:basedOn w:val="Normlny"/>
    <w:next w:val="Normlny"/>
    <w:qFormat/>
    <w:pPr>
      <w:keepNext/>
      <w:numPr>
        <w:ilvl w:val="2"/>
        <w:numId w:val="1"/>
      </w:numPr>
      <w:outlineLvl w:val="2"/>
    </w:pPr>
    <w:rPr>
      <w:b/>
    </w:rPr>
  </w:style>
  <w:style w:type="paragraph" w:styleId="Nadpis4">
    <w:name w:val="heading 4"/>
    <w:basedOn w:val="Normlny"/>
    <w:next w:val="Normlny"/>
    <w:qFormat/>
    <w:pPr>
      <w:keepNext/>
      <w:numPr>
        <w:ilvl w:val="3"/>
        <w:numId w:val="1"/>
      </w:numPr>
      <w:ind w:left="60"/>
      <w:outlineLvl w:val="3"/>
    </w:pPr>
    <w:rPr>
      <w:b/>
      <w:i/>
      <w:sz w:val="24"/>
    </w:rPr>
  </w:style>
  <w:style w:type="paragraph" w:styleId="Nadpis5">
    <w:name w:val="heading 5"/>
    <w:basedOn w:val="Normlny"/>
    <w:next w:val="Normlny"/>
    <w:qFormat/>
    <w:pPr>
      <w:keepNext/>
      <w:numPr>
        <w:ilvl w:val="4"/>
        <w:numId w:val="1"/>
      </w:numPr>
      <w:ind w:left="60"/>
      <w:outlineLvl w:val="4"/>
    </w:pPr>
    <w:rPr>
      <w:sz w:val="24"/>
      <w:u w:val="single"/>
    </w:rPr>
  </w:style>
  <w:style w:type="paragraph" w:styleId="Nadpis6">
    <w:name w:val="heading 6"/>
    <w:basedOn w:val="Normlny"/>
    <w:next w:val="Normlny"/>
    <w:qFormat/>
    <w:pPr>
      <w:keepNext/>
      <w:numPr>
        <w:ilvl w:val="5"/>
        <w:numId w:val="1"/>
      </w:numPr>
      <w:outlineLvl w:val="5"/>
    </w:pPr>
    <w:rPr>
      <w:color w:val="000000"/>
      <w:sz w:val="24"/>
    </w:rPr>
  </w:style>
  <w:style w:type="paragraph" w:styleId="Nadpis7">
    <w:name w:val="heading 7"/>
    <w:basedOn w:val="Normlny"/>
    <w:next w:val="Normlny"/>
    <w:qFormat/>
    <w:pPr>
      <w:keepNext/>
      <w:numPr>
        <w:ilvl w:val="6"/>
        <w:numId w:val="1"/>
      </w:numPr>
      <w:outlineLvl w:val="6"/>
    </w:pPr>
    <w:rPr>
      <w:i/>
      <w:color w:val="000000"/>
      <w:sz w:val="24"/>
    </w:rPr>
  </w:style>
  <w:style w:type="paragraph" w:styleId="Nadpis8">
    <w:name w:val="heading 8"/>
    <w:basedOn w:val="Normlny"/>
    <w:next w:val="Normlny"/>
    <w:qFormat/>
    <w:pPr>
      <w:keepNext/>
      <w:numPr>
        <w:ilvl w:val="7"/>
        <w:numId w:val="1"/>
      </w:numPr>
      <w:outlineLvl w:val="7"/>
    </w:pPr>
    <w:rPr>
      <w:color w:val="0000FF"/>
      <w:sz w:val="24"/>
    </w:rPr>
  </w:style>
  <w:style w:type="paragraph" w:styleId="Nadpis9">
    <w:name w:val="heading 9"/>
    <w:basedOn w:val="Normlny"/>
    <w:next w:val="Normlny"/>
    <w:qFormat/>
    <w:pPr>
      <w:keepNext/>
      <w:numPr>
        <w:ilvl w:val="8"/>
        <w:numId w:val="1"/>
      </w:numPr>
      <w:ind w:left="567"/>
      <w:outlineLvl w:val="8"/>
    </w:pPr>
    <w:rPr>
      <w:color w:val="0000FF"/>
      <w:sz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WW8Num1z0">
    <w:name w:val="WW8Num1z0"/>
  </w:style>
  <w:style w:type="character" w:customStyle="1" w:styleId="WW8Num1z1">
    <w:name w:val="WW8Num1z1"/>
  </w:style>
  <w:style w:type="character" w:customStyle="1" w:styleId="WW8Num1z2">
    <w:name w:val="WW8Num1z2"/>
  </w:style>
  <w:style w:type="character" w:customStyle="1" w:styleId="WW8Num1z3">
    <w:name w:val="WW8Num1z3"/>
  </w:style>
  <w:style w:type="character" w:customStyle="1" w:styleId="WW8Num1z4">
    <w:name w:val="WW8Num1z4"/>
  </w:style>
  <w:style w:type="character" w:customStyle="1" w:styleId="WW8Num1z5">
    <w:name w:val="WW8Num1z5"/>
  </w:style>
  <w:style w:type="character" w:customStyle="1" w:styleId="WW8Num1z6">
    <w:name w:val="WW8Num1z6"/>
  </w:style>
  <w:style w:type="character" w:customStyle="1" w:styleId="WW8Num1z7">
    <w:name w:val="WW8Num1z7"/>
  </w:style>
  <w:style w:type="character" w:customStyle="1" w:styleId="WW8Num1z8">
    <w:name w:val="WW8Num1z8"/>
  </w:style>
  <w:style w:type="character" w:customStyle="1" w:styleId="WW8Num2z0">
    <w:name w:val="WW8Num2z0"/>
    <w:rPr>
      <w:rFonts w:cs="Calibri" w:hint="default"/>
    </w:rPr>
  </w:style>
  <w:style w:type="character" w:customStyle="1" w:styleId="WW8Num3z0">
    <w:name w:val="WW8Num3z0"/>
    <w:rPr>
      <w:rFonts w:ascii="Calibri" w:hAnsi="Calibri" w:cs="Calibri" w:hint="default"/>
      <w:sz w:val="22"/>
      <w:szCs w:val="22"/>
    </w:rPr>
  </w:style>
  <w:style w:type="character" w:customStyle="1" w:styleId="WW8Num4z0">
    <w:name w:val="WW8Num4z0"/>
    <w:rPr>
      <w:rFonts w:ascii="Calibri" w:hAnsi="Calibri" w:cs="Calibri" w:hint="default"/>
      <w:b/>
      <w:sz w:val="22"/>
      <w:szCs w:val="22"/>
    </w:rPr>
  </w:style>
  <w:style w:type="character" w:customStyle="1" w:styleId="WW8Num5z0">
    <w:name w:val="WW8Num5z0"/>
    <w:rPr>
      <w:rFonts w:ascii="Calibri" w:hAnsi="Calibri" w:cs="Calibri" w:hint="default"/>
      <w:i w:val="0"/>
      <w:sz w:val="22"/>
      <w:szCs w:val="22"/>
    </w:rPr>
  </w:style>
  <w:style w:type="character" w:customStyle="1" w:styleId="WW8Num6z0">
    <w:name w:val="WW8Num6z0"/>
    <w:rPr>
      <w:rFonts w:ascii="Calibri" w:hAnsi="Calibri" w:cs="Calibri" w:hint="default"/>
      <w:b w:val="0"/>
      <w:i w:val="0"/>
      <w:sz w:val="16"/>
      <w:szCs w:val="20"/>
    </w:rPr>
  </w:style>
  <w:style w:type="character" w:customStyle="1" w:styleId="WW8Num7z0">
    <w:name w:val="WW8Num7z0"/>
    <w:rPr>
      <w:rFonts w:ascii="Calibri" w:hAnsi="Calibri" w:cs="Calibri" w:hint="default"/>
      <w:b/>
      <w:caps/>
      <w:sz w:val="22"/>
      <w:szCs w:val="22"/>
    </w:rPr>
  </w:style>
  <w:style w:type="character" w:customStyle="1" w:styleId="WW8Num8z0">
    <w:name w:val="WW8Num8z0"/>
    <w:rPr>
      <w:rFonts w:ascii="Calibri" w:hAnsi="Calibri" w:cs="Calibri"/>
      <w:b/>
      <w:sz w:val="22"/>
      <w:szCs w:val="22"/>
    </w:rPr>
  </w:style>
  <w:style w:type="character" w:customStyle="1" w:styleId="WW8Num9z0">
    <w:name w:val="WW8Num9z0"/>
    <w:rPr>
      <w:rFonts w:ascii="Calibri" w:hAnsi="Calibri" w:cs="Calibri"/>
      <w:sz w:val="22"/>
      <w:szCs w:val="22"/>
    </w:rPr>
  </w:style>
  <w:style w:type="character" w:customStyle="1" w:styleId="WW8Num10z0">
    <w:name w:val="WW8Num10z0"/>
    <w:rPr>
      <w:rFonts w:ascii="Calibri" w:hAnsi="Calibri" w:cs="Calibri"/>
      <w:b/>
      <w:sz w:val="22"/>
      <w:szCs w:val="22"/>
    </w:rPr>
  </w:style>
  <w:style w:type="character" w:customStyle="1" w:styleId="WW8Num11z0">
    <w:name w:val="WW8Num11z0"/>
    <w:rPr>
      <w:rFonts w:cs="Calibri" w:hint="default"/>
    </w:rPr>
  </w:style>
  <w:style w:type="character" w:customStyle="1" w:styleId="WW8Num12z0">
    <w:name w:val="WW8Num12z0"/>
    <w:rPr>
      <w:rFonts w:hint="default"/>
    </w:rPr>
  </w:style>
  <w:style w:type="character" w:customStyle="1" w:styleId="WW8Num13z0">
    <w:name w:val="WW8Num13z0"/>
    <w:rPr>
      <w:rFonts w:ascii="Calibri" w:hAnsi="Calibri" w:cs="Calibri" w:hint="default"/>
      <w:b w:val="0"/>
      <w:i w:val="0"/>
      <w:smallCaps/>
      <w:sz w:val="22"/>
      <w:szCs w:val="22"/>
    </w:rPr>
  </w:style>
  <w:style w:type="character" w:customStyle="1" w:styleId="WW8Num14z0">
    <w:name w:val="WW8Num14z0"/>
    <w:rPr>
      <w:rFonts w:ascii="Symbol" w:hAnsi="Symbol" w:cs="Symbol" w:hint="default"/>
      <w:color w:val="000000"/>
      <w:sz w:val="22"/>
      <w:szCs w:val="22"/>
    </w:rPr>
  </w:style>
  <w:style w:type="character" w:customStyle="1" w:styleId="Predvolenpsmoodseku2">
    <w:name w:val="Predvolené písmo odseku2"/>
  </w:style>
  <w:style w:type="character" w:customStyle="1" w:styleId="WW8Num2z1">
    <w:name w:val="WW8Num2z1"/>
  </w:style>
  <w:style w:type="character" w:customStyle="1" w:styleId="WW8Num2z2">
    <w:name w:val="WW8Num2z2"/>
  </w:style>
  <w:style w:type="character" w:customStyle="1" w:styleId="WW8Num2z3">
    <w:name w:val="WW8Num2z3"/>
  </w:style>
  <w:style w:type="character" w:customStyle="1" w:styleId="WW8Num2z4">
    <w:name w:val="WW8Num2z4"/>
  </w:style>
  <w:style w:type="character" w:customStyle="1" w:styleId="WW8Num2z5">
    <w:name w:val="WW8Num2z5"/>
  </w:style>
  <w:style w:type="character" w:customStyle="1" w:styleId="WW8Num2z6">
    <w:name w:val="WW8Num2z6"/>
  </w:style>
  <w:style w:type="character" w:customStyle="1" w:styleId="WW8Num2z7">
    <w:name w:val="WW8Num2z7"/>
  </w:style>
  <w:style w:type="character" w:customStyle="1" w:styleId="WW8Num2z8">
    <w:name w:val="WW8Num2z8"/>
  </w:style>
  <w:style w:type="character" w:customStyle="1" w:styleId="WW8Num3z1">
    <w:name w:val="WW8Num3z1"/>
  </w:style>
  <w:style w:type="character" w:customStyle="1" w:styleId="WW8Num3z2">
    <w:name w:val="WW8Num3z2"/>
  </w:style>
  <w:style w:type="character" w:customStyle="1" w:styleId="WW8Num3z3">
    <w:name w:val="WW8Num3z3"/>
  </w:style>
  <w:style w:type="character" w:customStyle="1" w:styleId="WW8Num3z4">
    <w:name w:val="WW8Num3z4"/>
  </w:style>
  <w:style w:type="character" w:customStyle="1" w:styleId="WW8Num3z5">
    <w:name w:val="WW8Num3z5"/>
  </w:style>
  <w:style w:type="character" w:customStyle="1" w:styleId="WW8Num3z6">
    <w:name w:val="WW8Num3z6"/>
  </w:style>
  <w:style w:type="character" w:customStyle="1" w:styleId="WW8Num3z7">
    <w:name w:val="WW8Num3z7"/>
  </w:style>
  <w:style w:type="character" w:customStyle="1" w:styleId="WW8Num3z8">
    <w:name w:val="WW8Num3z8"/>
  </w:style>
  <w:style w:type="character" w:customStyle="1" w:styleId="WW8Num5z1">
    <w:name w:val="WW8Num5z1"/>
  </w:style>
  <w:style w:type="character" w:customStyle="1" w:styleId="WW8Num5z2">
    <w:name w:val="WW8Num5z2"/>
  </w:style>
  <w:style w:type="character" w:customStyle="1" w:styleId="WW8Num5z3">
    <w:name w:val="WW8Num5z3"/>
  </w:style>
  <w:style w:type="character" w:customStyle="1" w:styleId="WW8Num5z4">
    <w:name w:val="WW8Num5z4"/>
  </w:style>
  <w:style w:type="character" w:customStyle="1" w:styleId="WW8Num5z5">
    <w:name w:val="WW8Num5z5"/>
  </w:style>
  <w:style w:type="character" w:customStyle="1" w:styleId="WW8Num5z6">
    <w:name w:val="WW8Num5z6"/>
  </w:style>
  <w:style w:type="character" w:customStyle="1" w:styleId="WW8Num5z7">
    <w:name w:val="WW8Num5z7"/>
  </w:style>
  <w:style w:type="character" w:customStyle="1" w:styleId="WW8Num5z8">
    <w:name w:val="WW8Num5z8"/>
  </w:style>
  <w:style w:type="character" w:customStyle="1" w:styleId="WW8Num6z1">
    <w:name w:val="WW8Num6z1"/>
    <w:rPr>
      <w:rFonts w:ascii="Courier New" w:hAnsi="Courier New" w:cs="Courier New" w:hint="default"/>
    </w:rPr>
  </w:style>
  <w:style w:type="character" w:customStyle="1" w:styleId="WW8Num6z2">
    <w:name w:val="WW8Num6z2"/>
    <w:rPr>
      <w:rFonts w:ascii="Wingdings" w:hAnsi="Wingdings" w:cs="Wingdings" w:hint="default"/>
    </w:rPr>
  </w:style>
  <w:style w:type="character" w:customStyle="1" w:styleId="WW8Num7z1">
    <w:name w:val="WW8Num7z1"/>
  </w:style>
  <w:style w:type="character" w:customStyle="1" w:styleId="WW8Num7z2">
    <w:name w:val="WW8Num7z2"/>
  </w:style>
  <w:style w:type="character" w:customStyle="1" w:styleId="WW8Num7z3">
    <w:name w:val="WW8Num7z3"/>
  </w:style>
  <w:style w:type="character" w:customStyle="1" w:styleId="WW8Num7z4">
    <w:name w:val="WW8Num7z4"/>
  </w:style>
  <w:style w:type="character" w:customStyle="1" w:styleId="WW8Num7z5">
    <w:name w:val="WW8Num7z5"/>
  </w:style>
  <w:style w:type="character" w:customStyle="1" w:styleId="WW8Num7z6">
    <w:name w:val="WW8Num7z6"/>
  </w:style>
  <w:style w:type="character" w:customStyle="1" w:styleId="WW8Num7z7">
    <w:name w:val="WW8Num7z7"/>
  </w:style>
  <w:style w:type="character" w:customStyle="1" w:styleId="WW8Num7z8">
    <w:name w:val="WW8Num7z8"/>
  </w:style>
  <w:style w:type="character" w:customStyle="1" w:styleId="WW8Num8z1">
    <w:name w:val="WW8Num8z1"/>
    <w:rPr>
      <w:rFonts w:ascii="Courier New" w:hAnsi="Courier New" w:cs="Courier New" w:hint="default"/>
    </w:rPr>
  </w:style>
  <w:style w:type="character" w:customStyle="1" w:styleId="WW8Num8z2">
    <w:name w:val="WW8Num8z2"/>
    <w:rPr>
      <w:rFonts w:ascii="Wingdings" w:hAnsi="Wingdings" w:cs="Wingdings" w:hint="default"/>
    </w:rPr>
  </w:style>
  <w:style w:type="character" w:customStyle="1" w:styleId="WW8Num8z3">
    <w:name w:val="WW8Num8z3"/>
    <w:rPr>
      <w:rFonts w:ascii="Symbol" w:hAnsi="Symbol" w:cs="Symbol" w:hint="default"/>
    </w:rPr>
  </w:style>
  <w:style w:type="character" w:customStyle="1" w:styleId="WW8Num13z1">
    <w:name w:val="WW8Num13z1"/>
  </w:style>
  <w:style w:type="character" w:customStyle="1" w:styleId="WW8Num13z2">
    <w:name w:val="WW8Num13z2"/>
  </w:style>
  <w:style w:type="character" w:customStyle="1" w:styleId="WW8Num13z3">
    <w:name w:val="WW8Num13z3"/>
  </w:style>
  <w:style w:type="character" w:customStyle="1" w:styleId="WW8Num13z4">
    <w:name w:val="WW8Num13z4"/>
  </w:style>
  <w:style w:type="character" w:customStyle="1" w:styleId="WW8Num13z5">
    <w:name w:val="WW8Num13z5"/>
  </w:style>
  <w:style w:type="character" w:customStyle="1" w:styleId="WW8Num13z6">
    <w:name w:val="WW8Num13z6"/>
  </w:style>
  <w:style w:type="character" w:customStyle="1" w:styleId="WW8Num13z7">
    <w:name w:val="WW8Num13z7"/>
  </w:style>
  <w:style w:type="character" w:customStyle="1" w:styleId="WW8Num13z8">
    <w:name w:val="WW8Num13z8"/>
  </w:style>
  <w:style w:type="character" w:customStyle="1" w:styleId="WW8Num15z0">
    <w:name w:val="WW8Num15z0"/>
  </w:style>
  <w:style w:type="character" w:customStyle="1" w:styleId="WW8Num15z1">
    <w:name w:val="WW8Num15z1"/>
  </w:style>
  <w:style w:type="character" w:customStyle="1" w:styleId="WW8Num15z2">
    <w:name w:val="WW8Num15z2"/>
  </w:style>
  <w:style w:type="character" w:customStyle="1" w:styleId="WW8Num15z3">
    <w:name w:val="WW8Num15z3"/>
  </w:style>
  <w:style w:type="character" w:customStyle="1" w:styleId="WW8Num15z4">
    <w:name w:val="WW8Num15z4"/>
  </w:style>
  <w:style w:type="character" w:customStyle="1" w:styleId="WW8Num15z5">
    <w:name w:val="WW8Num15z5"/>
  </w:style>
  <w:style w:type="character" w:customStyle="1" w:styleId="WW8Num15z6">
    <w:name w:val="WW8Num15z6"/>
  </w:style>
  <w:style w:type="character" w:customStyle="1" w:styleId="WW8Num15z7">
    <w:name w:val="WW8Num15z7"/>
  </w:style>
  <w:style w:type="character" w:customStyle="1" w:styleId="WW8Num15z8">
    <w:name w:val="WW8Num15z8"/>
  </w:style>
  <w:style w:type="character" w:customStyle="1" w:styleId="WW8Num16z0">
    <w:name w:val="WW8Num16z0"/>
    <w:rPr>
      <w:rFonts w:hint="default"/>
      <w:b/>
      <w:sz w:val="16"/>
      <w:szCs w:val="16"/>
    </w:rPr>
  </w:style>
  <w:style w:type="character" w:customStyle="1" w:styleId="WW8Num16z1">
    <w:name w:val="WW8Num16z1"/>
  </w:style>
  <w:style w:type="character" w:customStyle="1" w:styleId="WW8Num16z2">
    <w:name w:val="WW8Num16z2"/>
  </w:style>
  <w:style w:type="character" w:customStyle="1" w:styleId="WW8Num16z3">
    <w:name w:val="WW8Num16z3"/>
  </w:style>
  <w:style w:type="character" w:customStyle="1" w:styleId="WW8Num16z4">
    <w:name w:val="WW8Num16z4"/>
  </w:style>
  <w:style w:type="character" w:customStyle="1" w:styleId="WW8Num16z5">
    <w:name w:val="WW8Num16z5"/>
  </w:style>
  <w:style w:type="character" w:customStyle="1" w:styleId="WW8Num16z6">
    <w:name w:val="WW8Num16z6"/>
  </w:style>
  <w:style w:type="character" w:customStyle="1" w:styleId="WW8Num16z7">
    <w:name w:val="WW8Num16z7"/>
  </w:style>
  <w:style w:type="character" w:customStyle="1" w:styleId="WW8Num16z8">
    <w:name w:val="WW8Num16z8"/>
  </w:style>
  <w:style w:type="character" w:customStyle="1" w:styleId="WW8Num17z0">
    <w:name w:val="WW8Num17z0"/>
    <w:rPr>
      <w:rFonts w:ascii="Calibri" w:hAnsi="Calibri" w:cs="Calibri" w:hint="default"/>
      <w:b w:val="0"/>
      <w:i w:val="0"/>
      <w:smallCaps/>
      <w:sz w:val="22"/>
      <w:szCs w:val="22"/>
    </w:rPr>
  </w:style>
  <w:style w:type="character" w:customStyle="1" w:styleId="WW8Num17z1">
    <w:name w:val="WW8Num17z1"/>
  </w:style>
  <w:style w:type="character" w:customStyle="1" w:styleId="WW8Num17z2">
    <w:name w:val="WW8Num17z2"/>
  </w:style>
  <w:style w:type="character" w:customStyle="1" w:styleId="WW8Num17z3">
    <w:name w:val="WW8Num17z3"/>
  </w:style>
  <w:style w:type="character" w:customStyle="1" w:styleId="WW8Num17z4">
    <w:name w:val="WW8Num17z4"/>
  </w:style>
  <w:style w:type="character" w:customStyle="1" w:styleId="WW8Num17z5">
    <w:name w:val="WW8Num17z5"/>
  </w:style>
  <w:style w:type="character" w:customStyle="1" w:styleId="WW8Num17z6">
    <w:name w:val="WW8Num17z6"/>
  </w:style>
  <w:style w:type="character" w:customStyle="1" w:styleId="WW8Num17z7">
    <w:name w:val="WW8Num17z7"/>
  </w:style>
  <w:style w:type="character" w:customStyle="1" w:styleId="WW8Num17z8">
    <w:name w:val="WW8Num17z8"/>
  </w:style>
  <w:style w:type="character" w:customStyle="1" w:styleId="WW8NumSt2z0">
    <w:name w:val="WW8NumSt2z0"/>
    <w:rPr>
      <w:rFonts w:ascii="Symbol" w:hAnsi="Symbol" w:cs="Symbol" w:hint="default"/>
      <w:color w:val="000000"/>
      <w:sz w:val="22"/>
      <w:szCs w:val="22"/>
    </w:rPr>
  </w:style>
  <w:style w:type="character" w:customStyle="1" w:styleId="Predvolenpsmoodseku1">
    <w:name w:val="Predvolené písmo odseku1"/>
  </w:style>
  <w:style w:type="character" w:customStyle="1" w:styleId="Nadpis1Char">
    <w:name w:val="Nadpis 1 Char"/>
    <w:rPr>
      <w:b/>
      <w:kern w:val="2"/>
      <w:u w:val="single"/>
      <w:lang w:val="sk-SK" w:bidi="ar-SA"/>
    </w:rPr>
  </w:style>
  <w:style w:type="character" w:customStyle="1" w:styleId="Nadpis2Char">
    <w:name w:val="Nadpis 2 Char"/>
    <w:rPr>
      <w:sz w:val="24"/>
      <w:lang w:val="sk-SK" w:bidi="ar-SA"/>
    </w:rPr>
  </w:style>
  <w:style w:type="character" w:customStyle="1" w:styleId="Nadpis3Char">
    <w:name w:val="Nadpis 3 Char"/>
    <w:rPr>
      <w:b/>
      <w:lang w:val="sk-SK" w:bidi="ar-SA"/>
    </w:rPr>
  </w:style>
  <w:style w:type="character" w:customStyle="1" w:styleId="Nadpis4Char">
    <w:name w:val="Nadpis 4 Char"/>
    <w:rPr>
      <w:b/>
      <w:i/>
      <w:sz w:val="24"/>
      <w:lang w:val="sk-SK" w:bidi="ar-SA"/>
    </w:rPr>
  </w:style>
  <w:style w:type="character" w:customStyle="1" w:styleId="Nadpis5Char">
    <w:name w:val="Nadpis 5 Char"/>
    <w:rPr>
      <w:sz w:val="24"/>
      <w:u w:val="single"/>
      <w:lang w:val="sk-SK" w:bidi="ar-SA"/>
    </w:rPr>
  </w:style>
  <w:style w:type="character" w:customStyle="1" w:styleId="Nadpis6Char">
    <w:name w:val="Nadpis 6 Char"/>
    <w:rPr>
      <w:color w:val="000000"/>
      <w:sz w:val="24"/>
      <w:lang w:val="sk-SK" w:bidi="ar-SA"/>
    </w:rPr>
  </w:style>
  <w:style w:type="character" w:customStyle="1" w:styleId="Nadpis7Char">
    <w:name w:val="Nadpis 7 Char"/>
    <w:rPr>
      <w:i/>
      <w:color w:val="000000"/>
      <w:sz w:val="24"/>
      <w:lang w:val="sk-SK" w:bidi="ar-SA"/>
    </w:rPr>
  </w:style>
  <w:style w:type="character" w:customStyle="1" w:styleId="Nadpis8Char">
    <w:name w:val="Nadpis 8 Char"/>
    <w:rPr>
      <w:color w:val="0000FF"/>
      <w:sz w:val="24"/>
      <w:lang w:val="sk-SK" w:bidi="ar-SA"/>
    </w:rPr>
  </w:style>
  <w:style w:type="character" w:customStyle="1" w:styleId="Nadpis9Char">
    <w:name w:val="Nadpis 9 Char"/>
    <w:rPr>
      <w:color w:val="0000FF"/>
      <w:sz w:val="24"/>
      <w:lang w:val="sk-SK" w:bidi="ar-SA"/>
    </w:rPr>
  </w:style>
  <w:style w:type="character" w:styleId="slostrany">
    <w:name w:val="page number"/>
    <w:basedOn w:val="Predvolenpsmoodseku1"/>
  </w:style>
  <w:style w:type="character" w:customStyle="1" w:styleId="HlavikaChar">
    <w:name w:val="Hlavička Char"/>
    <w:rPr>
      <w:lang w:val="sk-SK" w:bidi="ar-SA"/>
    </w:rPr>
  </w:style>
  <w:style w:type="character" w:customStyle="1" w:styleId="PtaChar">
    <w:name w:val="Päta Char"/>
    <w:rPr>
      <w:lang w:val="sk-SK" w:bidi="ar-SA"/>
    </w:rPr>
  </w:style>
  <w:style w:type="character" w:customStyle="1" w:styleId="ZkladntextChar">
    <w:name w:val="Základný text Char"/>
    <w:rPr>
      <w:sz w:val="24"/>
      <w:lang w:val="sk-SK" w:bidi="ar-SA"/>
    </w:rPr>
  </w:style>
  <w:style w:type="character" w:customStyle="1" w:styleId="Zarkazkladnhotextu2Char">
    <w:name w:val="Zarážka základného textu 2 Char"/>
    <w:rPr>
      <w:sz w:val="24"/>
      <w:lang w:val="sk-SK" w:bidi="ar-SA"/>
    </w:rPr>
  </w:style>
  <w:style w:type="character" w:customStyle="1" w:styleId="Zkladntext2Char">
    <w:name w:val="Základný text 2 Char"/>
    <w:rPr>
      <w:color w:val="0000FF"/>
      <w:sz w:val="24"/>
      <w:lang w:val="sk-SK" w:bidi="ar-SA"/>
    </w:rPr>
  </w:style>
  <w:style w:type="character" w:customStyle="1" w:styleId="NzovChar">
    <w:name w:val="Názov Char"/>
    <w:rPr>
      <w:b/>
      <w:sz w:val="32"/>
      <w:lang w:val="sk-SK" w:bidi="ar-SA"/>
    </w:rPr>
  </w:style>
  <w:style w:type="character" w:customStyle="1" w:styleId="PodtitulChar">
    <w:name w:val="Podtitul Char"/>
    <w:rPr>
      <w:sz w:val="28"/>
      <w:lang w:val="sk-SK" w:bidi="ar-SA"/>
    </w:rPr>
  </w:style>
  <w:style w:type="character" w:customStyle="1" w:styleId="TextbublinyChar">
    <w:name w:val="Text bubliny Char"/>
    <w:rPr>
      <w:rFonts w:ascii="Tahoma" w:hAnsi="Tahoma" w:cs="Tahoma"/>
      <w:sz w:val="16"/>
      <w:szCs w:val="16"/>
      <w:lang w:val="sk-SK" w:bidi="ar-SA"/>
    </w:rPr>
  </w:style>
  <w:style w:type="character" w:customStyle="1" w:styleId="TextpoznmkypodiarouChar">
    <w:name w:val="Text poznámky pod čiarou Char"/>
    <w:rPr>
      <w:lang w:val="sk-SK" w:bidi="ar-SA"/>
    </w:rPr>
  </w:style>
  <w:style w:type="character" w:customStyle="1" w:styleId="Zarkazkladnhotextu3Char">
    <w:name w:val="Zarážka základného textu 3 Char"/>
    <w:rPr>
      <w:sz w:val="24"/>
      <w:szCs w:val="24"/>
      <w:lang w:val="sk-SK" w:bidi="ar-SA"/>
    </w:rPr>
  </w:style>
  <w:style w:type="character" w:customStyle="1" w:styleId="Odkaznakomentr1">
    <w:name w:val="Odkaz na komentár1"/>
    <w:rPr>
      <w:sz w:val="16"/>
      <w:szCs w:val="16"/>
    </w:rPr>
  </w:style>
  <w:style w:type="character" w:customStyle="1" w:styleId="TextkomentraChar">
    <w:name w:val="Text komentára Char"/>
    <w:basedOn w:val="Predvolenpsmoodseku1"/>
  </w:style>
  <w:style w:type="character" w:customStyle="1" w:styleId="PredmetkomentraChar">
    <w:name w:val="Predmet komentára Char"/>
    <w:rPr>
      <w:b/>
      <w:bCs/>
    </w:rPr>
  </w:style>
  <w:style w:type="character" w:customStyle="1" w:styleId="ra">
    <w:name w:val="ra"/>
  </w:style>
  <w:style w:type="character" w:customStyle="1" w:styleId="tl">
    <w:name w:val="tl"/>
  </w:style>
  <w:style w:type="character" w:styleId="Hypertextovprepojenie">
    <w:name w:val="Hyperlink"/>
    <w:rPr>
      <w:color w:val="0000FF"/>
      <w:u w:val="single"/>
    </w:rPr>
  </w:style>
  <w:style w:type="character" w:customStyle="1" w:styleId="Odkaznakomentr2">
    <w:name w:val="Odkaz na komentár2"/>
    <w:rPr>
      <w:sz w:val="16"/>
      <w:szCs w:val="16"/>
    </w:rPr>
  </w:style>
  <w:style w:type="character" w:customStyle="1" w:styleId="TextkomentraChar1">
    <w:name w:val="Text komentára Char1"/>
    <w:rPr>
      <w:lang w:eastAsia="zh-CN"/>
    </w:rPr>
  </w:style>
  <w:style w:type="paragraph" w:customStyle="1" w:styleId="Heading">
    <w:name w:val="Heading"/>
    <w:basedOn w:val="Normlny"/>
    <w:next w:val="Zkladntext"/>
    <w:pPr>
      <w:jc w:val="center"/>
    </w:pPr>
    <w:rPr>
      <w:b/>
      <w:sz w:val="32"/>
    </w:rPr>
  </w:style>
  <w:style w:type="paragraph" w:styleId="Zkladntext">
    <w:name w:val="Body Text"/>
    <w:basedOn w:val="Normlny"/>
    <w:rPr>
      <w:sz w:val="24"/>
    </w:rPr>
  </w:style>
  <w:style w:type="paragraph" w:styleId="Zoznam">
    <w:name w:val="List"/>
    <w:basedOn w:val="Zkladntext"/>
    <w:rPr>
      <w:rFonts w:cs="Arial"/>
    </w:rPr>
  </w:style>
  <w:style w:type="paragraph" w:styleId="Popis">
    <w:name w:val="caption"/>
    <w:basedOn w:val="Normlny"/>
    <w:qFormat/>
    <w:pPr>
      <w:suppressLineNumbers/>
      <w:spacing w:before="120" w:after="120"/>
    </w:pPr>
    <w:rPr>
      <w:rFonts w:cs="Arial"/>
      <w:i/>
      <w:iCs/>
      <w:sz w:val="24"/>
      <w:szCs w:val="24"/>
    </w:rPr>
  </w:style>
  <w:style w:type="paragraph" w:customStyle="1" w:styleId="Index">
    <w:name w:val="Index"/>
    <w:basedOn w:val="Normlny"/>
    <w:pPr>
      <w:suppressLineNumbers/>
    </w:pPr>
    <w:rPr>
      <w:rFonts w:cs="Arial"/>
    </w:rPr>
  </w:style>
  <w:style w:type="paragraph" w:customStyle="1" w:styleId="Popis1">
    <w:name w:val="Popis1"/>
    <w:basedOn w:val="Normlny"/>
    <w:pPr>
      <w:suppressLineNumbers/>
      <w:spacing w:before="120" w:after="120"/>
    </w:pPr>
    <w:rPr>
      <w:rFonts w:cs="Arial"/>
      <w:i/>
      <w:iCs/>
      <w:sz w:val="24"/>
      <w:szCs w:val="24"/>
    </w:rPr>
  </w:style>
  <w:style w:type="paragraph" w:styleId="Obsah1">
    <w:name w:val="toc 1"/>
    <w:basedOn w:val="Normlny"/>
    <w:next w:val="Normlny"/>
    <w:pPr>
      <w:jc w:val="left"/>
    </w:pPr>
    <w:rPr>
      <w:b/>
    </w:rPr>
  </w:style>
  <w:style w:type="paragraph" w:styleId="Obsah2">
    <w:name w:val="toc 2"/>
    <w:basedOn w:val="Normlny"/>
    <w:next w:val="Normlny"/>
    <w:pPr>
      <w:tabs>
        <w:tab w:val="right" w:pos="9071"/>
      </w:tabs>
      <w:spacing w:before="240"/>
      <w:jc w:val="left"/>
    </w:pPr>
    <w:rPr>
      <w:b/>
    </w:rPr>
  </w:style>
  <w:style w:type="paragraph" w:customStyle="1" w:styleId="Normlnysozarkami1">
    <w:name w:val="Normálny so zarážkami1"/>
    <w:basedOn w:val="Normlny"/>
    <w:pPr>
      <w:ind w:left="425"/>
      <w:jc w:val="left"/>
    </w:pPr>
    <w:rPr>
      <w:sz w:val="24"/>
    </w:rPr>
  </w:style>
  <w:style w:type="paragraph" w:customStyle="1" w:styleId="HeaderandFooter">
    <w:name w:val="Header and Footer"/>
    <w:basedOn w:val="Normlny"/>
    <w:pPr>
      <w:suppressLineNumbers/>
      <w:tabs>
        <w:tab w:val="center" w:pos="4819"/>
        <w:tab w:val="right" w:pos="9638"/>
      </w:tabs>
    </w:pPr>
  </w:style>
  <w:style w:type="paragraph" w:styleId="Hlavika">
    <w:name w:val="header"/>
    <w:basedOn w:val="Normlny"/>
    <w:pPr>
      <w:tabs>
        <w:tab w:val="center" w:pos="4536"/>
        <w:tab w:val="right" w:pos="9072"/>
      </w:tabs>
    </w:pPr>
  </w:style>
  <w:style w:type="paragraph" w:styleId="Pta">
    <w:name w:val="footer"/>
    <w:basedOn w:val="Normlny"/>
    <w:pPr>
      <w:tabs>
        <w:tab w:val="center" w:pos="4536"/>
        <w:tab w:val="right" w:pos="9072"/>
      </w:tabs>
    </w:pPr>
  </w:style>
  <w:style w:type="paragraph" w:customStyle="1" w:styleId="Zarkazkladnhotextu21">
    <w:name w:val="Zarážka základného textu 21"/>
    <w:basedOn w:val="Normlny"/>
    <w:pPr>
      <w:ind w:firstLine="284"/>
    </w:pPr>
    <w:rPr>
      <w:sz w:val="24"/>
    </w:rPr>
  </w:style>
  <w:style w:type="paragraph" w:customStyle="1" w:styleId="BodyTextIndent21">
    <w:name w:val="Body Text Indent 21"/>
    <w:basedOn w:val="Normlny"/>
    <w:pPr>
      <w:ind w:firstLine="284"/>
    </w:pPr>
    <w:rPr>
      <w:sz w:val="24"/>
    </w:rPr>
  </w:style>
  <w:style w:type="paragraph" w:customStyle="1" w:styleId="BodyText21">
    <w:name w:val="Body Text 21"/>
    <w:basedOn w:val="Normlny"/>
    <w:pPr>
      <w:jc w:val="left"/>
    </w:pPr>
    <w:rPr>
      <w:sz w:val="24"/>
    </w:rPr>
  </w:style>
  <w:style w:type="paragraph" w:customStyle="1" w:styleId="Zkladntext21">
    <w:name w:val="Základný text 21"/>
    <w:basedOn w:val="Normlny"/>
    <w:rPr>
      <w:color w:val="0000FF"/>
      <w:sz w:val="24"/>
    </w:rPr>
  </w:style>
  <w:style w:type="paragraph" w:customStyle="1" w:styleId="Zkladntext31">
    <w:name w:val="Základný text 31"/>
    <w:basedOn w:val="Normlny"/>
    <w:pPr>
      <w:jc w:val="left"/>
    </w:pPr>
    <w:rPr>
      <w:sz w:val="24"/>
    </w:rPr>
  </w:style>
  <w:style w:type="paragraph" w:styleId="Zarkazkladnhotextu">
    <w:name w:val="Body Text Indent"/>
    <w:basedOn w:val="Normlny"/>
    <w:pPr>
      <w:jc w:val="left"/>
    </w:pPr>
    <w:rPr>
      <w:sz w:val="24"/>
    </w:rPr>
  </w:style>
  <w:style w:type="paragraph" w:customStyle="1" w:styleId="Texttabulky">
    <w:name w:val="Text tabulky"/>
    <w:pPr>
      <w:suppressAutoHyphens/>
    </w:pPr>
    <w:rPr>
      <w:color w:val="000000"/>
      <w:sz w:val="24"/>
      <w:lang w:val="cs-CZ" w:eastAsia="zh-CN"/>
    </w:rPr>
  </w:style>
  <w:style w:type="paragraph" w:styleId="Podtitul">
    <w:name w:val="Subtitle"/>
    <w:basedOn w:val="Normlny"/>
    <w:next w:val="Zkladntext"/>
    <w:qFormat/>
    <w:pPr>
      <w:jc w:val="center"/>
    </w:pPr>
    <w:rPr>
      <w:sz w:val="28"/>
    </w:rPr>
  </w:style>
  <w:style w:type="paragraph" w:styleId="Textbubliny">
    <w:name w:val="Balloon Text"/>
    <w:basedOn w:val="Normlny"/>
    <w:rPr>
      <w:rFonts w:ascii="Tahoma" w:hAnsi="Tahoma" w:cs="Tahoma"/>
      <w:sz w:val="16"/>
      <w:szCs w:val="16"/>
    </w:rPr>
  </w:style>
  <w:style w:type="paragraph" w:customStyle="1" w:styleId="TopHeader">
    <w:name w:val="Top Header"/>
    <w:basedOn w:val="Normlny"/>
    <w:pPr>
      <w:jc w:val="center"/>
    </w:pPr>
    <w:rPr>
      <w:rFonts w:ascii="Arial Narrow" w:hAnsi="Arial Narrow" w:cs="Arial Narrow"/>
      <w:b/>
      <w:bCs/>
      <w:sz w:val="22"/>
      <w:szCs w:val="22"/>
    </w:rPr>
  </w:style>
  <w:style w:type="paragraph" w:styleId="Textpoznmkypodiarou">
    <w:name w:val="footnote text"/>
    <w:basedOn w:val="Normlny"/>
    <w:pPr>
      <w:jc w:val="left"/>
    </w:pPr>
  </w:style>
  <w:style w:type="paragraph" w:customStyle="1" w:styleId="Zarkazkladnhotextu31">
    <w:name w:val="Zarážka základného textu 31"/>
    <w:basedOn w:val="Normlny"/>
    <w:pPr>
      <w:ind w:left="708" w:firstLine="708"/>
    </w:pPr>
    <w:rPr>
      <w:sz w:val="24"/>
      <w:szCs w:val="24"/>
    </w:rPr>
  </w:style>
  <w:style w:type="paragraph" w:styleId="Odsekzoznamu">
    <w:name w:val="List Paragraph"/>
    <w:basedOn w:val="Normlny"/>
    <w:qFormat/>
    <w:pPr>
      <w:ind w:left="720"/>
      <w:contextualSpacing/>
      <w:jc w:val="left"/>
    </w:pPr>
    <w:rPr>
      <w:sz w:val="24"/>
      <w:szCs w:val="24"/>
    </w:rPr>
  </w:style>
  <w:style w:type="paragraph" w:styleId="Revzia">
    <w:name w:val="Revision"/>
    <w:pPr>
      <w:suppressAutoHyphens/>
    </w:pPr>
    <w:rPr>
      <w:lang w:eastAsia="zh-CN"/>
    </w:rPr>
  </w:style>
  <w:style w:type="paragraph" w:customStyle="1" w:styleId="Textkomentra1">
    <w:name w:val="Text komentára1"/>
    <w:basedOn w:val="Normlny"/>
  </w:style>
  <w:style w:type="paragraph" w:customStyle="1" w:styleId="Default">
    <w:name w:val="Default"/>
    <w:pPr>
      <w:suppressAutoHyphens/>
      <w:autoSpaceDE w:val="0"/>
    </w:pPr>
    <w:rPr>
      <w:rFonts w:ascii="Arial" w:hAnsi="Arial" w:cs="Arial"/>
      <w:color w:val="000000"/>
      <w:sz w:val="24"/>
      <w:szCs w:val="24"/>
      <w:lang w:eastAsia="zh-CN"/>
    </w:rPr>
  </w:style>
  <w:style w:type="paragraph" w:styleId="Predmetkomentra">
    <w:name w:val="annotation subject"/>
    <w:basedOn w:val="Textkomentra1"/>
    <w:next w:val="Textkomentra1"/>
    <w:rPr>
      <w:b/>
      <w:bCs/>
    </w:rPr>
  </w:style>
  <w:style w:type="paragraph" w:customStyle="1" w:styleId="TableContents">
    <w:name w:val="Table Contents"/>
    <w:basedOn w:val="Normlny"/>
    <w:pPr>
      <w:widowControl w:val="0"/>
      <w:suppressLineNumbers/>
    </w:pPr>
  </w:style>
  <w:style w:type="paragraph" w:customStyle="1" w:styleId="TableHeading">
    <w:name w:val="Table Heading"/>
    <w:basedOn w:val="TableContents"/>
    <w:pPr>
      <w:jc w:val="center"/>
    </w:pPr>
    <w:rPr>
      <w:b/>
      <w:bCs/>
    </w:rPr>
  </w:style>
  <w:style w:type="paragraph" w:customStyle="1" w:styleId="FrameContents">
    <w:name w:val="Frame Contents"/>
    <w:basedOn w:val="Normlny"/>
  </w:style>
  <w:style w:type="paragraph" w:customStyle="1" w:styleId="Textkomentra2">
    <w:name w:val="Text komentára2"/>
    <w:basedOn w:val="Normlny"/>
  </w:style>
  <w:style w:type="character" w:styleId="Odkaznakomentr">
    <w:name w:val="annotation reference"/>
    <w:uiPriority w:val="99"/>
    <w:semiHidden/>
    <w:unhideWhenUsed/>
    <w:rsid w:val="007E6695"/>
    <w:rPr>
      <w:sz w:val="16"/>
      <w:szCs w:val="16"/>
    </w:rPr>
  </w:style>
  <w:style w:type="paragraph" w:styleId="Textkomentra">
    <w:name w:val="annotation text"/>
    <w:basedOn w:val="Normlny"/>
    <w:link w:val="TextkomentraChar2"/>
    <w:uiPriority w:val="99"/>
    <w:unhideWhenUsed/>
    <w:rsid w:val="007E6695"/>
  </w:style>
  <w:style w:type="character" w:customStyle="1" w:styleId="TextkomentraChar2">
    <w:name w:val="Text komentára Char2"/>
    <w:link w:val="Textkomentra"/>
    <w:uiPriority w:val="99"/>
    <w:rsid w:val="007E6695"/>
    <w:rPr>
      <w:lang w:eastAsia="zh-C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kument" ma:contentTypeID="0x010100ADA2073E4956974EB692CFC44E2968D8" ma:contentTypeVersion="18" ma:contentTypeDescription="Umožňuje vytvoriť nový dokument." ma:contentTypeScope="" ma:versionID="8dc782affe72078507454054b0a01831">
  <xsd:schema xmlns:xsd="http://www.w3.org/2001/XMLSchema" xmlns:xs="http://www.w3.org/2001/XMLSchema" xmlns:p="http://schemas.microsoft.com/office/2006/metadata/properties" xmlns:ns2="f1afb6be-dfdd-4eed-a356-8b96ce4d760a" xmlns:ns3="e1e7bfb1-b481-42e9-b0a4-20e9fb7ffb6f" targetNamespace="http://schemas.microsoft.com/office/2006/metadata/properties" ma:root="true" ma:fieldsID="76ac387a66ce9fccc62618638181fda6" ns2:_="" ns3:_="">
    <xsd:import namespace="f1afb6be-dfdd-4eed-a356-8b96ce4d760a"/>
    <xsd:import namespace="e1e7bfb1-b481-42e9-b0a4-20e9fb7ffb6f"/>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3:MediaServiceLocation" minOccurs="0"/>
                <xsd:element ref="ns3:MediaLengthInSeconds" minOccurs="0"/>
                <xsd:element ref="ns3:lcf76f155ced4ddcb4097134ff3c332f" minOccurs="0"/>
                <xsd:element ref="ns2:TaxCatchAll" minOccurs="0"/>
                <xsd:element ref="ns3:MediaServiceObjectDetectorVersion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1afb6be-dfdd-4eed-a356-8b96ce4d760a" elementFormDefault="qualified">
    <xsd:import namespace="http://schemas.microsoft.com/office/2006/documentManagement/types"/>
    <xsd:import namespace="http://schemas.microsoft.com/office/infopath/2007/PartnerControls"/>
    <xsd:element name="SharedWithUsers" ma:index="8" nillable="true" ma:displayName="Zdieľa sa s"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Zdieľané s podrobnosťami" ma:internalName="SharedWithDetails" ma:readOnly="true">
      <xsd:simpleType>
        <xsd:restriction base="dms:Note">
          <xsd:maxLength value="255"/>
        </xsd:restriction>
      </xsd:simpleType>
    </xsd:element>
    <xsd:element name="TaxCatchAll" ma:index="23" nillable="true" ma:displayName="Taxonomy Catch All Column" ma:hidden="true" ma:list="{8756af62-b250-4cd8-95ca-b3742ca5f9a7}" ma:internalName="TaxCatchAll" ma:showField="CatchAllData" ma:web="f1afb6be-dfdd-4eed-a356-8b96ce4d760a">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e1e7bfb1-b481-42e9-b0a4-20e9fb7ffb6f"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AutoTags" ma:index="14" nillable="true" ma:displayName="Tags" ma:internalName="MediaServiceAutoTags"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DateTaken" ma:index="18" nillable="true" ma:displayName="MediaServiceDateTaken" ma:hidden="true" ma:internalName="MediaServiceDateTaken" ma:readOnly="true">
      <xsd:simpleType>
        <xsd:restriction base="dms:Text"/>
      </xsd:simpleType>
    </xsd:element>
    <xsd:element name="MediaServiceLocation" ma:index="19" nillable="true" ma:displayName="Location" ma:internalName="MediaServiceLocatio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Značky obrázka" ma:readOnly="false" ma:fieldId="{5cf76f15-5ced-4ddc-b409-7134ff3c332f}" ma:taxonomyMulti="true" ma:sspId="d6ff6be9-dc35-4000-882d-b74e16c43f66"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yp obsahu"/>
        <xsd:element ref="dc:title" minOccurs="0" maxOccurs="1" ma:index="4" ma:displayName="Nadpis"/>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TaxCatchAll xmlns="f1afb6be-dfdd-4eed-a356-8b96ce4d760a"/>
    <lcf76f155ced4ddcb4097134ff3c332f xmlns="e1e7bfb1-b481-42e9-b0a4-20e9fb7ffb6f">
      <Terms xmlns="http://schemas.microsoft.com/office/infopath/2007/PartnerControls"/>
    </lcf76f155ced4ddcb4097134ff3c332f>
  </documentManagement>
</p:properties>
</file>

<file path=customXml/itemProps1.xml><?xml version="1.0" encoding="utf-8"?>
<ds:datastoreItem xmlns:ds="http://schemas.openxmlformats.org/officeDocument/2006/customXml" ds:itemID="{7BA17A14-43CD-48F4-AFF1-2FFE5FF7F737}">
  <ds:schemaRefs>
    <ds:schemaRef ds:uri="http://schemas.openxmlformats.org/officeDocument/2006/bibliography"/>
  </ds:schemaRefs>
</ds:datastoreItem>
</file>

<file path=customXml/itemProps2.xml><?xml version="1.0" encoding="utf-8"?>
<ds:datastoreItem xmlns:ds="http://schemas.openxmlformats.org/officeDocument/2006/customXml" ds:itemID="{AE3DA68D-32AB-443D-8029-92949BAF6432}">
  <ds:schemaRefs>
    <ds:schemaRef ds:uri="http://schemas.microsoft.com/sharepoint/v3/contenttype/forms"/>
  </ds:schemaRefs>
</ds:datastoreItem>
</file>

<file path=customXml/itemProps3.xml><?xml version="1.0" encoding="utf-8"?>
<ds:datastoreItem xmlns:ds="http://schemas.openxmlformats.org/officeDocument/2006/customXml" ds:itemID="{A462F6F9-1100-4C63-8F52-D78A8493103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1afb6be-dfdd-4eed-a356-8b96ce4d760a"/>
    <ds:schemaRef ds:uri="e1e7bfb1-b481-42e9-b0a4-20e9fb7ffb6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D2984E20-1080-46EC-B64D-DC15F55D0E63}">
  <ds:schemaRefs>
    <ds:schemaRef ds:uri="http://schemas.microsoft.com/office/2006/metadata/properties"/>
    <ds:schemaRef ds:uri="http://schemas.microsoft.com/office/infopath/2007/PartnerControls"/>
    <ds:schemaRef ds:uri="f1afb6be-dfdd-4eed-a356-8b96ce4d760a"/>
    <ds:schemaRef ds:uri="e1e7bfb1-b481-42e9-b0a4-20e9fb7ffb6f"/>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10</Pages>
  <Words>2951</Words>
  <Characters>16821</Characters>
  <Application>Microsoft Office Word</Application>
  <DocSecurity>0</DocSecurity>
  <Lines>140</Lines>
  <Paragraphs>39</Paragraphs>
  <ScaleCrop>false</ScaleCrop>
  <HeadingPairs>
    <vt:vector size="2" baseType="variant">
      <vt:variant>
        <vt:lpstr>Názov</vt:lpstr>
      </vt:variant>
      <vt:variant>
        <vt:i4>1</vt:i4>
      </vt:variant>
    </vt:vector>
  </HeadingPairs>
  <TitlesOfParts>
    <vt:vector size="1" baseType="lpstr">
      <vt:lpstr>Obch</vt:lpstr>
    </vt:vector>
  </TitlesOfParts>
  <Company/>
  <LinksUpToDate>false</LinksUpToDate>
  <CharactersWithSpaces>19733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Obch</dc:title>
  <dc:subject/>
  <dc:creator>michal1</dc:creator>
  <cp:keywords/>
  <cp:lastModifiedBy>Jolana Makraiová</cp:lastModifiedBy>
  <cp:revision>2</cp:revision>
  <cp:lastPrinted>1995-11-21T16:41:00Z</cp:lastPrinted>
  <dcterms:created xsi:type="dcterms:W3CDTF">2026-03-31T08:04:00Z</dcterms:created>
  <dcterms:modified xsi:type="dcterms:W3CDTF">2026-03-31T08:04:00Z</dcterms:modified>
</cp:coreProperties>
</file>