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DE21BD" w14:textId="77777777" w:rsidR="00C616C2" w:rsidRDefault="00C616C2">
      <w:pPr>
        <w:jc w:val="center"/>
        <w:rPr>
          <w:rFonts w:ascii="Calibri" w:hAnsi="Calibri" w:cs="Calibri"/>
          <w:b/>
          <w:sz w:val="22"/>
          <w:szCs w:val="22"/>
          <w:highlight w:val="yellow"/>
        </w:rPr>
      </w:pPr>
    </w:p>
    <w:p w14:paraId="64C0FBA4" w14:textId="77777777" w:rsidR="00C616C2" w:rsidRDefault="00C616C2">
      <w:pPr>
        <w:jc w:val="center"/>
      </w:pPr>
      <w:r>
        <w:rPr>
          <w:rFonts w:ascii="Calibri" w:hAnsi="Calibri" w:cs="Calibri"/>
          <w:b/>
          <w:sz w:val="22"/>
          <w:szCs w:val="22"/>
        </w:rPr>
        <w:t>ČL. I</w:t>
      </w:r>
    </w:p>
    <w:p w14:paraId="5A82B452" w14:textId="77777777" w:rsidR="00C616C2" w:rsidRDefault="00C616C2">
      <w:pPr>
        <w:jc w:val="center"/>
      </w:pPr>
      <w:r>
        <w:rPr>
          <w:rFonts w:ascii="Calibri" w:hAnsi="Calibri" w:cs="Calibri"/>
          <w:b/>
          <w:sz w:val="22"/>
          <w:szCs w:val="22"/>
        </w:rPr>
        <w:t>VŠEOBECNÉ INFORMÁCIE</w:t>
      </w:r>
    </w:p>
    <w:p w14:paraId="634C88C0" w14:textId="77777777" w:rsidR="00C616C2" w:rsidRDefault="00C616C2">
      <w:pPr>
        <w:rPr>
          <w:rFonts w:ascii="Calibri" w:hAnsi="Calibri" w:cs="Calibri"/>
          <w:b/>
          <w:sz w:val="22"/>
          <w:szCs w:val="22"/>
        </w:rPr>
      </w:pPr>
    </w:p>
    <w:p w14:paraId="0A271B39" w14:textId="77777777" w:rsidR="00C616C2" w:rsidRDefault="00C616C2">
      <w:pPr>
        <w:rPr>
          <w:rFonts w:ascii="Calibri" w:hAnsi="Calibri" w:cs="Calibri"/>
          <w:b/>
          <w:sz w:val="22"/>
          <w:szCs w:val="22"/>
        </w:rPr>
      </w:pPr>
    </w:p>
    <w:p w14:paraId="194C1BA6" w14:textId="77777777" w:rsidR="00C616C2" w:rsidRDefault="00C616C2">
      <w:pPr>
        <w:pStyle w:val="Zkladntext"/>
        <w:numPr>
          <w:ilvl w:val="0"/>
          <w:numId w:val="6"/>
        </w:numPr>
        <w:tabs>
          <w:tab w:val="left" w:pos="360"/>
        </w:tabs>
        <w:ind w:hanging="720"/>
      </w:pPr>
      <w:r>
        <w:rPr>
          <w:rFonts w:ascii="Calibri" w:hAnsi="Calibri" w:cs="Calibri"/>
          <w:sz w:val="22"/>
          <w:szCs w:val="22"/>
        </w:rPr>
        <w:t>ZÁKLADNÉ ÚDAJE A PREDMET ČINNOSTI</w:t>
      </w:r>
    </w:p>
    <w:p w14:paraId="17CD5CCA" w14:textId="77777777" w:rsidR="00C616C2" w:rsidRDefault="00C616C2">
      <w:pPr>
        <w:pStyle w:val="Zkladntext"/>
        <w:ind w:left="720"/>
        <w:rPr>
          <w:rFonts w:ascii="Calibri" w:hAnsi="Calibri" w:cs="Calibri"/>
          <w:sz w:val="22"/>
          <w:szCs w:val="22"/>
        </w:rPr>
      </w:pPr>
    </w:p>
    <w:p w14:paraId="3C6D6EAD" w14:textId="77777777" w:rsidR="00C616C2" w:rsidRDefault="00C616C2">
      <w:pPr>
        <w:pStyle w:val="Zkladntext"/>
      </w:pPr>
      <w:r>
        <w:rPr>
          <w:rFonts w:ascii="Calibri" w:hAnsi="Calibri" w:cs="Calibri"/>
          <w:sz w:val="22"/>
          <w:szCs w:val="22"/>
        </w:rPr>
        <w:t xml:space="preserve">Účtovná </w:t>
      </w:r>
      <w:r>
        <w:rPr>
          <w:rFonts w:ascii="Calibri" w:hAnsi="Calibri" w:cs="Calibri"/>
          <w:color w:val="000000"/>
          <w:sz w:val="22"/>
          <w:szCs w:val="22"/>
        </w:rPr>
        <w:t xml:space="preserve">jednotka </w:t>
      </w:r>
      <w:r>
        <w:rPr>
          <w:rFonts w:ascii="Calibri" w:hAnsi="Calibri" w:cs="Calibri"/>
          <w:b/>
          <w:color w:val="000000"/>
          <w:sz w:val="22"/>
          <w:szCs w:val="22"/>
        </w:rPr>
        <w:t>Starý otec, a. s.</w:t>
      </w:r>
      <w:r>
        <w:rPr>
          <w:rFonts w:ascii="Calibri" w:hAnsi="Calibri" w:cs="Calibri"/>
          <w:color w:val="000000"/>
          <w:sz w:val="22"/>
          <w:szCs w:val="22"/>
        </w:rPr>
        <w:t xml:space="preserve">  (ďalej len „spoločnosť“) je akciová spoločnosť so sídlom Závodná 78C, 821 06  Bratislava.  Založená bola dňa 19. 3. 2007 zakladateľskou zmluvou spísanou vo forme notárskej zápisnice. Deň vzniku je 26. 4. 2007. IČO 36769371. Spoločnosť je zapísaná v Obchodnom registri </w:t>
      </w:r>
      <w:r w:rsidR="002F267C">
        <w:rPr>
          <w:rFonts w:ascii="Calibri" w:hAnsi="Calibri" w:cs="Calibri"/>
          <w:color w:val="000000"/>
          <w:sz w:val="22"/>
          <w:szCs w:val="22"/>
        </w:rPr>
        <w:t>Mestského</w:t>
      </w:r>
      <w:r>
        <w:rPr>
          <w:rFonts w:ascii="Calibri" w:hAnsi="Calibri" w:cs="Calibri"/>
          <w:color w:val="000000"/>
          <w:sz w:val="22"/>
          <w:szCs w:val="22"/>
        </w:rPr>
        <w:t xml:space="preserve"> súdu Bratislava </w:t>
      </w:r>
      <w:r w:rsidR="002F267C">
        <w:rPr>
          <w:rFonts w:ascii="Calibri" w:hAnsi="Calibri" w:cs="Calibri"/>
          <w:color w:val="000000"/>
          <w:sz w:val="22"/>
          <w:szCs w:val="22"/>
        </w:rPr>
        <w:t>II</w:t>
      </w:r>
      <w:r>
        <w:rPr>
          <w:rFonts w:ascii="Calibri" w:hAnsi="Calibri" w:cs="Calibri"/>
          <w:color w:val="000000"/>
          <w:sz w:val="22"/>
          <w:szCs w:val="22"/>
        </w:rPr>
        <w:t>I. oddiel Sa, vložka č.: 4120/B.</w:t>
      </w:r>
    </w:p>
    <w:p w14:paraId="4D3BACA7" w14:textId="77777777" w:rsidR="00C616C2" w:rsidRDefault="00C616C2">
      <w:pPr>
        <w:pStyle w:val="Zkladntext"/>
        <w:rPr>
          <w:rFonts w:ascii="Calibri" w:hAnsi="Calibri" w:cs="Calibri"/>
          <w:color w:val="000000"/>
          <w:sz w:val="22"/>
          <w:szCs w:val="22"/>
          <w:u w:val="single"/>
        </w:rPr>
      </w:pPr>
    </w:p>
    <w:p w14:paraId="055B594A" w14:textId="77777777" w:rsidR="00C616C2" w:rsidRDefault="00C616C2">
      <w:pPr>
        <w:pStyle w:val="Zkladntext"/>
      </w:pPr>
      <w:r>
        <w:rPr>
          <w:rFonts w:ascii="Calibri" w:hAnsi="Calibri" w:cs="Calibri"/>
          <w:sz w:val="22"/>
          <w:szCs w:val="22"/>
          <w:u w:val="single"/>
        </w:rPr>
        <w:t>Predmet činnosti spoločnosti zapísaný v ORSR:</w:t>
      </w:r>
    </w:p>
    <w:p w14:paraId="1C7D1E76" w14:textId="77777777" w:rsidR="00C616C2" w:rsidRDefault="00C616C2">
      <w:pPr>
        <w:numPr>
          <w:ilvl w:val="0"/>
          <w:numId w:val="14"/>
        </w:numPr>
      </w:pPr>
      <w:r>
        <w:rPr>
          <w:rFonts w:ascii="Calibri" w:hAnsi="Calibri" w:cs="Calibri"/>
          <w:color w:val="000000"/>
          <w:sz w:val="22"/>
          <w:szCs w:val="22"/>
        </w:rPr>
        <w:t>kúpa tovaru na účely jeho predaja konečnému spotrebiteľovi (maloobchod),</w:t>
      </w:r>
    </w:p>
    <w:p w14:paraId="07065FA6" w14:textId="77777777" w:rsidR="00C616C2" w:rsidRDefault="00C616C2">
      <w:pPr>
        <w:numPr>
          <w:ilvl w:val="0"/>
          <w:numId w:val="14"/>
        </w:numPr>
      </w:pPr>
      <w:r>
        <w:rPr>
          <w:rFonts w:ascii="Calibri" w:hAnsi="Calibri" w:cs="Calibri"/>
          <w:color w:val="000000"/>
          <w:sz w:val="22"/>
          <w:szCs w:val="22"/>
        </w:rPr>
        <w:t>kúpa tovaru na jeho účely jeho predaja iným prevádzkovateľom živnosti (veľkoobchod),</w:t>
      </w:r>
    </w:p>
    <w:p w14:paraId="1A90216C" w14:textId="77777777" w:rsidR="00C616C2" w:rsidRDefault="00C616C2">
      <w:pPr>
        <w:numPr>
          <w:ilvl w:val="0"/>
          <w:numId w:val="14"/>
        </w:numPr>
      </w:pPr>
      <w:r>
        <w:rPr>
          <w:rFonts w:ascii="Calibri" w:hAnsi="Calibri" w:cs="Calibri"/>
          <w:color w:val="000000"/>
          <w:sz w:val="22"/>
          <w:szCs w:val="22"/>
        </w:rPr>
        <w:t>reklamná, propagačná činnosť a výstavníctvo v rozsahu voľnej živnosti,</w:t>
      </w:r>
    </w:p>
    <w:p w14:paraId="265EF5F7" w14:textId="77777777" w:rsidR="00C616C2" w:rsidRDefault="00C616C2">
      <w:pPr>
        <w:numPr>
          <w:ilvl w:val="0"/>
          <w:numId w:val="14"/>
        </w:numPr>
      </w:pPr>
      <w:r>
        <w:rPr>
          <w:rFonts w:ascii="Calibri" w:hAnsi="Calibri" w:cs="Calibri"/>
          <w:color w:val="000000"/>
          <w:sz w:val="22"/>
          <w:szCs w:val="22"/>
        </w:rPr>
        <w:t>sprostredkovateľská činnosť v rozsahu voľnej živnosti,</w:t>
      </w:r>
    </w:p>
    <w:p w14:paraId="240ED462" w14:textId="77777777" w:rsidR="00C616C2" w:rsidRDefault="00C616C2">
      <w:pPr>
        <w:numPr>
          <w:ilvl w:val="0"/>
          <w:numId w:val="14"/>
        </w:numPr>
      </w:pPr>
      <w:r>
        <w:rPr>
          <w:rFonts w:ascii="Calibri" w:hAnsi="Calibri" w:cs="Calibri"/>
          <w:color w:val="000000"/>
          <w:sz w:val="22"/>
          <w:szCs w:val="22"/>
        </w:rPr>
        <w:t>činnosť organizačných, ekonomických a účtovných poradcov,</w:t>
      </w:r>
    </w:p>
    <w:p w14:paraId="67F66A4C" w14:textId="77777777" w:rsidR="00C616C2" w:rsidRDefault="00C616C2">
      <w:pPr>
        <w:numPr>
          <w:ilvl w:val="0"/>
          <w:numId w:val="14"/>
        </w:numPr>
      </w:pPr>
      <w:r>
        <w:rPr>
          <w:rFonts w:ascii="Calibri" w:hAnsi="Calibri" w:cs="Calibri"/>
          <w:color w:val="000000"/>
          <w:sz w:val="22"/>
          <w:szCs w:val="22"/>
        </w:rPr>
        <w:t>vedenie účtovníctva,</w:t>
      </w:r>
    </w:p>
    <w:p w14:paraId="7358D660" w14:textId="77777777" w:rsidR="00C616C2" w:rsidRDefault="00C616C2">
      <w:pPr>
        <w:numPr>
          <w:ilvl w:val="0"/>
          <w:numId w:val="14"/>
        </w:numPr>
      </w:pPr>
      <w:r>
        <w:rPr>
          <w:rFonts w:ascii="Calibri" w:hAnsi="Calibri" w:cs="Calibri"/>
          <w:color w:val="000000"/>
          <w:sz w:val="22"/>
          <w:szCs w:val="22"/>
        </w:rPr>
        <w:t>prieskum trhu,</w:t>
      </w:r>
    </w:p>
    <w:p w14:paraId="322508E0" w14:textId="77777777" w:rsidR="00C616C2" w:rsidRDefault="00C616C2">
      <w:pPr>
        <w:numPr>
          <w:ilvl w:val="0"/>
          <w:numId w:val="14"/>
        </w:numPr>
      </w:pPr>
      <w:r>
        <w:rPr>
          <w:rFonts w:ascii="Calibri" w:hAnsi="Calibri" w:cs="Calibri"/>
          <w:color w:val="000000"/>
          <w:sz w:val="22"/>
          <w:szCs w:val="22"/>
        </w:rPr>
        <w:t>personálne poradenstvo okrem personálneho leasingu v rozsahu voľnej živnosti,</w:t>
      </w:r>
    </w:p>
    <w:p w14:paraId="51D257B5" w14:textId="77777777" w:rsidR="00C616C2" w:rsidRDefault="00C616C2">
      <w:pPr>
        <w:numPr>
          <w:ilvl w:val="0"/>
          <w:numId w:val="14"/>
        </w:numPr>
      </w:pPr>
      <w:r>
        <w:rPr>
          <w:rFonts w:ascii="Calibri" w:hAnsi="Calibri" w:cs="Calibri"/>
          <w:color w:val="000000"/>
          <w:sz w:val="22"/>
          <w:szCs w:val="22"/>
        </w:rPr>
        <w:t>poradenská činnosť v oblasti obchodu a služieb v rozsahu voľnej živnosti,</w:t>
      </w:r>
    </w:p>
    <w:p w14:paraId="0D7BAEE5" w14:textId="77777777" w:rsidR="00C616C2" w:rsidRDefault="00C616C2">
      <w:pPr>
        <w:numPr>
          <w:ilvl w:val="0"/>
          <w:numId w:val="14"/>
        </w:numPr>
      </w:pPr>
      <w:proofErr w:type="spellStart"/>
      <w:r>
        <w:rPr>
          <w:rFonts w:ascii="Calibri" w:hAnsi="Calibri" w:cs="Calibri"/>
          <w:color w:val="000000"/>
          <w:sz w:val="22"/>
          <w:szCs w:val="22"/>
        </w:rPr>
        <w:t>faktoring</w:t>
      </w:r>
      <w:proofErr w:type="spellEnd"/>
      <w:r>
        <w:rPr>
          <w:rFonts w:ascii="Calibri" w:hAnsi="Calibri" w:cs="Calibri"/>
          <w:color w:val="000000"/>
          <w:sz w:val="22"/>
          <w:szCs w:val="22"/>
        </w:rPr>
        <w:t xml:space="preserve"> a forfaiting v rozsahu voľnej živnosti,</w:t>
      </w:r>
    </w:p>
    <w:p w14:paraId="5CF14F7F" w14:textId="77777777" w:rsidR="00C616C2" w:rsidRDefault="00C616C2">
      <w:pPr>
        <w:numPr>
          <w:ilvl w:val="0"/>
          <w:numId w:val="14"/>
        </w:numPr>
      </w:pPr>
      <w:r>
        <w:rPr>
          <w:rFonts w:ascii="Calibri" w:hAnsi="Calibri" w:cs="Calibri"/>
          <w:color w:val="000000"/>
          <w:sz w:val="22"/>
          <w:szCs w:val="22"/>
        </w:rPr>
        <w:t>organizovanie školení a seminárov v rozsahu voľnej živnosti,</w:t>
      </w:r>
    </w:p>
    <w:p w14:paraId="30839FD7" w14:textId="77777777" w:rsidR="00C616C2" w:rsidRDefault="00C616C2">
      <w:pPr>
        <w:numPr>
          <w:ilvl w:val="0"/>
          <w:numId w:val="14"/>
        </w:numPr>
      </w:pPr>
      <w:r>
        <w:rPr>
          <w:rFonts w:ascii="Calibri" w:hAnsi="Calibri" w:cs="Calibri"/>
          <w:color w:val="000000"/>
          <w:sz w:val="22"/>
          <w:szCs w:val="22"/>
        </w:rPr>
        <w:t>organizačné zabezpečenie veľtrhov, konferencií, výstav,</w:t>
      </w:r>
    </w:p>
    <w:p w14:paraId="4497D9BD" w14:textId="77777777" w:rsidR="00C616C2" w:rsidRDefault="00C616C2">
      <w:pPr>
        <w:numPr>
          <w:ilvl w:val="0"/>
          <w:numId w:val="14"/>
        </w:numPr>
      </w:pPr>
      <w:r>
        <w:rPr>
          <w:rFonts w:ascii="Calibri" w:hAnsi="Calibri" w:cs="Calibri"/>
          <w:color w:val="000000"/>
          <w:sz w:val="22"/>
          <w:szCs w:val="22"/>
        </w:rPr>
        <w:t>vydavateľská činnosť v rozsahu voľnej živnosti,</w:t>
      </w:r>
    </w:p>
    <w:p w14:paraId="10891150" w14:textId="77777777" w:rsidR="00C616C2" w:rsidRDefault="00C616C2">
      <w:pPr>
        <w:numPr>
          <w:ilvl w:val="0"/>
          <w:numId w:val="14"/>
        </w:numPr>
      </w:pPr>
      <w:r>
        <w:rPr>
          <w:rFonts w:ascii="Calibri" w:hAnsi="Calibri" w:cs="Calibri"/>
          <w:color w:val="000000"/>
          <w:sz w:val="22"/>
          <w:szCs w:val="22"/>
        </w:rPr>
        <w:t>obstarávanie služieb spojených so správou nehnuteľností,</w:t>
      </w:r>
    </w:p>
    <w:p w14:paraId="7569E1E2" w14:textId="77777777" w:rsidR="00C616C2" w:rsidRDefault="00C616C2">
      <w:pPr>
        <w:numPr>
          <w:ilvl w:val="0"/>
          <w:numId w:val="14"/>
        </w:numPr>
      </w:pPr>
      <w:r>
        <w:rPr>
          <w:rFonts w:ascii="Calibri" w:hAnsi="Calibri" w:cs="Calibri"/>
          <w:color w:val="000000"/>
          <w:sz w:val="22"/>
          <w:szCs w:val="22"/>
        </w:rPr>
        <w:t>organizovanie kultúrnych, spoločenských a športových podujatí v rozsahu voľnej živnosti,</w:t>
      </w:r>
    </w:p>
    <w:p w14:paraId="7A0B814D" w14:textId="77777777" w:rsidR="00C616C2" w:rsidRDefault="00C616C2">
      <w:pPr>
        <w:numPr>
          <w:ilvl w:val="0"/>
          <w:numId w:val="14"/>
        </w:numPr>
      </w:pPr>
      <w:r>
        <w:rPr>
          <w:rFonts w:ascii="Calibri" w:hAnsi="Calibri" w:cs="Calibri"/>
          <w:color w:val="000000"/>
          <w:sz w:val="22"/>
          <w:szCs w:val="22"/>
        </w:rPr>
        <w:t>poskytovanie služieb v poľnohospodárstve a záhradníctve,</w:t>
      </w:r>
    </w:p>
    <w:p w14:paraId="266C5DE3" w14:textId="77777777" w:rsidR="00C616C2" w:rsidRDefault="00C616C2">
      <w:pPr>
        <w:numPr>
          <w:ilvl w:val="0"/>
          <w:numId w:val="14"/>
        </w:numPr>
      </w:pPr>
      <w:r>
        <w:rPr>
          <w:rFonts w:ascii="Calibri" w:hAnsi="Calibri" w:cs="Calibri"/>
          <w:color w:val="000000"/>
          <w:sz w:val="22"/>
          <w:szCs w:val="22"/>
        </w:rPr>
        <w:t>poľnohospodárstvo vrátane predaja nespracovaných poľnohospodárskych výrobkov na účel spracovania a ďalšieho predaja</w:t>
      </w:r>
    </w:p>
    <w:p w14:paraId="265A8B22" w14:textId="77777777" w:rsidR="00C616C2" w:rsidRDefault="00C616C2">
      <w:pPr>
        <w:numPr>
          <w:ilvl w:val="0"/>
          <w:numId w:val="14"/>
        </w:numPr>
      </w:pPr>
      <w:r>
        <w:rPr>
          <w:rFonts w:ascii="Calibri" w:hAnsi="Calibri" w:cs="Calibri"/>
          <w:color w:val="000000"/>
          <w:sz w:val="22"/>
          <w:szCs w:val="22"/>
        </w:rPr>
        <w:t>výroba potravinárskych výrobkov,</w:t>
      </w:r>
    </w:p>
    <w:p w14:paraId="7A985DA2" w14:textId="77777777" w:rsidR="00C616C2" w:rsidRDefault="00C616C2">
      <w:pPr>
        <w:numPr>
          <w:ilvl w:val="0"/>
          <w:numId w:val="14"/>
        </w:numPr>
      </w:pPr>
      <w:r>
        <w:rPr>
          <w:rFonts w:ascii="Calibri" w:hAnsi="Calibri" w:cs="Calibri"/>
          <w:color w:val="000000"/>
          <w:sz w:val="22"/>
          <w:szCs w:val="22"/>
        </w:rPr>
        <w:t>mäsiarstvo,</w:t>
      </w:r>
    </w:p>
    <w:p w14:paraId="424CF83A" w14:textId="77777777" w:rsidR="00C616C2" w:rsidRDefault="00C616C2">
      <w:pPr>
        <w:numPr>
          <w:ilvl w:val="0"/>
          <w:numId w:val="14"/>
        </w:numPr>
      </w:pPr>
      <w:r>
        <w:rPr>
          <w:rFonts w:ascii="Calibri" w:hAnsi="Calibri" w:cs="Calibri"/>
          <w:color w:val="000000"/>
          <w:sz w:val="22"/>
          <w:szCs w:val="22"/>
        </w:rPr>
        <w:t>výroba mliečnych výrobkov.</w:t>
      </w:r>
    </w:p>
    <w:p w14:paraId="1DDBA3F6" w14:textId="77777777" w:rsidR="00C616C2" w:rsidRDefault="00C616C2">
      <w:pPr>
        <w:pStyle w:val="Zkladntext"/>
        <w:rPr>
          <w:rFonts w:ascii="Calibri" w:hAnsi="Calibri" w:cs="Calibri"/>
          <w:color w:val="000000"/>
          <w:sz w:val="22"/>
          <w:szCs w:val="22"/>
        </w:rPr>
      </w:pPr>
    </w:p>
    <w:p w14:paraId="0E2DD482" w14:textId="77777777" w:rsidR="00C616C2" w:rsidRDefault="00C616C2">
      <w:pPr>
        <w:pStyle w:val="Zkladntext"/>
        <w:numPr>
          <w:ilvl w:val="0"/>
          <w:numId w:val="6"/>
        </w:numPr>
        <w:tabs>
          <w:tab w:val="left" w:pos="360"/>
        </w:tabs>
        <w:ind w:hanging="720"/>
      </w:pPr>
      <w:r>
        <w:rPr>
          <w:rFonts w:ascii="Calibri" w:hAnsi="Calibri" w:cs="Calibri"/>
          <w:sz w:val="22"/>
          <w:szCs w:val="22"/>
        </w:rPr>
        <w:t xml:space="preserve">DÁTUM SCHVÁLENIA ÚČTOVNEJ ZÁVIERKY ZA PREDCHÁDZAJÚCE OBDOBIE </w:t>
      </w:r>
    </w:p>
    <w:p w14:paraId="0F3E454A" w14:textId="77777777" w:rsidR="00C616C2" w:rsidRDefault="00C616C2">
      <w:pPr>
        <w:pStyle w:val="Zkladntext"/>
        <w:rPr>
          <w:rFonts w:ascii="Calibri" w:hAnsi="Calibri" w:cs="Calibri"/>
          <w:sz w:val="22"/>
          <w:szCs w:val="22"/>
        </w:rPr>
      </w:pPr>
    </w:p>
    <w:p w14:paraId="62F4D4FD" w14:textId="77777777" w:rsidR="00C616C2" w:rsidRDefault="00C616C2">
      <w:pPr>
        <w:pStyle w:val="Zkladntext"/>
      </w:pPr>
      <w:r>
        <w:rPr>
          <w:rFonts w:ascii="Calibri" w:hAnsi="Calibri" w:cs="Calibri"/>
          <w:sz w:val="22"/>
          <w:szCs w:val="22"/>
        </w:rPr>
        <w:t xml:space="preserve">Účtovná závierka zostavená za predchádzajúce účtovné obdobie bola schválená Valným zhromaždením v súlade s Obchodným zákonníkom </w:t>
      </w:r>
      <w:r>
        <w:rPr>
          <w:rFonts w:ascii="Calibri" w:hAnsi="Calibri" w:cs="Calibri"/>
          <w:color w:val="000000"/>
          <w:sz w:val="22"/>
          <w:szCs w:val="22"/>
        </w:rPr>
        <w:t xml:space="preserve">dňa </w:t>
      </w:r>
      <w:r w:rsidR="00742676">
        <w:rPr>
          <w:rFonts w:ascii="Calibri" w:hAnsi="Calibri" w:cs="Calibri"/>
          <w:color w:val="000000"/>
          <w:sz w:val="22"/>
          <w:szCs w:val="22"/>
        </w:rPr>
        <w:t>26.11.2025</w:t>
      </w:r>
      <w:r>
        <w:rPr>
          <w:rFonts w:ascii="Calibri" w:hAnsi="Calibri" w:cs="Calibri"/>
          <w:color w:val="000000"/>
          <w:sz w:val="22"/>
          <w:szCs w:val="22"/>
        </w:rPr>
        <w:t>.</w:t>
      </w:r>
    </w:p>
    <w:p w14:paraId="659BD516" w14:textId="77777777" w:rsidR="00C616C2" w:rsidRDefault="00C616C2">
      <w:pPr>
        <w:pStyle w:val="Zkladntext"/>
        <w:rPr>
          <w:rFonts w:ascii="Calibri" w:hAnsi="Calibri" w:cs="Calibri"/>
          <w:color w:val="0000FF"/>
          <w:sz w:val="22"/>
          <w:szCs w:val="22"/>
        </w:rPr>
      </w:pPr>
    </w:p>
    <w:p w14:paraId="264A8B67" w14:textId="77777777" w:rsidR="00C616C2" w:rsidRDefault="00C616C2">
      <w:pPr>
        <w:pStyle w:val="Zkladntext"/>
        <w:numPr>
          <w:ilvl w:val="0"/>
          <w:numId w:val="6"/>
        </w:numPr>
        <w:tabs>
          <w:tab w:val="left" w:pos="360"/>
        </w:tabs>
        <w:ind w:hanging="720"/>
      </w:pPr>
      <w:r>
        <w:rPr>
          <w:rFonts w:ascii="Calibri" w:hAnsi="Calibri" w:cs="Calibri"/>
          <w:sz w:val="22"/>
          <w:szCs w:val="22"/>
        </w:rPr>
        <w:t xml:space="preserve">PRÁVNY DÔVOD NA ZOSTAVENIE ZÁVIERKY </w:t>
      </w:r>
    </w:p>
    <w:p w14:paraId="14D2C32A" w14:textId="77777777" w:rsidR="00C616C2" w:rsidRDefault="00C616C2">
      <w:pPr>
        <w:pStyle w:val="Zkladntext"/>
        <w:rPr>
          <w:rFonts w:ascii="Calibri" w:hAnsi="Calibri" w:cs="Calibri"/>
          <w:sz w:val="22"/>
          <w:szCs w:val="22"/>
        </w:rPr>
      </w:pPr>
    </w:p>
    <w:p w14:paraId="7495E671" w14:textId="77777777" w:rsidR="00C616C2" w:rsidRDefault="00C616C2">
      <w:pPr>
        <w:pStyle w:val="Zkladntext"/>
      </w:pPr>
      <w:r>
        <w:rPr>
          <w:rFonts w:ascii="Calibri" w:hAnsi="Calibri" w:cs="Calibri"/>
          <w:sz w:val="22"/>
          <w:szCs w:val="22"/>
        </w:rPr>
        <w:t xml:space="preserve">Spoločnosť zostavuje túto účtovnú závierku podľa §17 Zákona 431/2002 </w:t>
      </w:r>
      <w:proofErr w:type="spellStart"/>
      <w:r>
        <w:rPr>
          <w:rFonts w:ascii="Calibri" w:hAnsi="Calibri" w:cs="Calibri"/>
          <w:sz w:val="22"/>
          <w:szCs w:val="22"/>
        </w:rPr>
        <w:t>Z.z</w:t>
      </w:r>
      <w:proofErr w:type="spellEnd"/>
      <w:r>
        <w:rPr>
          <w:rFonts w:ascii="Calibri" w:hAnsi="Calibri" w:cs="Calibri"/>
          <w:sz w:val="22"/>
          <w:szCs w:val="22"/>
        </w:rPr>
        <w:t>. o účtovníctve v znení neskorších predpisov ako riadnu účtovnú závierku k poslednému dňu účtovného obdobia. Účtovná závierka spoločnosti bola zostavená za predpokladu nepretržitého trvania účtovnej jednotky.</w:t>
      </w:r>
    </w:p>
    <w:p w14:paraId="35B66221" w14:textId="77777777" w:rsidR="00C616C2" w:rsidRDefault="00C616C2">
      <w:pPr>
        <w:rPr>
          <w:rFonts w:ascii="Calibri" w:hAnsi="Calibri" w:cs="Calibri"/>
          <w:sz w:val="22"/>
          <w:szCs w:val="22"/>
        </w:rPr>
      </w:pPr>
    </w:p>
    <w:p w14:paraId="30DF672D" w14:textId="77777777" w:rsidR="00C616C2" w:rsidRDefault="00C616C2">
      <w:pPr>
        <w:pStyle w:val="Zkladntext"/>
        <w:pageBreakBefore/>
        <w:numPr>
          <w:ilvl w:val="0"/>
          <w:numId w:val="6"/>
        </w:numPr>
        <w:tabs>
          <w:tab w:val="left" w:pos="360"/>
        </w:tabs>
        <w:ind w:hanging="720"/>
      </w:pPr>
      <w:r>
        <w:rPr>
          <w:rFonts w:ascii="Calibri" w:hAnsi="Calibri" w:cs="Calibri"/>
          <w:sz w:val="22"/>
          <w:szCs w:val="22"/>
        </w:rPr>
        <w:lastRenderedPageBreak/>
        <w:t>ÚDAJE O SKUPINE</w:t>
      </w:r>
    </w:p>
    <w:p w14:paraId="0586055D" w14:textId="77777777" w:rsidR="00C616C2" w:rsidRDefault="00C616C2">
      <w:pPr>
        <w:pStyle w:val="Zkladntext"/>
        <w:rPr>
          <w:rFonts w:ascii="Calibri" w:hAnsi="Calibri" w:cs="Calibri"/>
          <w:sz w:val="22"/>
          <w:szCs w:val="22"/>
        </w:rPr>
      </w:pPr>
    </w:p>
    <w:p w14:paraId="0188765D" w14:textId="77777777" w:rsidR="00C616C2" w:rsidRDefault="00C616C2">
      <w:pPr>
        <w:numPr>
          <w:ilvl w:val="0"/>
          <w:numId w:val="5"/>
        </w:numPr>
        <w:ind w:left="709" w:hanging="426"/>
      </w:pPr>
      <w:r>
        <w:rPr>
          <w:rFonts w:ascii="Calibri" w:hAnsi="Calibri" w:cs="Calibri"/>
          <w:sz w:val="22"/>
          <w:szCs w:val="22"/>
        </w:rPr>
        <w:t>NAJVYŠŠÍ PODNIK V KONSOLIDÁCII</w:t>
      </w:r>
    </w:p>
    <w:p w14:paraId="6B317C63" w14:textId="77777777" w:rsidR="00C616C2" w:rsidRDefault="00C616C2">
      <w:pPr>
        <w:rPr>
          <w:rFonts w:ascii="Calibri" w:hAnsi="Calibri" w:cs="Calibri"/>
          <w:i/>
          <w:sz w:val="22"/>
          <w:szCs w:val="22"/>
        </w:rPr>
      </w:pPr>
    </w:p>
    <w:p w14:paraId="647DE16B" w14:textId="77777777" w:rsidR="00C616C2" w:rsidRDefault="00C616C2">
      <w:pPr>
        <w:pStyle w:val="Default"/>
      </w:pPr>
      <w:r>
        <w:rPr>
          <w:rFonts w:ascii="Calibri" w:hAnsi="Calibri" w:cs="Calibri"/>
          <w:sz w:val="22"/>
          <w:szCs w:val="22"/>
        </w:rPr>
        <w:t>Účtovná jednotka nie je súčasťou konsolidovaného celku.</w:t>
      </w:r>
    </w:p>
    <w:p w14:paraId="4C3DAA33" w14:textId="77777777" w:rsidR="00C616C2" w:rsidRDefault="00C616C2">
      <w:pPr>
        <w:pStyle w:val="Default"/>
        <w:rPr>
          <w:rFonts w:ascii="Calibri" w:hAnsi="Calibri" w:cs="Calibri"/>
          <w:sz w:val="22"/>
          <w:szCs w:val="22"/>
        </w:rPr>
      </w:pPr>
    </w:p>
    <w:p w14:paraId="74B748AE" w14:textId="77777777" w:rsidR="00C616C2" w:rsidRDefault="00C616C2">
      <w:pPr>
        <w:numPr>
          <w:ilvl w:val="0"/>
          <w:numId w:val="5"/>
        </w:numPr>
        <w:ind w:left="709" w:hanging="426"/>
      </w:pPr>
      <w:r>
        <w:rPr>
          <w:rFonts w:ascii="Calibri" w:hAnsi="Calibri" w:cs="Calibri"/>
          <w:sz w:val="22"/>
          <w:szCs w:val="22"/>
        </w:rPr>
        <w:t>MATERSKÝ PODNIK V KONSOLIDÁCII</w:t>
      </w:r>
    </w:p>
    <w:p w14:paraId="366C3977" w14:textId="77777777" w:rsidR="00C616C2" w:rsidRDefault="00C616C2">
      <w:pPr>
        <w:ind w:left="709"/>
        <w:rPr>
          <w:rFonts w:ascii="Calibri" w:hAnsi="Calibri" w:cs="Calibri"/>
          <w:i/>
          <w:sz w:val="22"/>
          <w:szCs w:val="22"/>
        </w:rPr>
      </w:pPr>
    </w:p>
    <w:p w14:paraId="70E5669D" w14:textId="77777777" w:rsidR="00C616C2" w:rsidRDefault="00C616C2">
      <w:pPr>
        <w:pStyle w:val="Default"/>
      </w:pPr>
      <w:r>
        <w:rPr>
          <w:rFonts w:ascii="Calibri" w:hAnsi="Calibri" w:cs="Calibri"/>
          <w:sz w:val="22"/>
          <w:szCs w:val="22"/>
        </w:rPr>
        <w:t>Účtovná jednotka nie je súčasťou konsolidovaného celku.</w:t>
      </w:r>
    </w:p>
    <w:p w14:paraId="2B9E93D1" w14:textId="77777777" w:rsidR="00C616C2" w:rsidRDefault="00C616C2">
      <w:pPr>
        <w:pStyle w:val="Zkladntext"/>
        <w:ind w:left="720"/>
        <w:rPr>
          <w:rFonts w:ascii="Calibri" w:hAnsi="Calibri" w:cs="Calibri"/>
          <w:sz w:val="22"/>
          <w:szCs w:val="22"/>
        </w:rPr>
      </w:pPr>
    </w:p>
    <w:p w14:paraId="7D997949" w14:textId="77777777" w:rsidR="00C616C2" w:rsidRDefault="00C616C2">
      <w:pPr>
        <w:rPr>
          <w:rFonts w:ascii="Calibri" w:hAnsi="Calibri" w:cs="Calibri"/>
          <w:sz w:val="22"/>
          <w:szCs w:val="22"/>
        </w:rPr>
      </w:pPr>
    </w:p>
    <w:p w14:paraId="03CEE6DA" w14:textId="77777777" w:rsidR="00C616C2" w:rsidRDefault="00C616C2">
      <w:pPr>
        <w:numPr>
          <w:ilvl w:val="0"/>
          <w:numId w:val="5"/>
        </w:numPr>
        <w:ind w:left="709" w:hanging="426"/>
      </w:pPr>
      <w:r>
        <w:rPr>
          <w:rFonts w:ascii="Calibri" w:hAnsi="Calibri" w:cs="Calibri"/>
          <w:sz w:val="22"/>
          <w:szCs w:val="22"/>
        </w:rPr>
        <w:t>MIESTO ULOŽENIA KONSOLIDOVANÝCH ÚČTOVNÝCH ZÁVIEROK</w:t>
      </w:r>
    </w:p>
    <w:p w14:paraId="337ADA17" w14:textId="77777777" w:rsidR="00C616C2" w:rsidRDefault="00C616C2">
      <w:pPr>
        <w:rPr>
          <w:rFonts w:ascii="Calibri" w:hAnsi="Calibri" w:cs="Calibri"/>
          <w:sz w:val="22"/>
          <w:szCs w:val="22"/>
        </w:rPr>
      </w:pPr>
    </w:p>
    <w:p w14:paraId="0B0D743C" w14:textId="77777777" w:rsidR="00C616C2" w:rsidRDefault="00C616C2">
      <w:pPr>
        <w:pStyle w:val="Default"/>
      </w:pPr>
      <w:r>
        <w:rPr>
          <w:rFonts w:ascii="Calibri" w:hAnsi="Calibri" w:cs="Calibri"/>
          <w:sz w:val="22"/>
          <w:szCs w:val="22"/>
        </w:rPr>
        <w:t>Účtovná jednotka nie je súčasťou konsolidovaného celku.</w:t>
      </w:r>
    </w:p>
    <w:p w14:paraId="1E30C70A" w14:textId="77777777" w:rsidR="00C616C2" w:rsidRDefault="00C616C2">
      <w:pPr>
        <w:pStyle w:val="Zkladntext"/>
        <w:rPr>
          <w:rFonts w:ascii="Calibri" w:hAnsi="Calibri" w:cs="Calibri"/>
          <w:sz w:val="22"/>
          <w:szCs w:val="22"/>
        </w:rPr>
      </w:pPr>
    </w:p>
    <w:p w14:paraId="505088AC" w14:textId="77777777" w:rsidR="00C616C2" w:rsidRDefault="00C616C2">
      <w:pPr>
        <w:pStyle w:val="Zkladntext"/>
        <w:rPr>
          <w:rFonts w:ascii="Calibri" w:hAnsi="Calibri" w:cs="Calibri"/>
          <w:sz w:val="22"/>
          <w:szCs w:val="22"/>
        </w:rPr>
      </w:pPr>
    </w:p>
    <w:p w14:paraId="3C98179C" w14:textId="77777777" w:rsidR="00C616C2" w:rsidRDefault="00C616C2">
      <w:pPr>
        <w:numPr>
          <w:ilvl w:val="0"/>
          <w:numId w:val="5"/>
        </w:numPr>
        <w:ind w:hanging="436"/>
      </w:pPr>
      <w:r>
        <w:rPr>
          <w:rFonts w:ascii="Calibri" w:hAnsi="Calibri" w:cs="Calibri"/>
          <w:sz w:val="22"/>
          <w:szCs w:val="22"/>
        </w:rPr>
        <w:t>OSLOBODENIE OD POVINNOSTI ZOSTAVIŤ KONSOLIDOVANÚ ÚČTOVNÚ ZÁVIERKU A KONOSLIDOVANÚ VÝROČNÚ SPRÁVU</w:t>
      </w:r>
    </w:p>
    <w:p w14:paraId="31CE8F71" w14:textId="77777777" w:rsidR="00C616C2" w:rsidRDefault="00C616C2">
      <w:pPr>
        <w:rPr>
          <w:rFonts w:ascii="Calibri" w:hAnsi="Calibri" w:cs="Calibri"/>
          <w:sz w:val="22"/>
          <w:szCs w:val="22"/>
        </w:rPr>
      </w:pPr>
    </w:p>
    <w:p w14:paraId="5C61BEBC" w14:textId="77777777" w:rsidR="00C616C2" w:rsidRDefault="00C616C2">
      <w:pPr>
        <w:pStyle w:val="Default"/>
        <w:jc w:val="both"/>
      </w:pPr>
      <w:r>
        <w:rPr>
          <w:rFonts w:ascii="Calibri" w:hAnsi="Calibri" w:cs="Calibri"/>
          <w:iCs/>
          <w:sz w:val="22"/>
          <w:szCs w:val="22"/>
        </w:rPr>
        <w:t xml:space="preserve">Účtovná jednotka je materskou účtovnou jednotkou. Účtovná jednotka nespĺňa podmienky uvedené v zákone o účtovníctve č. 431/2002 </w:t>
      </w:r>
      <w:proofErr w:type="spellStart"/>
      <w:r>
        <w:rPr>
          <w:rFonts w:ascii="Calibri" w:hAnsi="Calibri" w:cs="Calibri"/>
          <w:iCs/>
          <w:sz w:val="22"/>
          <w:szCs w:val="22"/>
        </w:rPr>
        <w:t>Z.z</w:t>
      </w:r>
      <w:proofErr w:type="spellEnd"/>
      <w:r>
        <w:rPr>
          <w:rFonts w:ascii="Calibri" w:hAnsi="Calibri" w:cs="Calibri"/>
          <w:iCs/>
          <w:sz w:val="22"/>
          <w:szCs w:val="22"/>
        </w:rPr>
        <w:t xml:space="preserve">. v znení neskorších predpisov v §22 písm. 10 na zostavenie konsolidovanej účtovnej závierky. </w:t>
      </w:r>
    </w:p>
    <w:p w14:paraId="2CDF2696" w14:textId="77777777" w:rsidR="00C616C2" w:rsidRDefault="00C616C2">
      <w:pPr>
        <w:pStyle w:val="Default"/>
        <w:jc w:val="both"/>
        <w:rPr>
          <w:rFonts w:ascii="Calibri" w:hAnsi="Calibri" w:cs="Calibri"/>
          <w:iCs/>
          <w:sz w:val="22"/>
          <w:szCs w:val="22"/>
        </w:rPr>
      </w:pPr>
    </w:p>
    <w:p w14:paraId="07D81EBD" w14:textId="77777777" w:rsidR="00C616C2" w:rsidRDefault="00C616C2">
      <w:pPr>
        <w:pStyle w:val="Default"/>
        <w:jc w:val="both"/>
      </w:pPr>
      <w:r>
        <w:rPr>
          <w:rFonts w:ascii="Calibri" w:hAnsi="Calibri" w:cs="Calibri"/>
          <w:iCs/>
          <w:sz w:val="22"/>
          <w:szCs w:val="22"/>
        </w:rPr>
        <w:t>Dcérske podniky:</w:t>
      </w:r>
    </w:p>
    <w:p w14:paraId="091FEEC3" w14:textId="77777777" w:rsidR="00C616C2" w:rsidRDefault="00C616C2">
      <w:pPr>
        <w:pStyle w:val="Default"/>
        <w:jc w:val="both"/>
        <w:rPr>
          <w:rFonts w:ascii="Calibri" w:hAnsi="Calibri" w:cs="Calibri"/>
          <w:iCs/>
          <w:sz w:val="22"/>
          <w:szCs w:val="22"/>
        </w:rPr>
      </w:pPr>
    </w:p>
    <w:p w14:paraId="291767DD" w14:textId="77777777" w:rsidR="00C616C2" w:rsidRDefault="00C616C2">
      <w:pPr>
        <w:pStyle w:val="Default"/>
        <w:jc w:val="both"/>
      </w:pPr>
      <w:proofErr w:type="spellStart"/>
      <w:r>
        <w:rPr>
          <w:rFonts w:ascii="Calibri" w:hAnsi="Calibri" w:cs="Calibri"/>
          <w:iCs/>
          <w:sz w:val="22"/>
          <w:szCs w:val="22"/>
        </w:rPr>
        <w:t>Mäsovinky</w:t>
      </w:r>
      <w:proofErr w:type="spellEnd"/>
      <w:r>
        <w:rPr>
          <w:rFonts w:ascii="Calibri" w:hAnsi="Calibri" w:cs="Calibri"/>
          <w:iCs/>
          <w:sz w:val="22"/>
          <w:szCs w:val="22"/>
        </w:rPr>
        <w:t xml:space="preserve"> s.r.o., Závodná 78C, 821 06  Bratislava</w:t>
      </w:r>
    </w:p>
    <w:p w14:paraId="01F84588" w14:textId="77777777" w:rsidR="00C616C2" w:rsidRDefault="00C616C2">
      <w:pPr>
        <w:pStyle w:val="Default"/>
        <w:jc w:val="both"/>
      </w:pPr>
      <w:r>
        <w:rPr>
          <w:rFonts w:ascii="Calibri" w:hAnsi="Calibri" w:cs="Calibri"/>
          <w:iCs/>
          <w:sz w:val="22"/>
          <w:szCs w:val="22"/>
        </w:rPr>
        <w:t>S and R, s.r.o., Závodná 78C, 821 06  Bratislava</w:t>
      </w:r>
    </w:p>
    <w:p w14:paraId="2C902762" w14:textId="77777777" w:rsidR="00C616C2" w:rsidRDefault="00C616C2">
      <w:pPr>
        <w:pStyle w:val="Default"/>
        <w:jc w:val="both"/>
      </w:pPr>
      <w:proofErr w:type="spellStart"/>
      <w:r>
        <w:rPr>
          <w:rFonts w:ascii="Calibri" w:hAnsi="Calibri" w:cs="Calibri"/>
          <w:iCs/>
          <w:sz w:val="22"/>
          <w:szCs w:val="22"/>
        </w:rPr>
        <w:t>Forseil</w:t>
      </w:r>
      <w:proofErr w:type="spellEnd"/>
      <w:r>
        <w:rPr>
          <w:rFonts w:ascii="Calibri" w:hAnsi="Calibri" w:cs="Calibri"/>
          <w:iCs/>
          <w:sz w:val="22"/>
          <w:szCs w:val="22"/>
        </w:rPr>
        <w:t>, s.r.o., Závodná 78C, 821 06  Bratislava</w:t>
      </w:r>
    </w:p>
    <w:p w14:paraId="31439E31" w14:textId="77777777" w:rsidR="00C616C2" w:rsidRDefault="00C616C2">
      <w:pPr>
        <w:pStyle w:val="Default"/>
        <w:jc w:val="both"/>
      </w:pPr>
      <w:r>
        <w:rPr>
          <w:rFonts w:ascii="Calibri" w:hAnsi="Calibri" w:cs="Calibri"/>
          <w:iCs/>
          <w:sz w:val="22"/>
          <w:szCs w:val="22"/>
        </w:rPr>
        <w:t>GASTROVINKY s.r.o., Závodná 78, 821 06  Bratislava</w:t>
      </w:r>
    </w:p>
    <w:p w14:paraId="0A188224" w14:textId="77777777" w:rsidR="00C616C2" w:rsidRDefault="00C616C2">
      <w:pPr>
        <w:pStyle w:val="Default"/>
        <w:jc w:val="both"/>
        <w:rPr>
          <w:rFonts w:ascii="Calibri" w:hAnsi="Calibri" w:cs="Calibri"/>
          <w:iCs/>
          <w:sz w:val="22"/>
          <w:szCs w:val="22"/>
        </w:rPr>
      </w:pPr>
    </w:p>
    <w:p w14:paraId="6945455D" w14:textId="77777777" w:rsidR="00C616C2" w:rsidRDefault="00C616C2">
      <w:pPr>
        <w:pStyle w:val="Zkladntext"/>
        <w:rPr>
          <w:rFonts w:ascii="Calibri" w:hAnsi="Calibri" w:cs="Calibri"/>
          <w:iCs/>
          <w:sz w:val="22"/>
          <w:szCs w:val="22"/>
        </w:rPr>
      </w:pPr>
    </w:p>
    <w:p w14:paraId="2182FA05" w14:textId="77777777" w:rsidR="00C616C2" w:rsidRDefault="00C616C2">
      <w:pPr>
        <w:pStyle w:val="Zkladntext"/>
        <w:numPr>
          <w:ilvl w:val="0"/>
          <w:numId w:val="6"/>
        </w:numPr>
        <w:tabs>
          <w:tab w:val="left" w:pos="426"/>
        </w:tabs>
        <w:ind w:left="426" w:hanging="426"/>
      </w:pPr>
      <w:r>
        <w:rPr>
          <w:rFonts w:ascii="Calibri" w:hAnsi="Calibri" w:cs="Calibri"/>
          <w:sz w:val="22"/>
          <w:szCs w:val="22"/>
        </w:rPr>
        <w:t xml:space="preserve">POČET ZAMESTNANCOV </w:t>
      </w:r>
    </w:p>
    <w:p w14:paraId="38BE679C" w14:textId="77777777" w:rsidR="00C616C2" w:rsidRDefault="00C616C2">
      <w:pPr>
        <w:pStyle w:val="Zkladntext"/>
        <w:rPr>
          <w:rFonts w:ascii="Calibri" w:hAnsi="Calibri" w:cs="Calibri"/>
          <w:sz w:val="22"/>
          <w:szCs w:val="22"/>
        </w:rPr>
      </w:pPr>
    </w:p>
    <w:p w14:paraId="7B99A4AF" w14:textId="77777777" w:rsidR="00C616C2" w:rsidRDefault="00C616C2">
      <w:pPr>
        <w:pStyle w:val="Zkladntext"/>
      </w:pPr>
      <w:r>
        <w:rPr>
          <w:rFonts w:ascii="Calibri" w:hAnsi="Calibri" w:cs="Calibri"/>
          <w:sz w:val="22"/>
          <w:szCs w:val="22"/>
        </w:rPr>
        <w:t xml:space="preserve">Počet zamestnancov spoločnosti je uvedený v nasledujúcej tabuľke: </w:t>
      </w:r>
    </w:p>
    <w:p w14:paraId="504FC5AF" w14:textId="77777777" w:rsidR="00C616C2" w:rsidRDefault="00C616C2">
      <w:pPr>
        <w:pStyle w:val="Heading"/>
        <w:spacing w:after="60"/>
        <w:ind w:left="360"/>
        <w:jc w:val="left"/>
        <w:rPr>
          <w:rFonts w:ascii="Calibri" w:hAnsi="Calibri" w:cs="Calibri"/>
          <w:sz w:val="22"/>
          <w:szCs w:val="22"/>
        </w:rPr>
      </w:pPr>
    </w:p>
    <w:tbl>
      <w:tblPr>
        <w:tblW w:w="5000" w:type="pct"/>
        <w:jc w:val="center"/>
        <w:tblLayout w:type="fixed"/>
        <w:tblCellMar>
          <w:left w:w="70" w:type="dxa"/>
          <w:right w:w="70" w:type="dxa"/>
        </w:tblCellMar>
        <w:tblLook w:val="0000" w:firstRow="0" w:lastRow="0" w:firstColumn="0" w:lastColumn="0" w:noHBand="0" w:noVBand="0"/>
      </w:tblPr>
      <w:tblGrid>
        <w:gridCol w:w="3656"/>
        <w:gridCol w:w="2617"/>
        <w:gridCol w:w="2937"/>
      </w:tblGrid>
      <w:tr w:rsidR="00C616C2" w14:paraId="4917D383" w14:textId="77777777">
        <w:trPr>
          <w:trHeight w:val="277"/>
          <w:jc w:val="center"/>
        </w:trPr>
        <w:tc>
          <w:tcPr>
            <w:tcW w:w="3601" w:type="dxa"/>
            <w:tcBorders>
              <w:top w:val="single" w:sz="12" w:space="0" w:color="000000"/>
              <w:left w:val="single" w:sz="12" w:space="0" w:color="000000"/>
              <w:right w:val="single" w:sz="12" w:space="0" w:color="000000"/>
            </w:tcBorders>
            <w:vAlign w:val="center"/>
          </w:tcPr>
          <w:p w14:paraId="1F5FAB02" w14:textId="77777777" w:rsidR="00C616C2" w:rsidRDefault="00C616C2">
            <w:pPr>
              <w:pStyle w:val="TopHeader"/>
            </w:pPr>
            <w:r>
              <w:rPr>
                <w:rFonts w:ascii="Calibri" w:hAnsi="Calibri" w:cs="Calibri"/>
                <w:b w:val="0"/>
                <w:i/>
                <w:color w:val="000000"/>
              </w:rPr>
              <w:t>Názov položky</w:t>
            </w:r>
          </w:p>
        </w:tc>
        <w:tc>
          <w:tcPr>
            <w:tcW w:w="2577" w:type="dxa"/>
            <w:tcBorders>
              <w:top w:val="single" w:sz="12" w:space="0" w:color="000000"/>
              <w:left w:val="single" w:sz="12" w:space="0" w:color="000000"/>
              <w:right w:val="single" w:sz="12" w:space="0" w:color="000000"/>
            </w:tcBorders>
            <w:vAlign w:val="center"/>
          </w:tcPr>
          <w:p w14:paraId="34303CCD" w14:textId="77777777" w:rsidR="00C616C2" w:rsidRDefault="00C616C2">
            <w:pPr>
              <w:pStyle w:val="TopHeader"/>
            </w:pPr>
            <w:r>
              <w:rPr>
                <w:rFonts w:ascii="Calibri" w:hAnsi="Calibri" w:cs="Calibri"/>
                <w:b w:val="0"/>
                <w:i/>
                <w:color w:val="000000"/>
              </w:rPr>
              <w:t>Bežné účtovné obdobie</w:t>
            </w:r>
          </w:p>
        </w:tc>
        <w:tc>
          <w:tcPr>
            <w:tcW w:w="2892" w:type="dxa"/>
            <w:tcBorders>
              <w:top w:val="single" w:sz="12" w:space="0" w:color="000000"/>
              <w:left w:val="single" w:sz="12" w:space="0" w:color="000000"/>
              <w:right w:val="single" w:sz="12" w:space="0" w:color="000000"/>
            </w:tcBorders>
            <w:vAlign w:val="center"/>
          </w:tcPr>
          <w:p w14:paraId="39994C7B" w14:textId="77777777" w:rsidR="00C616C2" w:rsidRDefault="00C616C2">
            <w:pPr>
              <w:pStyle w:val="TopHeader"/>
            </w:pPr>
            <w:r>
              <w:rPr>
                <w:rFonts w:ascii="Calibri" w:hAnsi="Calibri" w:cs="Calibri"/>
                <w:b w:val="0"/>
                <w:i/>
                <w:color w:val="000000"/>
              </w:rPr>
              <w:t>Bezprostredne predchádzajúce účtovné obdobie</w:t>
            </w:r>
          </w:p>
        </w:tc>
      </w:tr>
      <w:tr w:rsidR="00C616C2" w14:paraId="6CE8D155" w14:textId="77777777">
        <w:trPr>
          <w:trHeight w:val="227"/>
          <w:jc w:val="center"/>
        </w:trPr>
        <w:tc>
          <w:tcPr>
            <w:tcW w:w="3601" w:type="dxa"/>
            <w:tcBorders>
              <w:top w:val="single" w:sz="12" w:space="0" w:color="000000"/>
              <w:left w:val="single" w:sz="12" w:space="0" w:color="000000"/>
              <w:bottom w:val="single" w:sz="4" w:space="0" w:color="000000"/>
              <w:right w:val="single" w:sz="12" w:space="0" w:color="000000"/>
            </w:tcBorders>
            <w:vAlign w:val="center"/>
          </w:tcPr>
          <w:p w14:paraId="321A37B6" w14:textId="77777777" w:rsidR="00C616C2" w:rsidRDefault="00C616C2">
            <w:r>
              <w:rPr>
                <w:rFonts w:ascii="Calibri" w:hAnsi="Calibri" w:cs="Calibri"/>
                <w:color w:val="000000"/>
                <w:sz w:val="22"/>
                <w:szCs w:val="22"/>
              </w:rPr>
              <w:t>Priemerný prepočítaný počet zamestnancov</w:t>
            </w:r>
          </w:p>
        </w:tc>
        <w:tc>
          <w:tcPr>
            <w:tcW w:w="2577" w:type="dxa"/>
            <w:tcBorders>
              <w:top w:val="single" w:sz="12" w:space="0" w:color="000000"/>
              <w:left w:val="single" w:sz="12" w:space="0" w:color="000000"/>
              <w:bottom w:val="single" w:sz="4" w:space="0" w:color="000000"/>
              <w:right w:val="single" w:sz="12" w:space="0" w:color="000000"/>
            </w:tcBorders>
            <w:vAlign w:val="center"/>
          </w:tcPr>
          <w:p w14:paraId="32D802E8" w14:textId="77777777" w:rsidR="00C616C2" w:rsidRDefault="00FE7831">
            <w:pPr>
              <w:spacing w:line="360" w:lineRule="auto"/>
              <w:jc w:val="right"/>
            </w:pPr>
            <w:r>
              <w:t>63,7</w:t>
            </w:r>
          </w:p>
        </w:tc>
        <w:tc>
          <w:tcPr>
            <w:tcW w:w="2892" w:type="dxa"/>
            <w:tcBorders>
              <w:top w:val="single" w:sz="12" w:space="0" w:color="000000"/>
              <w:left w:val="single" w:sz="12" w:space="0" w:color="000000"/>
              <w:bottom w:val="single" w:sz="4" w:space="0" w:color="000000"/>
              <w:right w:val="single" w:sz="12" w:space="0" w:color="000000"/>
            </w:tcBorders>
            <w:vAlign w:val="center"/>
          </w:tcPr>
          <w:p w14:paraId="23F44431" w14:textId="77777777" w:rsidR="00C616C2" w:rsidRDefault="00FE7831">
            <w:pPr>
              <w:spacing w:line="360" w:lineRule="auto"/>
              <w:jc w:val="right"/>
            </w:pPr>
            <w:r>
              <w:t>64,8</w:t>
            </w:r>
          </w:p>
        </w:tc>
      </w:tr>
      <w:tr w:rsidR="00C616C2" w14:paraId="0F5F327C" w14:textId="77777777">
        <w:trPr>
          <w:trHeight w:val="227"/>
          <w:jc w:val="center"/>
        </w:trPr>
        <w:tc>
          <w:tcPr>
            <w:tcW w:w="3601" w:type="dxa"/>
            <w:tcBorders>
              <w:top w:val="single" w:sz="4" w:space="0" w:color="000000"/>
              <w:left w:val="single" w:sz="12" w:space="0" w:color="000000"/>
              <w:bottom w:val="single" w:sz="4" w:space="0" w:color="000000"/>
              <w:right w:val="single" w:sz="12" w:space="0" w:color="000000"/>
            </w:tcBorders>
            <w:vAlign w:val="center"/>
          </w:tcPr>
          <w:p w14:paraId="3AB3994C" w14:textId="77777777" w:rsidR="00C616C2" w:rsidRDefault="00C616C2">
            <w:r>
              <w:rPr>
                <w:rFonts w:ascii="Calibri" w:hAnsi="Calibri" w:cs="Calibri"/>
                <w:color w:val="000000"/>
                <w:sz w:val="22"/>
                <w:szCs w:val="22"/>
              </w:rPr>
              <w:t>Stav zamestnancov ku dňu, ku ktorému sa zostavuje účtovná závierka, z toho:</w:t>
            </w:r>
          </w:p>
        </w:tc>
        <w:tc>
          <w:tcPr>
            <w:tcW w:w="2577" w:type="dxa"/>
            <w:tcBorders>
              <w:top w:val="single" w:sz="4" w:space="0" w:color="000000"/>
              <w:left w:val="single" w:sz="12" w:space="0" w:color="000000"/>
              <w:bottom w:val="single" w:sz="4" w:space="0" w:color="000000"/>
              <w:right w:val="single" w:sz="12" w:space="0" w:color="000000"/>
            </w:tcBorders>
            <w:vAlign w:val="center"/>
          </w:tcPr>
          <w:p w14:paraId="170CD659" w14:textId="77777777" w:rsidR="00C616C2" w:rsidRDefault="0011374A">
            <w:pPr>
              <w:spacing w:line="360" w:lineRule="auto"/>
              <w:jc w:val="right"/>
            </w:pPr>
            <w:r>
              <w:t>6</w:t>
            </w:r>
            <w:r w:rsidR="00FE7831">
              <w:t>4</w:t>
            </w:r>
          </w:p>
        </w:tc>
        <w:tc>
          <w:tcPr>
            <w:tcW w:w="2892" w:type="dxa"/>
            <w:tcBorders>
              <w:top w:val="single" w:sz="4" w:space="0" w:color="000000"/>
              <w:left w:val="single" w:sz="12" w:space="0" w:color="000000"/>
              <w:bottom w:val="single" w:sz="4" w:space="0" w:color="000000"/>
              <w:right w:val="single" w:sz="12" w:space="0" w:color="000000"/>
            </w:tcBorders>
            <w:vAlign w:val="center"/>
          </w:tcPr>
          <w:p w14:paraId="6287D0B9" w14:textId="77777777" w:rsidR="00C616C2" w:rsidRDefault="00FE7831">
            <w:pPr>
              <w:spacing w:line="360" w:lineRule="auto"/>
              <w:jc w:val="right"/>
            </w:pPr>
            <w:r>
              <w:rPr>
                <w:rFonts w:ascii="Calibri" w:hAnsi="Calibri" w:cs="Calibri"/>
                <w:color w:val="000000"/>
                <w:sz w:val="22"/>
                <w:szCs w:val="22"/>
              </w:rPr>
              <w:t>66</w:t>
            </w:r>
          </w:p>
        </w:tc>
      </w:tr>
      <w:tr w:rsidR="00C616C2" w14:paraId="51070D82" w14:textId="77777777">
        <w:trPr>
          <w:trHeight w:val="227"/>
          <w:jc w:val="center"/>
        </w:trPr>
        <w:tc>
          <w:tcPr>
            <w:tcW w:w="3601" w:type="dxa"/>
            <w:tcBorders>
              <w:top w:val="single" w:sz="4" w:space="0" w:color="000000"/>
              <w:left w:val="single" w:sz="12" w:space="0" w:color="000000"/>
              <w:bottom w:val="single" w:sz="12" w:space="0" w:color="000000"/>
              <w:right w:val="single" w:sz="12" w:space="0" w:color="000000"/>
            </w:tcBorders>
            <w:vAlign w:val="center"/>
          </w:tcPr>
          <w:p w14:paraId="52207A64" w14:textId="77777777" w:rsidR="00C616C2" w:rsidRDefault="00C616C2">
            <w:r>
              <w:rPr>
                <w:rFonts w:ascii="Calibri" w:hAnsi="Calibri" w:cs="Calibri"/>
                <w:color w:val="000000"/>
                <w:sz w:val="22"/>
                <w:szCs w:val="22"/>
              </w:rPr>
              <w:t>Počet vedúcich zamestnancov</w:t>
            </w:r>
          </w:p>
        </w:tc>
        <w:tc>
          <w:tcPr>
            <w:tcW w:w="2577" w:type="dxa"/>
            <w:tcBorders>
              <w:top w:val="single" w:sz="4" w:space="0" w:color="000000"/>
              <w:left w:val="single" w:sz="12" w:space="0" w:color="000000"/>
              <w:bottom w:val="single" w:sz="12" w:space="0" w:color="000000"/>
              <w:right w:val="single" w:sz="12" w:space="0" w:color="000000"/>
            </w:tcBorders>
            <w:vAlign w:val="center"/>
          </w:tcPr>
          <w:p w14:paraId="430422C6" w14:textId="77777777" w:rsidR="00C616C2" w:rsidRDefault="0011374A">
            <w:pPr>
              <w:spacing w:line="360" w:lineRule="auto"/>
              <w:jc w:val="right"/>
            </w:pPr>
            <w:r>
              <w:t>4</w:t>
            </w:r>
          </w:p>
        </w:tc>
        <w:tc>
          <w:tcPr>
            <w:tcW w:w="2892" w:type="dxa"/>
            <w:tcBorders>
              <w:top w:val="single" w:sz="4" w:space="0" w:color="000000"/>
              <w:left w:val="single" w:sz="12" w:space="0" w:color="000000"/>
              <w:bottom w:val="single" w:sz="12" w:space="0" w:color="000000"/>
              <w:right w:val="single" w:sz="12" w:space="0" w:color="000000"/>
            </w:tcBorders>
            <w:vAlign w:val="center"/>
          </w:tcPr>
          <w:p w14:paraId="10B6D49C" w14:textId="77777777" w:rsidR="00C616C2" w:rsidRDefault="00126FE6">
            <w:pPr>
              <w:spacing w:line="360" w:lineRule="auto"/>
              <w:jc w:val="right"/>
            </w:pPr>
            <w:r>
              <w:rPr>
                <w:rFonts w:ascii="Calibri" w:hAnsi="Calibri" w:cs="Calibri"/>
                <w:color w:val="000000"/>
                <w:sz w:val="22"/>
                <w:szCs w:val="22"/>
              </w:rPr>
              <w:t>4</w:t>
            </w:r>
          </w:p>
        </w:tc>
      </w:tr>
    </w:tbl>
    <w:p w14:paraId="169E0DD8" w14:textId="77777777" w:rsidR="00C616C2" w:rsidRDefault="00C616C2">
      <w:pPr>
        <w:pStyle w:val="Zkladntext"/>
        <w:rPr>
          <w:rFonts w:ascii="Calibri" w:hAnsi="Calibri" w:cs="Calibri"/>
          <w:sz w:val="22"/>
          <w:szCs w:val="22"/>
        </w:rPr>
      </w:pPr>
    </w:p>
    <w:p w14:paraId="4885D43C" w14:textId="77777777" w:rsidR="00C616C2" w:rsidRDefault="00C616C2">
      <w:pPr>
        <w:pStyle w:val="Zkladntext"/>
        <w:rPr>
          <w:rFonts w:ascii="Calibri" w:hAnsi="Calibri" w:cs="Calibri"/>
          <w:sz w:val="22"/>
          <w:szCs w:val="22"/>
        </w:rPr>
      </w:pPr>
    </w:p>
    <w:p w14:paraId="512BE78C" w14:textId="77777777" w:rsidR="00C616C2" w:rsidRDefault="00C616C2">
      <w:pPr>
        <w:pStyle w:val="Hlavika"/>
        <w:tabs>
          <w:tab w:val="clear" w:pos="4536"/>
          <w:tab w:val="clear" w:pos="9072"/>
        </w:tabs>
        <w:jc w:val="center"/>
      </w:pPr>
      <w:r>
        <w:rPr>
          <w:rFonts w:ascii="Calibri" w:hAnsi="Calibri" w:cs="Calibri"/>
          <w:b/>
          <w:sz w:val="22"/>
          <w:szCs w:val="22"/>
        </w:rPr>
        <w:t>ČL. II</w:t>
      </w:r>
    </w:p>
    <w:p w14:paraId="1C5ED954" w14:textId="77777777" w:rsidR="00C616C2" w:rsidRDefault="00C616C2">
      <w:pPr>
        <w:pStyle w:val="Hlavika"/>
        <w:tabs>
          <w:tab w:val="clear" w:pos="4536"/>
          <w:tab w:val="clear" w:pos="9072"/>
        </w:tabs>
        <w:jc w:val="center"/>
      </w:pPr>
      <w:r>
        <w:rPr>
          <w:rFonts w:ascii="Calibri" w:hAnsi="Calibri" w:cs="Calibri"/>
          <w:b/>
          <w:sz w:val="22"/>
          <w:szCs w:val="22"/>
        </w:rPr>
        <w:t>INFORMÁCIE O ORGÁNOCH</w:t>
      </w:r>
    </w:p>
    <w:p w14:paraId="7DC41B77" w14:textId="77777777" w:rsidR="00C616C2" w:rsidRDefault="00C616C2">
      <w:pPr>
        <w:rPr>
          <w:rFonts w:ascii="Calibri" w:hAnsi="Calibri" w:cs="Calibri"/>
          <w:b/>
          <w:sz w:val="22"/>
          <w:szCs w:val="22"/>
          <w:highlight w:val="yellow"/>
        </w:rPr>
      </w:pPr>
    </w:p>
    <w:p w14:paraId="675EAE06" w14:textId="77777777" w:rsidR="00C616C2" w:rsidRDefault="00C616C2">
      <w:pPr>
        <w:pStyle w:val="Default"/>
        <w:jc w:val="both"/>
      </w:pPr>
      <w:r>
        <w:rPr>
          <w:rFonts w:ascii="Calibri" w:hAnsi="Calibri" w:cs="Calibri"/>
          <w:i/>
          <w:sz w:val="22"/>
          <w:szCs w:val="22"/>
        </w:rPr>
        <w:t xml:space="preserve">Uvádzajú sa informácie o orgánoch účtovnej jednotky, a to: </w:t>
      </w:r>
    </w:p>
    <w:p w14:paraId="3646F785" w14:textId="77777777" w:rsidR="00C616C2" w:rsidRDefault="00C616C2">
      <w:pPr>
        <w:pStyle w:val="Default"/>
        <w:spacing w:after="17"/>
        <w:jc w:val="both"/>
      </w:pPr>
      <w:r>
        <w:rPr>
          <w:rFonts w:ascii="Calibri" w:hAnsi="Calibri" w:cs="Calibri"/>
          <w:i/>
          <w:sz w:val="22"/>
          <w:szCs w:val="22"/>
        </w:rPr>
        <w:lastRenderedPageBreak/>
        <w:t xml:space="preserve">a) výške jednotlivých druhov záruk alebo iných zabezpečení poskytnutých pre členov štatutárneho orgánu, dozorného orgánu a iného orgánu účtovnej jednotky, a to v členení za jednotlivé orgány, </w:t>
      </w:r>
    </w:p>
    <w:p w14:paraId="5B926CE6" w14:textId="77777777" w:rsidR="00C616C2" w:rsidRDefault="00C616C2">
      <w:pPr>
        <w:pStyle w:val="Default"/>
        <w:spacing w:after="17"/>
        <w:jc w:val="both"/>
      </w:pPr>
      <w:r>
        <w:rPr>
          <w:rFonts w:ascii="Calibri" w:hAnsi="Calibri" w:cs="Calibri"/>
          <w:i/>
          <w:sz w:val="22"/>
          <w:szCs w:val="22"/>
        </w:rPr>
        <w:t xml:space="preserve">b) pôžičkách poskytnutých členom štatutárneho orgánu, dozorného orgánu a iného orgánu účtovnej jednotky, a to o </w:t>
      </w:r>
    </w:p>
    <w:p w14:paraId="1B68AD9E" w14:textId="77777777" w:rsidR="00C616C2" w:rsidRDefault="00C616C2">
      <w:pPr>
        <w:pStyle w:val="Default"/>
        <w:spacing w:after="17"/>
        <w:ind w:left="708"/>
        <w:jc w:val="both"/>
      </w:pPr>
      <w:r>
        <w:rPr>
          <w:rFonts w:ascii="Calibri" w:hAnsi="Calibri" w:cs="Calibri"/>
          <w:i/>
          <w:sz w:val="22"/>
          <w:szCs w:val="22"/>
        </w:rPr>
        <w:t xml:space="preserve">1. celkovej sume poskytnutých pôžičiek k poslednému dňu účtovného obdobia v členení za jednotlivé orgány, </w:t>
      </w:r>
    </w:p>
    <w:p w14:paraId="19D935C1" w14:textId="77777777" w:rsidR="00C616C2" w:rsidRDefault="00C616C2">
      <w:pPr>
        <w:pStyle w:val="Default"/>
        <w:ind w:left="708"/>
        <w:jc w:val="both"/>
      </w:pPr>
      <w:r>
        <w:rPr>
          <w:rFonts w:ascii="Calibri" w:hAnsi="Calibri" w:cs="Calibri"/>
          <w:i/>
          <w:sz w:val="22"/>
          <w:szCs w:val="22"/>
        </w:rPr>
        <w:t xml:space="preserve">2. celkovej sume splatených pôžičiek k poslednému dňu účtovného obdobia v členení za jednotlivé orgány, </w:t>
      </w:r>
    </w:p>
    <w:p w14:paraId="3CEFFF29" w14:textId="77777777" w:rsidR="00C616C2" w:rsidRDefault="00C616C2">
      <w:pPr>
        <w:pStyle w:val="Default"/>
        <w:spacing w:after="14"/>
        <w:ind w:left="708"/>
        <w:jc w:val="both"/>
      </w:pPr>
      <w:r>
        <w:rPr>
          <w:rFonts w:ascii="Calibri" w:hAnsi="Calibri" w:cs="Calibri"/>
          <w:i/>
          <w:sz w:val="22"/>
          <w:szCs w:val="22"/>
        </w:rPr>
        <w:t xml:space="preserve">3. celkovej sume odpustených pôžičiek a odpísaných pôžičiek k poslednému dňu účtovného obdobia v členení za jednotlivé orgány, </w:t>
      </w:r>
    </w:p>
    <w:p w14:paraId="5E1C9DC3" w14:textId="77777777" w:rsidR="00C616C2" w:rsidRDefault="00C616C2">
      <w:pPr>
        <w:pStyle w:val="Default"/>
        <w:spacing w:after="14"/>
        <w:jc w:val="both"/>
      </w:pPr>
      <w:r>
        <w:rPr>
          <w:rFonts w:ascii="Calibri" w:hAnsi="Calibri" w:cs="Calibri"/>
          <w:i/>
          <w:sz w:val="22"/>
          <w:szCs w:val="22"/>
        </w:rPr>
        <w:t xml:space="preserve">c) hlavných podmienkach, na základe ktorých boli osobám uvedeným v písmene a) záruky alebo iné zabezpečenie a pôžičky poskytnuté; pri pôžičkách sa uvádzajú úrokové sadzby, </w:t>
      </w:r>
    </w:p>
    <w:p w14:paraId="0ADD21D4" w14:textId="77777777" w:rsidR="00C616C2" w:rsidRDefault="00C616C2">
      <w:pPr>
        <w:pStyle w:val="Default"/>
        <w:jc w:val="both"/>
      </w:pPr>
      <w:r>
        <w:rPr>
          <w:rFonts w:ascii="Calibri" w:hAnsi="Calibri" w:cs="Calibri"/>
          <w:i/>
          <w:sz w:val="22"/>
          <w:szCs w:val="22"/>
        </w:rPr>
        <w:t>d) celkovej sume použitých finančných prostriedkov alebo iného plnenia na súkromné účely členmi štatutárneho orgánu, dozorného orgánu a iného orgánu účtovnej jednotky, ktoré je potrebné vyúčtovať.</w:t>
      </w:r>
    </w:p>
    <w:p w14:paraId="60676947" w14:textId="77777777" w:rsidR="00C616C2" w:rsidRDefault="00C616C2">
      <w:pPr>
        <w:pStyle w:val="Heading"/>
        <w:widowControl w:val="0"/>
        <w:spacing w:after="60"/>
        <w:jc w:val="both"/>
        <w:rPr>
          <w:rFonts w:ascii="Calibri" w:hAnsi="Calibri" w:cs="Calibri"/>
          <w:b w:val="0"/>
          <w:i/>
          <w:color w:val="000000"/>
          <w:sz w:val="22"/>
          <w:szCs w:val="22"/>
        </w:rPr>
      </w:pPr>
    </w:p>
    <w:p w14:paraId="7A3EA986" w14:textId="77777777" w:rsidR="00C616C2" w:rsidRDefault="00C616C2">
      <w:pPr>
        <w:pStyle w:val="Heading"/>
        <w:widowControl w:val="0"/>
        <w:spacing w:after="60"/>
        <w:jc w:val="both"/>
      </w:pPr>
      <w:r>
        <w:rPr>
          <w:rFonts w:ascii="Calibri" w:hAnsi="Calibri" w:cs="Calibri"/>
          <w:b w:val="0"/>
          <w:color w:val="000000"/>
          <w:sz w:val="22"/>
          <w:szCs w:val="22"/>
        </w:rPr>
        <w:t xml:space="preserve">Účtovná jednotka nemá náplň pre túto položku. </w:t>
      </w:r>
    </w:p>
    <w:p w14:paraId="50FA66A0" w14:textId="77777777" w:rsidR="00C616C2" w:rsidRDefault="00C616C2">
      <w:pPr>
        <w:rPr>
          <w:rFonts w:ascii="Calibri" w:hAnsi="Calibri" w:cs="Calibri"/>
          <w:b/>
          <w:color w:val="000000"/>
          <w:sz w:val="22"/>
          <w:szCs w:val="22"/>
        </w:rPr>
      </w:pPr>
    </w:p>
    <w:p w14:paraId="313FE629" w14:textId="77777777" w:rsidR="00C616C2" w:rsidRDefault="00C616C2">
      <w:pPr>
        <w:pStyle w:val="Zkladntext"/>
        <w:jc w:val="center"/>
        <w:rPr>
          <w:rFonts w:ascii="Calibri" w:hAnsi="Calibri" w:cs="Calibri"/>
          <w:b/>
          <w:color w:val="000000"/>
          <w:sz w:val="22"/>
          <w:szCs w:val="22"/>
        </w:rPr>
      </w:pPr>
    </w:p>
    <w:p w14:paraId="7B6D8B28" w14:textId="77777777" w:rsidR="00C616C2" w:rsidRDefault="00C616C2">
      <w:pPr>
        <w:pStyle w:val="Zkladntext"/>
        <w:jc w:val="center"/>
      </w:pPr>
      <w:r>
        <w:rPr>
          <w:rFonts w:ascii="Calibri" w:hAnsi="Calibri" w:cs="Calibri"/>
          <w:b/>
          <w:sz w:val="22"/>
          <w:szCs w:val="22"/>
        </w:rPr>
        <w:t>ČL. III</w:t>
      </w:r>
    </w:p>
    <w:p w14:paraId="34807CB0" w14:textId="77777777" w:rsidR="00C616C2" w:rsidRDefault="00C616C2">
      <w:pPr>
        <w:pStyle w:val="Zkladntext"/>
        <w:jc w:val="center"/>
      </w:pPr>
      <w:r>
        <w:rPr>
          <w:rFonts w:ascii="Calibri" w:hAnsi="Calibri" w:cs="Calibri"/>
          <w:b/>
          <w:sz w:val="22"/>
          <w:szCs w:val="22"/>
        </w:rPr>
        <w:t>INFORMÁCIE O PRIJATÝCH POSTUPOCH</w:t>
      </w:r>
    </w:p>
    <w:p w14:paraId="403C28DB" w14:textId="77777777" w:rsidR="00C616C2" w:rsidRDefault="00C616C2">
      <w:pPr>
        <w:pStyle w:val="Zkladntext"/>
        <w:rPr>
          <w:rFonts w:ascii="Calibri" w:hAnsi="Calibri" w:cs="Calibri"/>
          <w:b/>
          <w:sz w:val="22"/>
          <w:szCs w:val="22"/>
        </w:rPr>
      </w:pPr>
    </w:p>
    <w:p w14:paraId="5EF826E2" w14:textId="77777777" w:rsidR="00C616C2" w:rsidRDefault="00C616C2">
      <w:pPr>
        <w:pStyle w:val="Zkladntext"/>
        <w:rPr>
          <w:rFonts w:ascii="Calibri" w:hAnsi="Calibri" w:cs="Calibri"/>
          <w:b/>
          <w:sz w:val="22"/>
          <w:szCs w:val="22"/>
        </w:rPr>
      </w:pPr>
    </w:p>
    <w:p w14:paraId="70F89752" w14:textId="77777777" w:rsidR="00C616C2" w:rsidRDefault="00C616C2">
      <w:pPr>
        <w:pStyle w:val="Zkladntext"/>
        <w:numPr>
          <w:ilvl w:val="0"/>
          <w:numId w:val="7"/>
        </w:numPr>
        <w:ind w:left="426" w:hanging="437"/>
      </w:pPr>
      <w:r>
        <w:rPr>
          <w:rFonts w:ascii="Calibri" w:hAnsi="Calibri" w:cs="Calibri"/>
          <w:b/>
          <w:sz w:val="22"/>
          <w:szCs w:val="22"/>
        </w:rPr>
        <w:t>VŠEOBECNÉ PREDPOKLADY PRE VYPRACOVANIE ÚČTOVNEJ ZÁVIERKY</w:t>
      </w:r>
    </w:p>
    <w:p w14:paraId="0BD22239" w14:textId="77777777" w:rsidR="00C616C2" w:rsidRDefault="00C616C2">
      <w:pPr>
        <w:rPr>
          <w:rFonts w:ascii="Calibri" w:hAnsi="Calibri" w:cs="Calibri"/>
          <w:b/>
          <w:sz w:val="22"/>
          <w:szCs w:val="22"/>
        </w:rPr>
      </w:pPr>
    </w:p>
    <w:p w14:paraId="17779AE2" w14:textId="77777777" w:rsidR="00C616C2" w:rsidRDefault="00C616C2">
      <w:r>
        <w:rPr>
          <w:rFonts w:ascii="Calibri" w:hAnsi="Calibri" w:cs="Calibri"/>
          <w:sz w:val="22"/>
          <w:szCs w:val="22"/>
        </w:rPr>
        <w:t>Účtovná závierka spoločnosti pozostávajúca zo súvahy, výkazu ziskov a strát a poznámok k účtovnej závierke k 31.12.</w:t>
      </w:r>
      <w:r w:rsidR="00880FC0">
        <w:rPr>
          <w:rFonts w:ascii="Calibri" w:hAnsi="Calibri" w:cs="Calibri"/>
          <w:sz w:val="22"/>
          <w:szCs w:val="22"/>
        </w:rPr>
        <w:t xml:space="preserve">2025 </w:t>
      </w:r>
      <w:r>
        <w:rPr>
          <w:rFonts w:ascii="Calibri" w:hAnsi="Calibri" w:cs="Calibri"/>
          <w:sz w:val="22"/>
          <w:szCs w:val="22"/>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627D9017" w14:textId="77777777" w:rsidR="00C616C2" w:rsidRDefault="00C616C2">
      <w:pPr>
        <w:pStyle w:val="Zkladntext"/>
        <w:rPr>
          <w:rFonts w:ascii="Calibri" w:hAnsi="Calibri" w:cs="Calibri"/>
          <w:sz w:val="22"/>
          <w:szCs w:val="22"/>
        </w:rPr>
      </w:pPr>
    </w:p>
    <w:p w14:paraId="060DA0D8" w14:textId="77777777" w:rsidR="00C616C2" w:rsidRDefault="00C616C2">
      <w:pPr>
        <w:pStyle w:val="Zkladntext"/>
        <w:numPr>
          <w:ilvl w:val="0"/>
          <w:numId w:val="7"/>
        </w:numPr>
        <w:ind w:left="426" w:hanging="437"/>
      </w:pPr>
      <w:r>
        <w:rPr>
          <w:rFonts w:ascii="Calibri" w:hAnsi="Calibri" w:cs="Calibri"/>
          <w:b/>
          <w:sz w:val="22"/>
          <w:szCs w:val="22"/>
        </w:rPr>
        <w:t xml:space="preserve">INFORMÁCIA O APLIKÁCII A ZMENÁCH ÚČTOVNÝCH ZÁSAD A ÚČTOVNÝCH METÓD </w:t>
      </w:r>
    </w:p>
    <w:p w14:paraId="53E033D1" w14:textId="77777777" w:rsidR="00C616C2" w:rsidRDefault="00C616C2">
      <w:pPr>
        <w:rPr>
          <w:rFonts w:ascii="Calibri" w:hAnsi="Calibri" w:cs="Calibri"/>
          <w:b/>
          <w:sz w:val="22"/>
          <w:szCs w:val="22"/>
        </w:rPr>
      </w:pPr>
    </w:p>
    <w:p w14:paraId="5B30BF5A" w14:textId="77777777" w:rsidR="00C616C2" w:rsidRDefault="00C616C2">
      <w:pPr>
        <w:numPr>
          <w:ilvl w:val="1"/>
          <w:numId w:val="7"/>
        </w:numPr>
        <w:shd w:val="clear" w:color="auto" w:fill="E7E6E6"/>
        <w:tabs>
          <w:tab w:val="left" w:pos="426"/>
        </w:tabs>
        <w:ind w:left="426" w:hanging="426"/>
      </w:pPr>
      <w:r>
        <w:rPr>
          <w:rFonts w:ascii="Calibri" w:hAnsi="Calibri" w:cs="Calibri"/>
          <w:caps/>
          <w:sz w:val="22"/>
          <w:szCs w:val="22"/>
        </w:rPr>
        <w:t>Všeobecné účtovné zásady</w:t>
      </w:r>
    </w:p>
    <w:p w14:paraId="7829C525" w14:textId="77777777" w:rsidR="00C616C2" w:rsidRDefault="00C616C2">
      <w:pPr>
        <w:rPr>
          <w:rFonts w:ascii="Calibri" w:hAnsi="Calibri" w:cs="Calibri"/>
          <w:caps/>
          <w:sz w:val="22"/>
          <w:szCs w:val="22"/>
        </w:rPr>
      </w:pPr>
    </w:p>
    <w:p w14:paraId="757D1A65" w14:textId="77777777" w:rsidR="00C616C2" w:rsidRDefault="00C616C2">
      <w:pPr>
        <w:numPr>
          <w:ilvl w:val="0"/>
          <w:numId w:val="9"/>
        </w:numPr>
      </w:pPr>
      <w:r>
        <w:rPr>
          <w:rFonts w:ascii="Calibri" w:hAnsi="Calibri" w:cs="Calibri"/>
          <w:sz w:val="22"/>
          <w:szCs w:val="22"/>
        </w:rPr>
        <w:t>Pri účtovaní o výsledku hospodárenia účtovnej jednotky spoločnosť berie za základ všetky náklady a výnosy, ktoré sa vzťahujú na účtovné obdobie bez ohľadu na dátum ich platenia.</w:t>
      </w:r>
    </w:p>
    <w:p w14:paraId="5B6A7B91" w14:textId="77777777" w:rsidR="00C616C2" w:rsidRDefault="00C616C2">
      <w:pPr>
        <w:numPr>
          <w:ilvl w:val="0"/>
          <w:numId w:val="9"/>
        </w:numPr>
      </w:pPr>
      <w:r>
        <w:rPr>
          <w:rFonts w:ascii="Calibri" w:hAnsi="Calibri" w:cs="Calibri"/>
          <w:sz w:val="22"/>
          <w:szCs w:val="22"/>
        </w:rPr>
        <w:t>Ocenenie majetku a záväzkov v účtovníctve a účtovnej závierke je upravené o položky vyjadrujúce riziká, straty a znehodnotenia, ktoré boli známe ku dňu zostavenia účtovnej závierky (opravné položky, rezervy).</w:t>
      </w:r>
    </w:p>
    <w:p w14:paraId="1F1352A7" w14:textId="77777777" w:rsidR="00C616C2" w:rsidRDefault="00C616C2">
      <w:pPr>
        <w:numPr>
          <w:ilvl w:val="0"/>
          <w:numId w:val="9"/>
        </w:numPr>
      </w:pPr>
      <w:r>
        <w:rPr>
          <w:rFonts w:ascii="Calibri" w:hAnsi="Calibri" w:cs="Calibri"/>
          <w:sz w:val="22"/>
          <w:szCs w:val="22"/>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43569680" w14:textId="77777777" w:rsidR="00C616C2" w:rsidRDefault="00C616C2">
      <w:pPr>
        <w:numPr>
          <w:ilvl w:val="0"/>
          <w:numId w:val="9"/>
        </w:numPr>
      </w:pPr>
      <w:r>
        <w:rPr>
          <w:rFonts w:ascii="Calibri" w:hAnsi="Calibri" w:cs="Calibri"/>
          <w:sz w:val="22"/>
          <w:szCs w:val="22"/>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6BD8916D" w14:textId="77777777" w:rsidR="00C616C2" w:rsidRDefault="00C616C2">
      <w:pPr>
        <w:numPr>
          <w:ilvl w:val="0"/>
          <w:numId w:val="9"/>
        </w:numPr>
      </w:pPr>
      <w:r>
        <w:rPr>
          <w:rFonts w:ascii="Calibri" w:hAnsi="Calibri" w:cs="Calibri"/>
          <w:sz w:val="22"/>
          <w:szCs w:val="22"/>
        </w:rPr>
        <w:t>Majetok a záväzky sú vykazované v historických cenách, ak nie je v článku III bode 2.2.1 (Spôsob ocenenia jednotlivých položiek) uvedené inak.</w:t>
      </w:r>
    </w:p>
    <w:p w14:paraId="6E4FF622" w14:textId="77777777" w:rsidR="00C616C2" w:rsidRDefault="00C616C2">
      <w:pPr>
        <w:numPr>
          <w:ilvl w:val="0"/>
          <w:numId w:val="9"/>
        </w:numPr>
      </w:pPr>
      <w:r>
        <w:rPr>
          <w:rFonts w:ascii="Calibri" w:hAnsi="Calibri" w:cs="Calibri"/>
          <w:sz w:val="22"/>
          <w:szCs w:val="22"/>
        </w:rPr>
        <w:t>Spoločnosť vykonala ku dňu účtovnej závierky inventarizáciu majetku a záväzkov v súlade so zákonom o účtovníctve.</w:t>
      </w:r>
    </w:p>
    <w:p w14:paraId="0CA27A27" w14:textId="77777777" w:rsidR="00C616C2" w:rsidRDefault="00C616C2">
      <w:pPr>
        <w:numPr>
          <w:ilvl w:val="0"/>
          <w:numId w:val="9"/>
        </w:numPr>
      </w:pPr>
      <w:r>
        <w:rPr>
          <w:rFonts w:ascii="Calibri" w:hAnsi="Calibri" w:cs="Calibri"/>
          <w:sz w:val="22"/>
          <w:szCs w:val="22"/>
        </w:rPr>
        <w:lastRenderedPageBreak/>
        <w:t>Zostatky účtov, ktoré obsahuje súvaha, a ktorými sa účtovné obdobie začína, nadväzujú na zostatky účtov, ktorými sa predchádzajúce účtovné obdobie uzavrelo.</w:t>
      </w:r>
    </w:p>
    <w:p w14:paraId="5034F120" w14:textId="77777777" w:rsidR="00C616C2" w:rsidRDefault="00C616C2">
      <w:pPr>
        <w:numPr>
          <w:ilvl w:val="0"/>
          <w:numId w:val="9"/>
        </w:numPr>
      </w:pPr>
      <w:r>
        <w:rPr>
          <w:rFonts w:ascii="Calibri" w:hAnsi="Calibri" w:cs="Calibri"/>
          <w:sz w:val="22"/>
          <w:szCs w:val="22"/>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1A1332FE" w14:textId="77777777" w:rsidR="00C616C2" w:rsidRDefault="00C616C2">
      <w:pPr>
        <w:rPr>
          <w:rFonts w:ascii="Calibri" w:hAnsi="Calibri" w:cs="Calibri"/>
          <w:sz w:val="22"/>
          <w:szCs w:val="22"/>
        </w:rPr>
      </w:pPr>
    </w:p>
    <w:p w14:paraId="6D97EFFF" w14:textId="77777777" w:rsidR="00C616C2" w:rsidRDefault="00C616C2">
      <w:pPr>
        <w:rPr>
          <w:rFonts w:ascii="Calibri" w:hAnsi="Calibri" w:cs="Calibri"/>
          <w:sz w:val="22"/>
          <w:szCs w:val="22"/>
        </w:rPr>
      </w:pPr>
    </w:p>
    <w:p w14:paraId="78DEEC8A" w14:textId="77777777" w:rsidR="00C616C2" w:rsidRDefault="00C616C2">
      <w:pPr>
        <w:numPr>
          <w:ilvl w:val="1"/>
          <w:numId w:val="7"/>
        </w:numPr>
        <w:shd w:val="clear" w:color="auto" w:fill="D9D9D9"/>
        <w:tabs>
          <w:tab w:val="left" w:pos="426"/>
        </w:tabs>
        <w:ind w:left="426" w:hanging="426"/>
      </w:pPr>
      <w:r>
        <w:rPr>
          <w:rFonts w:ascii="Calibri" w:hAnsi="Calibri" w:cs="Calibri"/>
          <w:caps/>
          <w:sz w:val="22"/>
          <w:szCs w:val="22"/>
        </w:rPr>
        <w:t>Použité účtovné metódy a zásady</w:t>
      </w:r>
    </w:p>
    <w:p w14:paraId="1B256159" w14:textId="77777777" w:rsidR="00C616C2" w:rsidRDefault="00C616C2">
      <w:pPr>
        <w:rPr>
          <w:rFonts w:ascii="Calibri" w:hAnsi="Calibri" w:cs="Calibri"/>
          <w:b/>
          <w:caps/>
          <w:sz w:val="22"/>
          <w:szCs w:val="22"/>
        </w:rPr>
      </w:pPr>
    </w:p>
    <w:p w14:paraId="04144683" w14:textId="77777777" w:rsidR="00C616C2" w:rsidRDefault="00C616C2">
      <w:pPr>
        <w:numPr>
          <w:ilvl w:val="2"/>
          <w:numId w:val="7"/>
        </w:numPr>
        <w:shd w:val="clear" w:color="auto" w:fill="D9D9D9"/>
        <w:tabs>
          <w:tab w:val="left" w:pos="426"/>
        </w:tabs>
        <w:ind w:left="426" w:hanging="426"/>
      </w:pPr>
      <w:r>
        <w:rPr>
          <w:rFonts w:ascii="Calibri" w:hAnsi="Calibri" w:cs="Calibri"/>
          <w:sz w:val="22"/>
          <w:szCs w:val="22"/>
        </w:rPr>
        <w:t>SPÔSOB OCENENIA JEDNOTLIVÝCH POLOŽIEK</w:t>
      </w:r>
    </w:p>
    <w:p w14:paraId="18E1C564" w14:textId="77777777" w:rsidR="00C616C2" w:rsidRDefault="00C616C2">
      <w:pPr>
        <w:rPr>
          <w:rFonts w:ascii="Calibri" w:hAnsi="Calibri" w:cs="Calibri"/>
          <w:i/>
          <w:sz w:val="22"/>
          <w:szCs w:val="22"/>
        </w:rPr>
      </w:pPr>
    </w:p>
    <w:p w14:paraId="285E50D7" w14:textId="77777777" w:rsidR="00C616C2" w:rsidRDefault="00C616C2">
      <w:pPr>
        <w:numPr>
          <w:ilvl w:val="0"/>
          <w:numId w:val="12"/>
        </w:numPr>
      </w:pPr>
      <w:r>
        <w:rPr>
          <w:rFonts w:ascii="Calibri" w:hAnsi="Calibri" w:cs="Calibri"/>
          <w:b/>
          <w:sz w:val="22"/>
          <w:szCs w:val="22"/>
        </w:rPr>
        <w:t>Dlhodobý nehmotný majetok obstaraný kúpou</w:t>
      </w:r>
    </w:p>
    <w:p w14:paraId="455014D5" w14:textId="77777777" w:rsidR="00C616C2" w:rsidRDefault="00C616C2">
      <w:pPr>
        <w:rPr>
          <w:rFonts w:ascii="Calibri" w:hAnsi="Calibri" w:cs="Calibri"/>
          <w:b/>
          <w:sz w:val="22"/>
          <w:szCs w:val="22"/>
        </w:rPr>
      </w:pPr>
    </w:p>
    <w:p w14:paraId="2C3C0938" w14:textId="77777777" w:rsidR="00C616C2" w:rsidRDefault="00C616C2">
      <w:r>
        <w:rPr>
          <w:rFonts w:ascii="Calibri" w:hAnsi="Calibri" w:cs="Calibri"/>
          <w:sz w:val="22"/>
          <w:szCs w:val="22"/>
        </w:rPr>
        <w:t>Dlhodobý nehmotný majetok obstaraný kúpou bol v účtovníctve ocenený v obstarávacej cene.</w:t>
      </w:r>
    </w:p>
    <w:p w14:paraId="163A7B05" w14:textId="77777777" w:rsidR="00C616C2" w:rsidRDefault="00C616C2">
      <w:pPr>
        <w:rPr>
          <w:rFonts w:ascii="Calibri" w:hAnsi="Calibri" w:cs="Calibri"/>
          <w:sz w:val="22"/>
          <w:szCs w:val="22"/>
        </w:rPr>
      </w:pPr>
    </w:p>
    <w:p w14:paraId="5C8E21D7" w14:textId="77777777" w:rsidR="00C616C2" w:rsidRDefault="00C616C2">
      <w:r>
        <w:rPr>
          <w:rFonts w:ascii="Calibri" w:hAnsi="Calibri" w:cs="Calibri"/>
          <w:sz w:val="22"/>
          <w:szCs w:val="22"/>
        </w:rPr>
        <w:t>Drobný dlhodobý nehmotný majetok do výšky 2 400 EUR je jednorazovo odpísaný do nákladov v roku obstarania majetku.</w:t>
      </w:r>
    </w:p>
    <w:p w14:paraId="53B529B1" w14:textId="77777777" w:rsidR="00C616C2" w:rsidRDefault="00C616C2">
      <w:pPr>
        <w:rPr>
          <w:rFonts w:ascii="Calibri" w:hAnsi="Calibri" w:cs="Calibri"/>
          <w:sz w:val="22"/>
          <w:szCs w:val="22"/>
        </w:rPr>
      </w:pPr>
    </w:p>
    <w:p w14:paraId="680D5D6A" w14:textId="77777777" w:rsidR="00C616C2" w:rsidRDefault="00C616C2">
      <w:pPr>
        <w:numPr>
          <w:ilvl w:val="0"/>
          <w:numId w:val="12"/>
        </w:numPr>
      </w:pPr>
      <w:r>
        <w:rPr>
          <w:rFonts w:ascii="Calibri" w:hAnsi="Calibri" w:cs="Calibri"/>
          <w:b/>
          <w:sz w:val="22"/>
          <w:szCs w:val="22"/>
        </w:rPr>
        <w:t>Dlhodobý nehmotný majetok obstaraný vlastnou činnosťou</w:t>
      </w:r>
    </w:p>
    <w:p w14:paraId="63C59DD9" w14:textId="77777777" w:rsidR="00C616C2" w:rsidRDefault="00C616C2">
      <w:pPr>
        <w:rPr>
          <w:rFonts w:ascii="Calibri" w:hAnsi="Calibri" w:cs="Calibri"/>
          <w:b/>
          <w:sz w:val="22"/>
          <w:szCs w:val="22"/>
        </w:rPr>
      </w:pPr>
    </w:p>
    <w:p w14:paraId="2F456EB7" w14:textId="77777777" w:rsidR="00C616C2" w:rsidRDefault="00C616C2">
      <w:r>
        <w:rPr>
          <w:rFonts w:ascii="Calibri" w:hAnsi="Calibri" w:cs="Calibri"/>
          <w:sz w:val="22"/>
          <w:szCs w:val="22"/>
        </w:rPr>
        <w:t>Spoločnosť nevytvára dlhodobý nehmotný</w:t>
      </w:r>
      <w:r>
        <w:rPr>
          <w:rFonts w:ascii="Calibri" w:hAnsi="Calibri" w:cs="Calibri"/>
          <w:b/>
          <w:sz w:val="22"/>
          <w:szCs w:val="22"/>
        </w:rPr>
        <w:t xml:space="preserve"> </w:t>
      </w:r>
      <w:r>
        <w:rPr>
          <w:rFonts w:ascii="Calibri" w:hAnsi="Calibri" w:cs="Calibri"/>
          <w:sz w:val="22"/>
          <w:szCs w:val="22"/>
        </w:rPr>
        <w:t>majetok vlastnou činnosťou.</w:t>
      </w:r>
    </w:p>
    <w:p w14:paraId="15B53701" w14:textId="77777777" w:rsidR="00C616C2" w:rsidRDefault="00C616C2">
      <w:pPr>
        <w:rPr>
          <w:rFonts w:ascii="Calibri" w:hAnsi="Calibri" w:cs="Calibri"/>
          <w:b/>
          <w:sz w:val="22"/>
          <w:szCs w:val="22"/>
        </w:rPr>
      </w:pPr>
    </w:p>
    <w:p w14:paraId="640BD0A4" w14:textId="77777777" w:rsidR="00C616C2" w:rsidRDefault="00C616C2">
      <w:pPr>
        <w:numPr>
          <w:ilvl w:val="0"/>
          <w:numId w:val="10"/>
        </w:numPr>
      </w:pPr>
      <w:r>
        <w:rPr>
          <w:rFonts w:ascii="Calibri" w:hAnsi="Calibri" w:cs="Calibri"/>
          <w:b/>
          <w:sz w:val="22"/>
          <w:szCs w:val="22"/>
        </w:rPr>
        <w:t>Dlhodobý nehmotný majetok obstaraný iným spôsobom</w:t>
      </w:r>
    </w:p>
    <w:p w14:paraId="34501505" w14:textId="77777777" w:rsidR="00C616C2" w:rsidRDefault="00C616C2">
      <w:pPr>
        <w:rPr>
          <w:rFonts w:ascii="Calibri" w:hAnsi="Calibri" w:cs="Calibri"/>
          <w:b/>
          <w:sz w:val="22"/>
          <w:szCs w:val="22"/>
        </w:rPr>
      </w:pPr>
    </w:p>
    <w:p w14:paraId="7F433ACD" w14:textId="77777777" w:rsidR="00C616C2" w:rsidRDefault="00C616C2">
      <w:r>
        <w:rPr>
          <w:rFonts w:ascii="Calibri" w:hAnsi="Calibri" w:cs="Calibri"/>
          <w:sz w:val="22"/>
          <w:szCs w:val="22"/>
        </w:rPr>
        <w:t>Spoločnosť neeviduje dlhodobý nehmotný</w:t>
      </w:r>
      <w:r>
        <w:rPr>
          <w:rFonts w:ascii="Calibri" w:hAnsi="Calibri" w:cs="Calibri"/>
          <w:b/>
          <w:sz w:val="22"/>
          <w:szCs w:val="22"/>
        </w:rPr>
        <w:t xml:space="preserve"> </w:t>
      </w:r>
      <w:r>
        <w:rPr>
          <w:rFonts w:ascii="Calibri" w:hAnsi="Calibri" w:cs="Calibri"/>
          <w:sz w:val="22"/>
          <w:szCs w:val="22"/>
        </w:rPr>
        <w:t>majetok obstaraný iným spôsobom.</w:t>
      </w:r>
    </w:p>
    <w:p w14:paraId="5133D072" w14:textId="77777777" w:rsidR="00C616C2" w:rsidRDefault="00C616C2">
      <w:pPr>
        <w:rPr>
          <w:rFonts w:ascii="Calibri" w:hAnsi="Calibri" w:cs="Calibri"/>
          <w:b/>
          <w:sz w:val="22"/>
          <w:szCs w:val="22"/>
        </w:rPr>
      </w:pPr>
    </w:p>
    <w:p w14:paraId="4BD07690" w14:textId="77777777" w:rsidR="00C616C2" w:rsidRDefault="00C616C2">
      <w:pPr>
        <w:numPr>
          <w:ilvl w:val="0"/>
          <w:numId w:val="10"/>
        </w:numPr>
      </w:pPr>
      <w:r>
        <w:rPr>
          <w:rFonts w:ascii="Calibri" w:hAnsi="Calibri" w:cs="Calibri"/>
          <w:b/>
          <w:sz w:val="22"/>
          <w:szCs w:val="22"/>
        </w:rPr>
        <w:t>Dlhodobý hmotný majetok obstaraný kúpou</w:t>
      </w:r>
    </w:p>
    <w:p w14:paraId="1761414A" w14:textId="77777777" w:rsidR="00C616C2" w:rsidRDefault="00C616C2">
      <w:pPr>
        <w:rPr>
          <w:rFonts w:ascii="Calibri" w:hAnsi="Calibri" w:cs="Calibri"/>
          <w:b/>
          <w:sz w:val="22"/>
          <w:szCs w:val="22"/>
        </w:rPr>
      </w:pPr>
    </w:p>
    <w:p w14:paraId="09127899" w14:textId="77777777" w:rsidR="00C616C2" w:rsidRDefault="00C616C2">
      <w:r>
        <w:rPr>
          <w:rFonts w:ascii="Calibri" w:hAnsi="Calibri" w:cs="Calibri"/>
          <w:sz w:val="22"/>
          <w:szCs w:val="22"/>
        </w:rPr>
        <w:t>Dlhodobý hmotný majetok bol v účtovníctve ocenený v obstarávacej cene. Obstarávacia cena obsahuje cenu obstarania majetku a náklady súvisiace s obstaraním, ako napríklad náklady na dopravu, poštovné, clo, províziu.</w:t>
      </w:r>
    </w:p>
    <w:p w14:paraId="24A9285A" w14:textId="77777777" w:rsidR="00C616C2" w:rsidRDefault="00C616C2">
      <w:pPr>
        <w:pStyle w:val="Hlavika"/>
        <w:tabs>
          <w:tab w:val="clear" w:pos="4536"/>
          <w:tab w:val="clear" w:pos="9072"/>
        </w:tabs>
        <w:rPr>
          <w:rFonts w:ascii="Calibri" w:hAnsi="Calibri" w:cs="Calibri"/>
          <w:sz w:val="22"/>
          <w:szCs w:val="22"/>
        </w:rPr>
      </w:pPr>
    </w:p>
    <w:p w14:paraId="087DC2F7" w14:textId="77777777" w:rsidR="00C616C2" w:rsidRDefault="00C616C2">
      <w:r>
        <w:rPr>
          <w:rFonts w:ascii="Calibri" w:hAnsi="Calibri" w:cs="Calibri"/>
          <w:sz w:val="22"/>
          <w:szCs w:val="22"/>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zvyšujú obstarávaciu cenu dlhodobého hmotného majetku. Náklady na prevádzku, údržbu a opravy sa účtujú do nákladov bežného účtovného obdobia.</w:t>
      </w:r>
    </w:p>
    <w:p w14:paraId="5BAD2F08" w14:textId="77777777" w:rsidR="00C616C2" w:rsidRDefault="00C616C2">
      <w:pPr>
        <w:pStyle w:val="Hlavika"/>
        <w:tabs>
          <w:tab w:val="clear" w:pos="4536"/>
          <w:tab w:val="clear" w:pos="9072"/>
        </w:tabs>
        <w:rPr>
          <w:rFonts w:ascii="Calibri" w:hAnsi="Calibri" w:cs="Calibri"/>
          <w:sz w:val="22"/>
          <w:szCs w:val="22"/>
        </w:rPr>
      </w:pPr>
    </w:p>
    <w:p w14:paraId="1DF233AE" w14:textId="77777777" w:rsidR="00C616C2" w:rsidRDefault="00C616C2">
      <w:r>
        <w:rPr>
          <w:rFonts w:ascii="Calibri" w:hAnsi="Calibri" w:cs="Calibri"/>
          <w:sz w:val="22"/>
          <w:szCs w:val="22"/>
        </w:rPr>
        <w:t>Dlhodobý hmotný majetok do výšky 1 700 EUR je prevažne zaradený ako dlhodobý hmotný majetok a odpisovaný v zmysle vnútropodnikovej smernice.</w:t>
      </w:r>
    </w:p>
    <w:p w14:paraId="6FB551A8" w14:textId="77777777" w:rsidR="00C616C2" w:rsidRDefault="00C616C2">
      <w:pPr>
        <w:pStyle w:val="Hlavika"/>
        <w:tabs>
          <w:tab w:val="clear" w:pos="4536"/>
          <w:tab w:val="clear" w:pos="9072"/>
        </w:tabs>
        <w:rPr>
          <w:rFonts w:ascii="Calibri" w:hAnsi="Calibri" w:cs="Calibri"/>
          <w:sz w:val="22"/>
          <w:szCs w:val="22"/>
        </w:rPr>
      </w:pPr>
    </w:p>
    <w:p w14:paraId="1A0A83C2" w14:textId="77777777" w:rsidR="00C616C2" w:rsidRDefault="00C616C2">
      <w:pPr>
        <w:numPr>
          <w:ilvl w:val="0"/>
          <w:numId w:val="10"/>
        </w:numPr>
      </w:pPr>
      <w:r>
        <w:rPr>
          <w:rFonts w:ascii="Calibri" w:hAnsi="Calibri" w:cs="Calibri"/>
          <w:b/>
          <w:sz w:val="22"/>
          <w:szCs w:val="22"/>
        </w:rPr>
        <w:t>Dlhodobý hmotný majetok obstaraný vlastnou činnosťou</w:t>
      </w:r>
    </w:p>
    <w:p w14:paraId="206D6858" w14:textId="77777777" w:rsidR="00C616C2" w:rsidRDefault="00C616C2">
      <w:pPr>
        <w:rPr>
          <w:rFonts w:ascii="Calibri" w:hAnsi="Calibri" w:cs="Calibri"/>
          <w:b/>
          <w:sz w:val="22"/>
          <w:szCs w:val="22"/>
        </w:rPr>
      </w:pPr>
    </w:p>
    <w:p w14:paraId="2048BAA8" w14:textId="77777777" w:rsidR="00C616C2" w:rsidRDefault="00C616C2">
      <w:r>
        <w:rPr>
          <w:rFonts w:ascii="Calibri" w:hAnsi="Calibri" w:cs="Calibri"/>
          <w:sz w:val="22"/>
          <w:szCs w:val="22"/>
        </w:rPr>
        <w:t>Spoločnosť nevytvára dlhodobý hmotný majetok vlastnou činnosťou.</w:t>
      </w:r>
    </w:p>
    <w:p w14:paraId="212D8BD6" w14:textId="77777777" w:rsidR="00C616C2" w:rsidRDefault="00C616C2">
      <w:pPr>
        <w:rPr>
          <w:rFonts w:ascii="Calibri" w:hAnsi="Calibri" w:cs="Calibri"/>
          <w:sz w:val="22"/>
          <w:szCs w:val="22"/>
        </w:rPr>
      </w:pPr>
    </w:p>
    <w:p w14:paraId="6B5A4B2F" w14:textId="77777777" w:rsidR="00C616C2" w:rsidRDefault="00C616C2">
      <w:pPr>
        <w:numPr>
          <w:ilvl w:val="0"/>
          <w:numId w:val="10"/>
        </w:numPr>
      </w:pPr>
      <w:r>
        <w:rPr>
          <w:rFonts w:ascii="Calibri" w:hAnsi="Calibri" w:cs="Calibri"/>
          <w:b/>
          <w:sz w:val="22"/>
          <w:szCs w:val="22"/>
        </w:rPr>
        <w:t>Dlhodobý hmotný majetok obstaraný iným spôsobom</w:t>
      </w:r>
    </w:p>
    <w:p w14:paraId="02033DFE" w14:textId="77777777" w:rsidR="00C616C2" w:rsidRDefault="00C616C2">
      <w:pPr>
        <w:rPr>
          <w:rFonts w:ascii="Calibri" w:hAnsi="Calibri" w:cs="Calibri"/>
          <w:b/>
          <w:sz w:val="22"/>
          <w:szCs w:val="22"/>
        </w:rPr>
      </w:pPr>
    </w:p>
    <w:p w14:paraId="516DECC0" w14:textId="77777777" w:rsidR="00C616C2" w:rsidRDefault="00C616C2">
      <w:r>
        <w:rPr>
          <w:rFonts w:ascii="Calibri" w:hAnsi="Calibri" w:cs="Calibri"/>
          <w:sz w:val="22"/>
          <w:szCs w:val="22"/>
        </w:rPr>
        <w:lastRenderedPageBreak/>
        <w:t>Spoločnosť neeviduje dlhodobý hmotný</w:t>
      </w:r>
      <w:r>
        <w:rPr>
          <w:rFonts w:ascii="Calibri" w:hAnsi="Calibri" w:cs="Calibri"/>
          <w:b/>
          <w:sz w:val="22"/>
          <w:szCs w:val="22"/>
        </w:rPr>
        <w:t xml:space="preserve"> </w:t>
      </w:r>
      <w:r>
        <w:rPr>
          <w:rFonts w:ascii="Calibri" w:hAnsi="Calibri" w:cs="Calibri"/>
          <w:sz w:val="22"/>
          <w:szCs w:val="22"/>
        </w:rPr>
        <w:t>majetok obstaraný iným spôsobom.</w:t>
      </w:r>
    </w:p>
    <w:p w14:paraId="0120536E" w14:textId="77777777" w:rsidR="00C616C2" w:rsidRDefault="00C616C2">
      <w:pPr>
        <w:pStyle w:val="Hlavika"/>
        <w:tabs>
          <w:tab w:val="clear" w:pos="4536"/>
          <w:tab w:val="clear" w:pos="9072"/>
        </w:tabs>
        <w:rPr>
          <w:rFonts w:ascii="Calibri" w:hAnsi="Calibri" w:cs="Calibri"/>
          <w:sz w:val="22"/>
          <w:szCs w:val="22"/>
        </w:rPr>
      </w:pPr>
    </w:p>
    <w:p w14:paraId="502D46A0" w14:textId="77777777" w:rsidR="00C616C2" w:rsidRDefault="00C616C2">
      <w:pPr>
        <w:numPr>
          <w:ilvl w:val="0"/>
          <w:numId w:val="10"/>
        </w:numPr>
      </w:pPr>
      <w:r>
        <w:rPr>
          <w:rFonts w:ascii="Calibri" w:hAnsi="Calibri" w:cs="Calibri"/>
          <w:b/>
          <w:sz w:val="22"/>
          <w:szCs w:val="22"/>
        </w:rPr>
        <w:t>Dlhodobý finančný majetok</w:t>
      </w:r>
    </w:p>
    <w:p w14:paraId="73FB53A5" w14:textId="77777777" w:rsidR="00C616C2" w:rsidRDefault="00C616C2">
      <w:pPr>
        <w:rPr>
          <w:rFonts w:ascii="Calibri" w:hAnsi="Calibri" w:cs="Calibri"/>
          <w:b/>
          <w:sz w:val="22"/>
          <w:szCs w:val="22"/>
        </w:rPr>
      </w:pPr>
    </w:p>
    <w:p w14:paraId="0BC4DF59" w14:textId="77777777" w:rsidR="00C616C2" w:rsidRDefault="00C616C2">
      <w:r>
        <w:rPr>
          <w:rFonts w:ascii="Calibri" w:hAnsi="Calibri" w:cs="Calibri"/>
          <w:sz w:val="22"/>
          <w:szCs w:val="22"/>
        </w:rPr>
        <w:t>Finančný majetok je klasifikovaný ako dlhodobý finančný majetok, ak je jeho doba splatnosti alebo vyrovnania iným spôsobom dlhšia ako 1 rok.</w:t>
      </w:r>
      <w:r>
        <w:rPr>
          <w:rFonts w:ascii="Calibri" w:hAnsi="Calibri" w:cs="Calibri"/>
          <w:color w:val="0000FF"/>
          <w:sz w:val="22"/>
          <w:szCs w:val="22"/>
        </w:rPr>
        <w:t xml:space="preserve"> </w:t>
      </w:r>
      <w:r>
        <w:rPr>
          <w:rFonts w:ascii="Calibri" w:hAnsi="Calibri" w:cs="Calibri"/>
          <w:sz w:val="22"/>
          <w:szCs w:val="22"/>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14:paraId="1AB91D4B" w14:textId="77777777" w:rsidR="00C616C2" w:rsidRDefault="00C616C2">
      <w:pPr>
        <w:rPr>
          <w:rFonts w:ascii="Calibri" w:hAnsi="Calibri" w:cs="Calibri"/>
          <w:sz w:val="22"/>
          <w:szCs w:val="22"/>
        </w:rPr>
      </w:pPr>
    </w:p>
    <w:p w14:paraId="4AA5966B" w14:textId="77777777" w:rsidR="00C616C2" w:rsidRDefault="00C616C2">
      <w:r>
        <w:rPr>
          <w:rFonts w:ascii="Calibri" w:hAnsi="Calibri" w:cs="Calibri"/>
          <w:sz w:val="22"/>
          <w:szCs w:val="22"/>
        </w:rPr>
        <w:t>Podiely v dcérskych účtovných jednotkách alebo v účtovnej jednotke s podielovou účasťou sa oceňujú metódou vlastného imania.</w:t>
      </w:r>
    </w:p>
    <w:p w14:paraId="4D886E59" w14:textId="77777777" w:rsidR="00C616C2" w:rsidRDefault="00C616C2">
      <w:pPr>
        <w:rPr>
          <w:rFonts w:ascii="Calibri" w:hAnsi="Calibri" w:cs="Calibri"/>
          <w:sz w:val="22"/>
          <w:szCs w:val="22"/>
        </w:rPr>
      </w:pPr>
    </w:p>
    <w:p w14:paraId="05FE2041" w14:textId="77777777" w:rsidR="00C616C2" w:rsidRDefault="00C616C2">
      <w:r>
        <w:rPr>
          <w:rFonts w:ascii="Calibri" w:hAnsi="Calibri" w:cs="Calibri"/>
          <w:sz w:val="22"/>
          <w:szCs w:val="22"/>
        </w:rPr>
        <w:t xml:space="preserve">Dlhodobý finančný majetok je evidovaný v obstarávacej cene. Obstarávacia cena obsahuje cenu obstarania majetku a náklady súvisiace s obstaraním. </w:t>
      </w:r>
    </w:p>
    <w:p w14:paraId="012821E1" w14:textId="77777777" w:rsidR="00C616C2" w:rsidRDefault="00C616C2">
      <w:pPr>
        <w:rPr>
          <w:rFonts w:ascii="Calibri" w:hAnsi="Calibri" w:cs="Calibri"/>
          <w:sz w:val="22"/>
          <w:szCs w:val="22"/>
        </w:rPr>
      </w:pPr>
    </w:p>
    <w:p w14:paraId="7BA8540E" w14:textId="77777777" w:rsidR="00C616C2" w:rsidRDefault="00C616C2">
      <w:pPr>
        <w:pStyle w:val="Hlavika"/>
        <w:tabs>
          <w:tab w:val="clear" w:pos="4536"/>
          <w:tab w:val="clear" w:pos="9072"/>
        </w:tabs>
      </w:pPr>
      <w:r>
        <w:rPr>
          <w:rFonts w:ascii="Calibri" w:hAnsi="Calibri" w:cs="Calibri"/>
          <w:sz w:val="22"/>
          <w:szCs w:val="22"/>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14:paraId="03AD9A72" w14:textId="77777777" w:rsidR="00C616C2" w:rsidRDefault="00C616C2">
      <w:pPr>
        <w:pStyle w:val="Hlavika"/>
        <w:tabs>
          <w:tab w:val="clear" w:pos="4536"/>
          <w:tab w:val="clear" w:pos="9072"/>
        </w:tabs>
        <w:rPr>
          <w:rFonts w:ascii="Calibri" w:hAnsi="Calibri" w:cs="Calibri"/>
          <w:sz w:val="22"/>
          <w:szCs w:val="22"/>
        </w:rPr>
      </w:pPr>
    </w:p>
    <w:p w14:paraId="360AC215" w14:textId="77777777" w:rsidR="00C616C2" w:rsidRDefault="00C616C2">
      <w:pPr>
        <w:numPr>
          <w:ilvl w:val="0"/>
          <w:numId w:val="4"/>
        </w:numPr>
      </w:pPr>
      <w:r>
        <w:rPr>
          <w:rFonts w:ascii="Calibri" w:hAnsi="Calibri" w:cs="Calibri"/>
          <w:b/>
          <w:sz w:val="22"/>
          <w:szCs w:val="22"/>
        </w:rPr>
        <w:t>Zásoby obstarané kúpou</w:t>
      </w:r>
    </w:p>
    <w:p w14:paraId="55C48215" w14:textId="77777777" w:rsidR="00C616C2" w:rsidRDefault="00C616C2">
      <w:pPr>
        <w:rPr>
          <w:rFonts w:ascii="Calibri" w:hAnsi="Calibri" w:cs="Calibri"/>
          <w:b/>
          <w:sz w:val="22"/>
          <w:szCs w:val="22"/>
        </w:rPr>
      </w:pPr>
    </w:p>
    <w:p w14:paraId="6EBF5364" w14:textId="77777777" w:rsidR="00C616C2" w:rsidRDefault="00C616C2">
      <w:r>
        <w:rPr>
          <w:rFonts w:ascii="Calibri" w:hAnsi="Calibri" w:cs="Calibri"/>
          <w:sz w:val="22"/>
          <w:szCs w:val="22"/>
        </w:rPr>
        <w:t>Zásoby spoločnosti sú ocenené obstarávacími cenami, ktorých súčasťou je cena obstarania a náklady súvisiace s obstaraním. Náklady súvisiace s obstaraním predstavovali prepravné, clo, balné, a pod.</w:t>
      </w:r>
    </w:p>
    <w:p w14:paraId="3CEF1585" w14:textId="77777777" w:rsidR="00C616C2" w:rsidRDefault="00C616C2">
      <w:pPr>
        <w:rPr>
          <w:rFonts w:ascii="Calibri" w:hAnsi="Calibri" w:cs="Calibri"/>
          <w:sz w:val="22"/>
          <w:szCs w:val="22"/>
        </w:rPr>
      </w:pPr>
    </w:p>
    <w:p w14:paraId="3B196243" w14:textId="77777777" w:rsidR="00C616C2" w:rsidRDefault="00C616C2">
      <w:pPr>
        <w:pStyle w:val="Zkladntext"/>
      </w:pPr>
      <w:r>
        <w:rPr>
          <w:rFonts w:ascii="Calibri" w:hAnsi="Calibri" w:cs="Calibri"/>
          <w:sz w:val="22"/>
          <w:szCs w:val="22"/>
        </w:rPr>
        <w:t xml:space="preserve">Spoločnosť účtuje o obstaraní a úbytku zásob podľa </w:t>
      </w:r>
      <w:r>
        <w:rPr>
          <w:rFonts w:ascii="Calibri" w:hAnsi="Calibri" w:cs="Calibri"/>
          <w:color w:val="000000"/>
          <w:sz w:val="22"/>
          <w:szCs w:val="22"/>
        </w:rPr>
        <w:t>spôsobu A</w:t>
      </w:r>
      <w:r>
        <w:rPr>
          <w:rFonts w:ascii="Calibri" w:hAnsi="Calibri" w:cs="Calibri"/>
          <w:sz w:val="22"/>
          <w:szCs w:val="22"/>
        </w:rPr>
        <w:t>.</w:t>
      </w:r>
    </w:p>
    <w:p w14:paraId="57DB811A" w14:textId="77777777" w:rsidR="00C616C2" w:rsidRDefault="00C616C2">
      <w:pPr>
        <w:pStyle w:val="Zkladntext"/>
        <w:rPr>
          <w:rFonts w:ascii="Calibri" w:hAnsi="Calibri" w:cs="Calibri"/>
          <w:sz w:val="22"/>
          <w:szCs w:val="22"/>
        </w:rPr>
      </w:pPr>
    </w:p>
    <w:p w14:paraId="1AF49757" w14:textId="77777777" w:rsidR="00C616C2" w:rsidRDefault="00C616C2">
      <w:pPr>
        <w:pStyle w:val="Zkladntext"/>
      </w:pPr>
      <w:r>
        <w:rPr>
          <w:rFonts w:ascii="Calibri" w:hAnsi="Calibri" w:cs="Calibri"/>
          <w:sz w:val="22"/>
          <w:szCs w:val="22"/>
        </w:rPr>
        <w:t>Pri vyskladnení zásob sa používa metóda váženého aritmetického priemeru.</w:t>
      </w:r>
    </w:p>
    <w:p w14:paraId="345EB6BA" w14:textId="77777777" w:rsidR="00C616C2" w:rsidRDefault="00C616C2">
      <w:pPr>
        <w:rPr>
          <w:rFonts w:ascii="Calibri" w:hAnsi="Calibri" w:cs="Calibri"/>
          <w:b/>
          <w:sz w:val="22"/>
          <w:szCs w:val="22"/>
        </w:rPr>
      </w:pPr>
    </w:p>
    <w:p w14:paraId="3094DA68" w14:textId="77777777" w:rsidR="00C616C2" w:rsidRDefault="00C616C2">
      <w:pPr>
        <w:numPr>
          <w:ilvl w:val="0"/>
          <w:numId w:val="4"/>
        </w:numPr>
      </w:pPr>
      <w:r>
        <w:rPr>
          <w:rFonts w:ascii="Calibri" w:hAnsi="Calibri" w:cs="Calibri"/>
          <w:b/>
          <w:sz w:val="22"/>
          <w:szCs w:val="22"/>
        </w:rPr>
        <w:t>Zásoby vytvorené vlastnou činnosťou</w:t>
      </w:r>
    </w:p>
    <w:p w14:paraId="598BA3A4" w14:textId="77777777" w:rsidR="00C616C2" w:rsidRDefault="00C616C2">
      <w:pPr>
        <w:rPr>
          <w:rFonts w:ascii="Calibri" w:hAnsi="Calibri" w:cs="Calibri"/>
          <w:b/>
          <w:sz w:val="22"/>
          <w:szCs w:val="22"/>
        </w:rPr>
      </w:pPr>
    </w:p>
    <w:p w14:paraId="5D11BEF1" w14:textId="77777777" w:rsidR="00C616C2" w:rsidRDefault="00C616C2">
      <w:r>
        <w:rPr>
          <w:rFonts w:ascii="Calibri" w:hAnsi="Calibri" w:cs="Calibri"/>
          <w:sz w:val="22"/>
          <w:szCs w:val="22"/>
        </w:rPr>
        <w:t>Spoločnosť neúčtovala o zásobách vytvorených vlastnou činnosťou.</w:t>
      </w:r>
    </w:p>
    <w:p w14:paraId="0CD700C4" w14:textId="77777777" w:rsidR="00C616C2" w:rsidRDefault="00C616C2">
      <w:pPr>
        <w:rPr>
          <w:rFonts w:ascii="Calibri" w:hAnsi="Calibri" w:cs="Calibri"/>
          <w:sz w:val="22"/>
          <w:szCs w:val="22"/>
        </w:rPr>
      </w:pPr>
    </w:p>
    <w:p w14:paraId="2F45112F" w14:textId="77777777" w:rsidR="00C616C2" w:rsidRDefault="00C616C2">
      <w:pPr>
        <w:numPr>
          <w:ilvl w:val="0"/>
          <w:numId w:val="4"/>
        </w:numPr>
      </w:pPr>
      <w:r>
        <w:rPr>
          <w:rFonts w:ascii="Calibri" w:hAnsi="Calibri" w:cs="Calibri"/>
          <w:b/>
          <w:sz w:val="22"/>
          <w:szCs w:val="22"/>
        </w:rPr>
        <w:t>Zásoby obstarané iným spôsobom</w:t>
      </w:r>
    </w:p>
    <w:p w14:paraId="07B0F179" w14:textId="77777777" w:rsidR="00C616C2" w:rsidRDefault="00C616C2">
      <w:pPr>
        <w:rPr>
          <w:rFonts w:ascii="Calibri" w:hAnsi="Calibri" w:cs="Calibri"/>
          <w:b/>
          <w:sz w:val="22"/>
          <w:szCs w:val="22"/>
        </w:rPr>
      </w:pPr>
    </w:p>
    <w:p w14:paraId="2A2C67AE" w14:textId="77777777" w:rsidR="00C616C2" w:rsidRDefault="00C616C2">
      <w:r>
        <w:rPr>
          <w:rFonts w:ascii="Calibri" w:hAnsi="Calibri" w:cs="Calibri"/>
          <w:sz w:val="22"/>
          <w:szCs w:val="22"/>
        </w:rPr>
        <w:t>Spoločnosť neeviduje zásoby obstarané iným spôsobom.</w:t>
      </w:r>
    </w:p>
    <w:p w14:paraId="049244F2" w14:textId="77777777" w:rsidR="00C616C2" w:rsidRDefault="00C616C2">
      <w:pPr>
        <w:rPr>
          <w:rFonts w:ascii="Calibri" w:hAnsi="Calibri" w:cs="Calibri"/>
          <w:sz w:val="22"/>
          <w:szCs w:val="22"/>
        </w:rPr>
      </w:pPr>
    </w:p>
    <w:p w14:paraId="7A6BBD5F" w14:textId="77777777" w:rsidR="00C616C2" w:rsidRDefault="00C616C2">
      <w:pPr>
        <w:numPr>
          <w:ilvl w:val="0"/>
          <w:numId w:val="4"/>
        </w:numPr>
      </w:pPr>
      <w:r>
        <w:rPr>
          <w:rFonts w:ascii="Calibri" w:hAnsi="Calibri" w:cs="Calibri"/>
          <w:b/>
          <w:sz w:val="22"/>
          <w:szCs w:val="22"/>
        </w:rPr>
        <w:t>Zákazková výroba a zákazková výstavba nehnuteľnosti určenej na predaj.</w:t>
      </w:r>
    </w:p>
    <w:p w14:paraId="124CCDF7" w14:textId="77777777" w:rsidR="00C616C2" w:rsidRDefault="00C616C2">
      <w:pPr>
        <w:rPr>
          <w:rFonts w:ascii="Calibri" w:hAnsi="Calibri" w:cs="Calibri"/>
          <w:b/>
          <w:sz w:val="22"/>
          <w:szCs w:val="22"/>
        </w:rPr>
      </w:pPr>
    </w:p>
    <w:p w14:paraId="2786384D" w14:textId="77777777" w:rsidR="00C616C2" w:rsidRDefault="00C616C2">
      <w:r>
        <w:rPr>
          <w:rFonts w:ascii="Calibri" w:hAnsi="Calibri" w:cs="Calibri"/>
          <w:color w:val="000000"/>
          <w:sz w:val="22"/>
          <w:szCs w:val="22"/>
        </w:rPr>
        <w:t>Spoločnosť neúčtuje o zákazkovej výrobe.</w:t>
      </w:r>
    </w:p>
    <w:p w14:paraId="632AA4F5" w14:textId="77777777" w:rsidR="00C616C2" w:rsidRDefault="00C616C2">
      <w:pPr>
        <w:rPr>
          <w:rFonts w:ascii="Calibri" w:hAnsi="Calibri" w:cs="Calibri"/>
          <w:color w:val="000000"/>
          <w:sz w:val="22"/>
          <w:szCs w:val="22"/>
        </w:rPr>
      </w:pPr>
    </w:p>
    <w:p w14:paraId="760733AD" w14:textId="77777777" w:rsidR="00C616C2" w:rsidRDefault="00C616C2">
      <w:pPr>
        <w:numPr>
          <w:ilvl w:val="0"/>
          <w:numId w:val="4"/>
        </w:numPr>
      </w:pPr>
      <w:r>
        <w:rPr>
          <w:rFonts w:ascii="Calibri" w:eastAsia="Calibri" w:hAnsi="Calibri" w:cs="Calibri"/>
          <w:b/>
          <w:sz w:val="22"/>
          <w:szCs w:val="22"/>
        </w:rPr>
        <w:t xml:space="preserve"> </w:t>
      </w:r>
      <w:r>
        <w:rPr>
          <w:rFonts w:ascii="Calibri" w:hAnsi="Calibri" w:cs="Calibri"/>
          <w:b/>
          <w:sz w:val="22"/>
          <w:szCs w:val="22"/>
        </w:rPr>
        <w:t>Pohľadávky</w:t>
      </w:r>
    </w:p>
    <w:p w14:paraId="0D566A8A" w14:textId="77777777" w:rsidR="00C616C2" w:rsidRDefault="00C616C2">
      <w:pPr>
        <w:rPr>
          <w:rFonts w:ascii="Calibri" w:hAnsi="Calibri" w:cs="Calibri"/>
          <w:b/>
          <w:sz w:val="22"/>
          <w:szCs w:val="22"/>
        </w:rPr>
      </w:pPr>
    </w:p>
    <w:p w14:paraId="4741D8D2" w14:textId="77777777" w:rsidR="00C616C2" w:rsidRDefault="00C616C2">
      <w:r>
        <w:rPr>
          <w:rFonts w:ascii="Calibri" w:hAnsi="Calibri" w:cs="Calibri"/>
          <w:sz w:val="22"/>
          <w:szCs w:val="22"/>
        </w:rPr>
        <w:t>Pohľadávky sú v účtovníctve ocenené ich menovitou hodnotou. V prípade pochybných a sporných pohľadávok spoločnosť vytvára adekvátnu</w:t>
      </w:r>
      <w:r>
        <w:rPr>
          <w:rFonts w:ascii="Calibri" w:hAnsi="Calibri" w:cs="Calibri"/>
          <w:b/>
          <w:sz w:val="22"/>
          <w:szCs w:val="22"/>
        </w:rPr>
        <w:t xml:space="preserve"> </w:t>
      </w:r>
      <w:r>
        <w:rPr>
          <w:rFonts w:ascii="Calibri" w:hAnsi="Calibri" w:cs="Calibri"/>
          <w:sz w:val="22"/>
          <w:szCs w:val="22"/>
        </w:rPr>
        <w:t>opravnú položku k pohľadávkam.</w:t>
      </w:r>
    </w:p>
    <w:p w14:paraId="4427BBF7" w14:textId="77777777" w:rsidR="00C616C2" w:rsidRDefault="00C616C2">
      <w:pPr>
        <w:rPr>
          <w:rFonts w:ascii="Calibri" w:hAnsi="Calibri" w:cs="Calibri"/>
          <w:sz w:val="22"/>
          <w:szCs w:val="22"/>
        </w:rPr>
      </w:pPr>
    </w:p>
    <w:p w14:paraId="4362DE1A" w14:textId="77777777" w:rsidR="00C616C2" w:rsidRDefault="00C616C2">
      <w:r>
        <w:rPr>
          <w:rFonts w:ascii="Calibri" w:hAnsi="Calibri" w:cs="Calibri"/>
          <w:sz w:val="22"/>
          <w:szCs w:val="22"/>
        </w:rPr>
        <w:lastRenderedPageBreak/>
        <w:t>Pri dlhodobých pohľadávkach je opravnou položkou upravená hodnota pohľadávky na jej hodnotu v čase účtovania a vykazovania (súčasná hodnota).</w:t>
      </w:r>
    </w:p>
    <w:p w14:paraId="42EF7073" w14:textId="77777777" w:rsidR="00C616C2" w:rsidRDefault="00C616C2">
      <w:pPr>
        <w:rPr>
          <w:rFonts w:ascii="Calibri" w:hAnsi="Calibri" w:cs="Calibri"/>
          <w:sz w:val="22"/>
          <w:szCs w:val="22"/>
        </w:rPr>
      </w:pPr>
    </w:p>
    <w:p w14:paraId="76B9BFEB" w14:textId="77777777" w:rsidR="00C616C2" w:rsidRDefault="00C616C2">
      <w:pPr>
        <w:numPr>
          <w:ilvl w:val="0"/>
          <w:numId w:val="4"/>
        </w:numPr>
      </w:pPr>
      <w:r>
        <w:rPr>
          <w:rFonts w:ascii="Calibri" w:hAnsi="Calibri" w:cs="Calibri"/>
          <w:b/>
          <w:sz w:val="22"/>
          <w:szCs w:val="22"/>
        </w:rPr>
        <w:t>Krátkodobý finančný majetok</w:t>
      </w:r>
    </w:p>
    <w:p w14:paraId="4F0499E6" w14:textId="77777777" w:rsidR="00C616C2" w:rsidRDefault="00C616C2">
      <w:pPr>
        <w:rPr>
          <w:rFonts w:ascii="Calibri" w:hAnsi="Calibri" w:cs="Calibri"/>
          <w:b/>
          <w:sz w:val="22"/>
          <w:szCs w:val="22"/>
        </w:rPr>
      </w:pPr>
    </w:p>
    <w:p w14:paraId="7E90EC62" w14:textId="77777777" w:rsidR="00C616C2" w:rsidRDefault="00C616C2">
      <w:r>
        <w:rPr>
          <w:rFonts w:ascii="Calibri" w:hAnsi="Calibri" w:cs="Calibri"/>
          <w:sz w:val="22"/>
          <w:szCs w:val="22"/>
        </w:rPr>
        <w:t>Peňažné prostriedky a ceniny sú ocenené v ich menovitej hodnote.</w:t>
      </w:r>
    </w:p>
    <w:p w14:paraId="18C97805" w14:textId="77777777" w:rsidR="00C616C2" w:rsidRDefault="00C616C2">
      <w:pPr>
        <w:rPr>
          <w:rFonts w:ascii="Calibri" w:hAnsi="Calibri" w:cs="Calibri"/>
          <w:b/>
          <w:sz w:val="22"/>
          <w:szCs w:val="22"/>
        </w:rPr>
      </w:pPr>
    </w:p>
    <w:p w14:paraId="040E1A95" w14:textId="77777777" w:rsidR="00C616C2" w:rsidRDefault="00C616C2">
      <w:pPr>
        <w:numPr>
          <w:ilvl w:val="0"/>
          <w:numId w:val="4"/>
        </w:numPr>
      </w:pPr>
      <w:r>
        <w:rPr>
          <w:rFonts w:ascii="Calibri" w:hAnsi="Calibri" w:cs="Calibri"/>
          <w:b/>
          <w:sz w:val="22"/>
          <w:szCs w:val="22"/>
        </w:rPr>
        <w:t>Časové rozlíšenie na strane aktív súvahy</w:t>
      </w:r>
    </w:p>
    <w:p w14:paraId="2C1E7389" w14:textId="77777777" w:rsidR="00C616C2" w:rsidRDefault="00C616C2">
      <w:pPr>
        <w:rPr>
          <w:rFonts w:ascii="Calibri" w:hAnsi="Calibri" w:cs="Calibri"/>
          <w:b/>
          <w:sz w:val="22"/>
          <w:szCs w:val="22"/>
        </w:rPr>
      </w:pPr>
    </w:p>
    <w:p w14:paraId="27432B75" w14:textId="77777777" w:rsidR="00C616C2" w:rsidRDefault="00C616C2">
      <w:r>
        <w:rPr>
          <w:rFonts w:ascii="Calibri" w:hAnsi="Calibri" w:cs="Calibri"/>
          <w:sz w:val="22"/>
          <w:szCs w:val="22"/>
        </w:rPr>
        <w:t>Spoločnosť účtuje na účtoch časového rozlíšenia v súlade so zásadou o účtovaní nákladov a výnosov do obdobia, s ktorým časovo a vecne súvisia</w:t>
      </w:r>
    </w:p>
    <w:p w14:paraId="56E6F56E" w14:textId="77777777" w:rsidR="00C616C2" w:rsidRDefault="00C616C2">
      <w:pPr>
        <w:rPr>
          <w:rFonts w:ascii="Calibri" w:hAnsi="Calibri" w:cs="Calibri"/>
          <w:b/>
          <w:sz w:val="22"/>
          <w:szCs w:val="22"/>
        </w:rPr>
      </w:pPr>
    </w:p>
    <w:p w14:paraId="75625333" w14:textId="77777777" w:rsidR="00C616C2" w:rsidRDefault="00C616C2">
      <w:pPr>
        <w:numPr>
          <w:ilvl w:val="0"/>
          <w:numId w:val="4"/>
        </w:numPr>
      </w:pPr>
      <w:r>
        <w:rPr>
          <w:rFonts w:ascii="Calibri" w:hAnsi="Calibri" w:cs="Calibri"/>
          <w:b/>
          <w:sz w:val="22"/>
          <w:szCs w:val="22"/>
        </w:rPr>
        <w:t>Rezervy</w:t>
      </w:r>
    </w:p>
    <w:p w14:paraId="581ECE5A" w14:textId="77777777" w:rsidR="00C616C2" w:rsidRDefault="00C616C2">
      <w:pPr>
        <w:rPr>
          <w:rFonts w:ascii="Calibri" w:hAnsi="Calibri" w:cs="Calibri"/>
          <w:b/>
          <w:sz w:val="22"/>
          <w:szCs w:val="22"/>
        </w:rPr>
      </w:pPr>
    </w:p>
    <w:p w14:paraId="30DF323B" w14:textId="77777777" w:rsidR="00C616C2" w:rsidRDefault="00C616C2">
      <w:pPr>
        <w:spacing w:after="120"/>
      </w:pPr>
      <w:r>
        <w:rPr>
          <w:rFonts w:ascii="Calibri" w:hAnsi="Calibri" w:cs="Calibri"/>
          <w:sz w:val="22"/>
          <w:szCs w:val="22"/>
        </w:rPr>
        <w:t xml:space="preserve">Spoločnosť tvorí rezervy (§26 Zákona 431/2002 </w:t>
      </w:r>
      <w:proofErr w:type="spellStart"/>
      <w:r>
        <w:rPr>
          <w:rFonts w:ascii="Calibri" w:hAnsi="Calibri" w:cs="Calibri"/>
          <w:sz w:val="22"/>
          <w:szCs w:val="22"/>
        </w:rPr>
        <w:t>Z.z</w:t>
      </w:r>
      <w:proofErr w:type="spellEnd"/>
      <w:r>
        <w:rPr>
          <w:rFonts w:ascii="Calibri" w:hAnsi="Calibri" w:cs="Calibri"/>
          <w:sz w:val="22"/>
          <w:szCs w:val="22"/>
        </w:rPr>
        <w:t>. o účtovníctve) na predpokladané riziká, straty a zníženia hodnoty súvisiace so záväzkami s neurčitým časovým vymedzením alebo výškou.</w:t>
      </w:r>
    </w:p>
    <w:p w14:paraId="7D96CB9C" w14:textId="77777777" w:rsidR="00C616C2" w:rsidRDefault="00C616C2">
      <w:pPr>
        <w:numPr>
          <w:ilvl w:val="0"/>
          <w:numId w:val="4"/>
        </w:numPr>
      </w:pPr>
      <w:r>
        <w:rPr>
          <w:rFonts w:ascii="Calibri" w:hAnsi="Calibri" w:cs="Calibri"/>
          <w:b/>
          <w:sz w:val="22"/>
          <w:szCs w:val="22"/>
        </w:rPr>
        <w:t>Dlhopisy</w:t>
      </w:r>
    </w:p>
    <w:p w14:paraId="1D0E1922" w14:textId="77777777" w:rsidR="00C616C2" w:rsidRDefault="00C616C2">
      <w:pPr>
        <w:rPr>
          <w:rFonts w:ascii="Calibri" w:hAnsi="Calibri" w:cs="Calibri"/>
          <w:b/>
          <w:sz w:val="22"/>
          <w:szCs w:val="22"/>
        </w:rPr>
      </w:pPr>
    </w:p>
    <w:p w14:paraId="40E6F1C3" w14:textId="77777777" w:rsidR="00C616C2" w:rsidRDefault="00C616C2">
      <w:r>
        <w:rPr>
          <w:rFonts w:ascii="Calibri" w:hAnsi="Calibri" w:cs="Calibri"/>
          <w:sz w:val="22"/>
          <w:szCs w:val="22"/>
        </w:rPr>
        <w:t>Spoločnosť neeviduje dlhopisy.</w:t>
      </w:r>
    </w:p>
    <w:p w14:paraId="76D59975" w14:textId="77777777" w:rsidR="00C616C2" w:rsidRDefault="00C616C2">
      <w:pPr>
        <w:rPr>
          <w:rFonts w:ascii="Calibri" w:hAnsi="Calibri" w:cs="Calibri"/>
          <w:i/>
          <w:color w:val="0000FF"/>
          <w:sz w:val="22"/>
          <w:szCs w:val="22"/>
        </w:rPr>
      </w:pPr>
    </w:p>
    <w:p w14:paraId="7B6D129D" w14:textId="77777777" w:rsidR="00C616C2" w:rsidRDefault="00C616C2">
      <w:pPr>
        <w:rPr>
          <w:rFonts w:ascii="Calibri" w:hAnsi="Calibri" w:cs="Calibri"/>
          <w:b/>
          <w:i/>
          <w:color w:val="0000FF"/>
          <w:sz w:val="22"/>
          <w:szCs w:val="22"/>
        </w:rPr>
      </w:pPr>
    </w:p>
    <w:p w14:paraId="22700DA5" w14:textId="77777777" w:rsidR="00C616C2" w:rsidRDefault="00C616C2">
      <w:pPr>
        <w:numPr>
          <w:ilvl w:val="0"/>
          <w:numId w:val="4"/>
        </w:numPr>
      </w:pPr>
      <w:r>
        <w:rPr>
          <w:rFonts w:ascii="Calibri" w:hAnsi="Calibri" w:cs="Calibri"/>
          <w:b/>
          <w:sz w:val="22"/>
          <w:szCs w:val="22"/>
        </w:rPr>
        <w:t>Záväzky</w:t>
      </w:r>
    </w:p>
    <w:p w14:paraId="3FC8291D" w14:textId="77777777" w:rsidR="00C616C2" w:rsidRDefault="00C616C2">
      <w:pPr>
        <w:rPr>
          <w:rFonts w:ascii="Calibri" w:hAnsi="Calibri" w:cs="Calibri"/>
          <w:b/>
          <w:sz w:val="22"/>
          <w:szCs w:val="22"/>
        </w:rPr>
      </w:pPr>
    </w:p>
    <w:p w14:paraId="7CDE23E2" w14:textId="77777777" w:rsidR="00C616C2" w:rsidRDefault="00C616C2">
      <w:r>
        <w:rPr>
          <w:rFonts w:ascii="Calibri" w:hAnsi="Calibri" w:cs="Calibri"/>
          <w:sz w:val="22"/>
          <w:szCs w:val="22"/>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711399F2" w14:textId="77777777" w:rsidR="00C616C2" w:rsidRDefault="00C616C2">
      <w:pPr>
        <w:rPr>
          <w:rFonts w:ascii="Calibri" w:hAnsi="Calibri" w:cs="Calibri"/>
          <w:sz w:val="22"/>
          <w:szCs w:val="22"/>
        </w:rPr>
      </w:pPr>
    </w:p>
    <w:p w14:paraId="1805DB11" w14:textId="77777777" w:rsidR="00C616C2" w:rsidRDefault="00C616C2">
      <w:pPr>
        <w:numPr>
          <w:ilvl w:val="0"/>
          <w:numId w:val="4"/>
        </w:numPr>
      </w:pPr>
      <w:r>
        <w:rPr>
          <w:rFonts w:ascii="Calibri" w:hAnsi="Calibri" w:cs="Calibri"/>
          <w:b/>
          <w:sz w:val="22"/>
          <w:szCs w:val="22"/>
        </w:rPr>
        <w:t>Časové rozlíšenie na strane pasív súvahy</w:t>
      </w:r>
    </w:p>
    <w:p w14:paraId="33B1E249" w14:textId="77777777" w:rsidR="00C616C2" w:rsidRDefault="00C616C2">
      <w:pPr>
        <w:rPr>
          <w:rFonts w:ascii="Calibri" w:hAnsi="Calibri" w:cs="Calibri"/>
          <w:b/>
          <w:sz w:val="22"/>
          <w:szCs w:val="22"/>
        </w:rPr>
      </w:pPr>
    </w:p>
    <w:p w14:paraId="4A42CC75" w14:textId="77777777" w:rsidR="00C616C2" w:rsidRDefault="00C616C2">
      <w:r>
        <w:rPr>
          <w:rFonts w:ascii="Calibri" w:hAnsi="Calibri" w:cs="Calibri"/>
          <w:sz w:val="22"/>
          <w:szCs w:val="22"/>
        </w:rPr>
        <w:t>Spoločnosť účtuje na účtoch časového rozlíšenia v súlade so zásadou o účtovaní nákladov a výnosov do obdobia, s ktorým časovo a vecne súvisia.</w:t>
      </w:r>
    </w:p>
    <w:p w14:paraId="7FAA7858" w14:textId="77777777" w:rsidR="00C616C2" w:rsidRDefault="00C616C2">
      <w:r>
        <w:rPr>
          <w:rFonts w:ascii="Calibri" w:eastAsia="Calibri" w:hAnsi="Calibri" w:cs="Calibri"/>
          <w:sz w:val="22"/>
          <w:szCs w:val="22"/>
        </w:rPr>
        <w:t xml:space="preserve"> </w:t>
      </w:r>
    </w:p>
    <w:p w14:paraId="49D7D1FD" w14:textId="77777777" w:rsidR="00C616C2" w:rsidRDefault="00C616C2">
      <w:pPr>
        <w:numPr>
          <w:ilvl w:val="0"/>
          <w:numId w:val="4"/>
        </w:numPr>
      </w:pPr>
      <w:r>
        <w:rPr>
          <w:rFonts w:ascii="Calibri" w:hAnsi="Calibri" w:cs="Calibri"/>
          <w:b/>
          <w:sz w:val="22"/>
          <w:szCs w:val="22"/>
        </w:rPr>
        <w:t>Deriváty, majetok a záväzky zabezpečené derivátmi</w:t>
      </w:r>
    </w:p>
    <w:p w14:paraId="779FA0DC" w14:textId="77777777" w:rsidR="00C616C2" w:rsidRDefault="00C616C2">
      <w:pPr>
        <w:rPr>
          <w:rFonts w:ascii="Calibri" w:hAnsi="Calibri" w:cs="Calibri"/>
          <w:b/>
          <w:sz w:val="22"/>
          <w:szCs w:val="22"/>
        </w:rPr>
      </w:pPr>
    </w:p>
    <w:p w14:paraId="41EB22D7" w14:textId="77777777" w:rsidR="00C616C2" w:rsidRDefault="00C616C2">
      <w:r>
        <w:rPr>
          <w:rFonts w:ascii="Calibri" w:hAnsi="Calibri" w:cs="Calibri"/>
          <w:sz w:val="22"/>
          <w:szCs w:val="22"/>
        </w:rPr>
        <w:t>Spoločnosť neúčtovala v priebehu účtovného obdobia o derivátoch a tiež nemá derivátmi zabezpečený majetok alebo záväzky.</w:t>
      </w:r>
    </w:p>
    <w:p w14:paraId="74A462F3" w14:textId="77777777" w:rsidR="00C616C2" w:rsidRDefault="00C616C2">
      <w:pPr>
        <w:rPr>
          <w:rFonts w:ascii="Calibri" w:hAnsi="Calibri" w:cs="Calibri"/>
          <w:b/>
          <w:sz w:val="22"/>
          <w:szCs w:val="22"/>
        </w:rPr>
      </w:pPr>
    </w:p>
    <w:p w14:paraId="6175041A" w14:textId="77777777" w:rsidR="00C616C2" w:rsidRDefault="00C616C2">
      <w:pPr>
        <w:numPr>
          <w:ilvl w:val="0"/>
          <w:numId w:val="4"/>
        </w:numPr>
      </w:pPr>
      <w:r>
        <w:rPr>
          <w:rFonts w:ascii="Calibri" w:hAnsi="Calibri" w:cs="Calibri"/>
          <w:b/>
          <w:sz w:val="22"/>
          <w:szCs w:val="22"/>
        </w:rPr>
        <w:t>Leasing</w:t>
      </w:r>
    </w:p>
    <w:p w14:paraId="612B5526" w14:textId="77777777" w:rsidR="00C616C2" w:rsidRDefault="00C616C2">
      <w:pPr>
        <w:rPr>
          <w:rFonts w:ascii="Calibri" w:hAnsi="Calibri" w:cs="Calibri"/>
          <w:b/>
          <w:sz w:val="22"/>
          <w:szCs w:val="22"/>
        </w:rPr>
      </w:pPr>
    </w:p>
    <w:p w14:paraId="566E8EBC" w14:textId="77777777" w:rsidR="00C616C2" w:rsidRDefault="00C616C2">
      <w:r>
        <w:rPr>
          <w:rFonts w:ascii="Calibri" w:hAnsi="Calibri" w:cs="Calibri"/>
          <w:sz w:val="22"/>
          <w:szCs w:val="22"/>
        </w:rPr>
        <w:t xml:space="preserve">Spoločnosť účtuje o finančnom leasingu. </w:t>
      </w:r>
    </w:p>
    <w:p w14:paraId="6A66ACC5" w14:textId="77777777" w:rsidR="00C616C2" w:rsidRDefault="00C616C2">
      <w:pPr>
        <w:rPr>
          <w:rFonts w:ascii="Calibri" w:hAnsi="Calibri" w:cs="Calibri"/>
          <w:sz w:val="22"/>
          <w:szCs w:val="22"/>
        </w:rPr>
      </w:pPr>
    </w:p>
    <w:p w14:paraId="7FFEDFAC" w14:textId="77777777" w:rsidR="00C616C2" w:rsidRDefault="00C616C2">
      <w:pPr>
        <w:numPr>
          <w:ilvl w:val="0"/>
          <w:numId w:val="4"/>
        </w:numPr>
      </w:pPr>
      <w:r>
        <w:rPr>
          <w:rFonts w:ascii="Calibri" w:hAnsi="Calibri" w:cs="Calibri"/>
          <w:b/>
          <w:sz w:val="22"/>
          <w:szCs w:val="22"/>
        </w:rPr>
        <w:t>Daň z príjmov</w:t>
      </w:r>
    </w:p>
    <w:p w14:paraId="6FD7CF14" w14:textId="77777777" w:rsidR="00C616C2" w:rsidRDefault="00C616C2">
      <w:pPr>
        <w:rPr>
          <w:rFonts w:ascii="Calibri" w:hAnsi="Calibri" w:cs="Calibri"/>
          <w:b/>
          <w:sz w:val="22"/>
          <w:szCs w:val="22"/>
        </w:rPr>
      </w:pPr>
    </w:p>
    <w:p w14:paraId="45302D5F" w14:textId="77777777" w:rsidR="00C616C2" w:rsidRDefault="00C616C2">
      <w:r>
        <w:rPr>
          <w:rFonts w:ascii="Calibri" w:hAnsi="Calibri" w:cs="Calibri"/>
          <w:sz w:val="22"/>
          <w:szCs w:val="22"/>
        </w:rPr>
        <w:t>Splatná daň z príjmov sa vypočíta zo základu dane z príjmov a sadzby ustanovenej Zákonom o dani z príjmov.</w:t>
      </w:r>
    </w:p>
    <w:p w14:paraId="64498022" w14:textId="77777777" w:rsidR="00C616C2" w:rsidRDefault="00C616C2">
      <w:pPr>
        <w:pStyle w:val="Zkladntext"/>
      </w:pPr>
      <w:r>
        <w:rPr>
          <w:rFonts w:ascii="Calibri" w:hAnsi="Calibri" w:cs="Calibri"/>
          <w:sz w:val="22"/>
          <w:szCs w:val="22"/>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72C58465" w14:textId="77777777" w:rsidR="00C616C2" w:rsidRDefault="00C616C2">
      <w:pPr>
        <w:rPr>
          <w:rFonts w:ascii="Calibri" w:hAnsi="Calibri" w:cs="Calibri"/>
          <w:b/>
          <w:sz w:val="22"/>
          <w:szCs w:val="22"/>
        </w:rPr>
      </w:pPr>
    </w:p>
    <w:p w14:paraId="1E75140C" w14:textId="77777777" w:rsidR="00C616C2" w:rsidRDefault="00C616C2">
      <w:pPr>
        <w:rPr>
          <w:rFonts w:ascii="Calibri" w:hAnsi="Calibri" w:cs="Calibri"/>
          <w:b/>
          <w:sz w:val="22"/>
          <w:szCs w:val="22"/>
        </w:rPr>
      </w:pPr>
    </w:p>
    <w:p w14:paraId="0C8EE5DB" w14:textId="77777777" w:rsidR="00C616C2" w:rsidRDefault="00C616C2">
      <w:pPr>
        <w:numPr>
          <w:ilvl w:val="2"/>
          <w:numId w:val="7"/>
        </w:numPr>
        <w:shd w:val="clear" w:color="auto" w:fill="D9D9D9"/>
        <w:tabs>
          <w:tab w:val="left" w:pos="426"/>
        </w:tabs>
        <w:ind w:left="426" w:hanging="426"/>
      </w:pPr>
      <w:r>
        <w:rPr>
          <w:rFonts w:ascii="Calibri" w:hAnsi="Calibri" w:cs="Calibri"/>
          <w:sz w:val="22"/>
          <w:szCs w:val="22"/>
        </w:rPr>
        <w:t>PLÁN ODPISOVANIA DLHODOBÉHO MAJETKU</w:t>
      </w:r>
    </w:p>
    <w:p w14:paraId="6114BFB3" w14:textId="77777777" w:rsidR="00C616C2" w:rsidRDefault="00C616C2">
      <w:pPr>
        <w:rPr>
          <w:rFonts w:ascii="Calibri" w:hAnsi="Calibri" w:cs="Calibri"/>
          <w:sz w:val="22"/>
          <w:szCs w:val="22"/>
        </w:rPr>
      </w:pPr>
    </w:p>
    <w:p w14:paraId="740B1841" w14:textId="77777777" w:rsidR="00C616C2" w:rsidRDefault="00C616C2">
      <w:r>
        <w:rPr>
          <w:rFonts w:ascii="Calibri" w:hAnsi="Calibri" w:cs="Calibri"/>
          <w:sz w:val="22"/>
          <w:szCs w:val="22"/>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8AE7AD5" w14:textId="77777777" w:rsidR="00C616C2" w:rsidRDefault="00C616C2">
      <w:pPr>
        <w:rPr>
          <w:rFonts w:ascii="Calibri" w:hAnsi="Calibri" w:cs="Calibri"/>
          <w:sz w:val="22"/>
          <w:szCs w:val="22"/>
        </w:rPr>
      </w:pPr>
    </w:p>
    <w:p w14:paraId="08AB3C16" w14:textId="77777777" w:rsidR="00C616C2" w:rsidRDefault="00C616C2">
      <w:bookmarkStart w:id="0" w:name="_Hlk99545903"/>
      <w:r>
        <w:rPr>
          <w:rFonts w:ascii="Calibri" w:hAnsi="Calibri" w:cs="Calibri"/>
          <w:sz w:val="22"/>
          <w:szCs w:val="22"/>
        </w:rPr>
        <w:t xml:space="preserve">Dlhodobý hmotný majetok spoločnosť odpisuje </w:t>
      </w:r>
      <w:r>
        <w:rPr>
          <w:rFonts w:ascii="Calibri" w:hAnsi="Calibri" w:cs="Calibri"/>
          <w:color w:val="000000"/>
          <w:sz w:val="22"/>
          <w:szCs w:val="22"/>
        </w:rPr>
        <w:t>metódou rovnomerného</w:t>
      </w:r>
      <w:r>
        <w:rPr>
          <w:rFonts w:ascii="Calibri" w:hAnsi="Calibri" w:cs="Calibri"/>
          <w:sz w:val="22"/>
          <w:szCs w:val="22"/>
        </w:rPr>
        <w:t xml:space="preserve"> odpisovania po dobu stanovenej životnosti odpisovaného majetku.</w:t>
      </w:r>
    </w:p>
    <w:p w14:paraId="2C2CD164" w14:textId="77777777" w:rsidR="00C616C2" w:rsidRDefault="00C616C2">
      <w:pPr>
        <w:pStyle w:val="Hlavika"/>
        <w:tabs>
          <w:tab w:val="clear" w:pos="4536"/>
          <w:tab w:val="clear" w:pos="9072"/>
        </w:tabs>
        <w:rPr>
          <w:rFonts w:ascii="Calibri" w:hAnsi="Calibri" w:cs="Calibri"/>
          <w:sz w:val="22"/>
          <w:szCs w:val="22"/>
        </w:rPr>
      </w:pPr>
    </w:p>
    <w:p w14:paraId="4E69A20C" w14:textId="77777777" w:rsidR="00C616C2" w:rsidRDefault="00C616C2">
      <w:pPr>
        <w:rPr>
          <w:rFonts w:ascii="Calibri" w:hAnsi="Calibri" w:cs="Calibri"/>
          <w:sz w:val="22"/>
          <w:szCs w:val="22"/>
        </w:rPr>
      </w:pPr>
    </w:p>
    <w:tbl>
      <w:tblPr>
        <w:tblW w:w="0" w:type="auto"/>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C616C2" w14:paraId="3243B32B" w14:textId="77777777">
        <w:trPr>
          <w:cantSplit/>
          <w:trHeight w:val="174"/>
        </w:trPr>
        <w:tc>
          <w:tcPr>
            <w:tcW w:w="3600" w:type="dxa"/>
          </w:tcPr>
          <w:p w14:paraId="457A9374" w14:textId="77777777" w:rsidR="00C616C2" w:rsidRDefault="00C616C2">
            <w:pPr>
              <w:jc w:val="left"/>
            </w:pPr>
            <w:r>
              <w:rPr>
                <w:rFonts w:ascii="Calibri" w:hAnsi="Calibri" w:cs="Calibri"/>
                <w:i/>
                <w:sz w:val="22"/>
                <w:szCs w:val="22"/>
              </w:rPr>
              <w:t>Názov majetku</w:t>
            </w:r>
          </w:p>
        </w:tc>
        <w:tc>
          <w:tcPr>
            <w:tcW w:w="2520" w:type="dxa"/>
          </w:tcPr>
          <w:p w14:paraId="0A77B4F7" w14:textId="77777777" w:rsidR="00C616C2" w:rsidRDefault="00C616C2">
            <w:pPr>
              <w:jc w:val="center"/>
            </w:pPr>
            <w:r>
              <w:rPr>
                <w:rFonts w:ascii="Calibri" w:hAnsi="Calibri" w:cs="Calibri"/>
                <w:i/>
                <w:sz w:val="22"/>
                <w:szCs w:val="22"/>
              </w:rPr>
              <w:t>Doba odpisovania</w:t>
            </w:r>
          </w:p>
        </w:tc>
        <w:tc>
          <w:tcPr>
            <w:tcW w:w="180" w:type="dxa"/>
          </w:tcPr>
          <w:p w14:paraId="2D6629D2" w14:textId="77777777" w:rsidR="00C616C2" w:rsidRDefault="00C616C2">
            <w:pPr>
              <w:pStyle w:val="Hlavika"/>
              <w:tabs>
                <w:tab w:val="clear" w:pos="4536"/>
                <w:tab w:val="clear" w:pos="9072"/>
              </w:tabs>
              <w:snapToGrid w:val="0"/>
              <w:jc w:val="center"/>
              <w:rPr>
                <w:rFonts w:ascii="Calibri" w:hAnsi="Calibri" w:cs="Calibri"/>
                <w:i/>
                <w:sz w:val="22"/>
                <w:szCs w:val="22"/>
              </w:rPr>
            </w:pPr>
          </w:p>
        </w:tc>
        <w:tc>
          <w:tcPr>
            <w:tcW w:w="2700" w:type="dxa"/>
          </w:tcPr>
          <w:p w14:paraId="435F18B5" w14:textId="77777777" w:rsidR="00C616C2" w:rsidRDefault="00C616C2">
            <w:pPr>
              <w:jc w:val="center"/>
            </w:pPr>
            <w:r>
              <w:rPr>
                <w:rFonts w:ascii="Calibri" w:hAnsi="Calibri" w:cs="Calibri"/>
                <w:i/>
                <w:sz w:val="22"/>
                <w:szCs w:val="22"/>
              </w:rPr>
              <w:t>Metóda odpisovania</w:t>
            </w:r>
          </w:p>
        </w:tc>
      </w:tr>
      <w:tr w:rsidR="00C616C2" w14:paraId="5A267BC2" w14:textId="77777777">
        <w:tc>
          <w:tcPr>
            <w:tcW w:w="3600" w:type="dxa"/>
            <w:tcBorders>
              <w:top w:val="single" w:sz="6" w:space="0" w:color="000000"/>
            </w:tcBorders>
          </w:tcPr>
          <w:p w14:paraId="6A3D432C" w14:textId="77777777" w:rsidR="00C616C2" w:rsidRDefault="00C616C2">
            <w:pPr>
              <w:pStyle w:val="Hlavika"/>
              <w:tabs>
                <w:tab w:val="clear" w:pos="4536"/>
                <w:tab w:val="clear" w:pos="9072"/>
              </w:tabs>
              <w:snapToGrid w:val="0"/>
              <w:rPr>
                <w:rFonts w:ascii="Calibri" w:hAnsi="Calibri" w:cs="Calibri"/>
                <w:i/>
                <w:sz w:val="22"/>
                <w:szCs w:val="22"/>
              </w:rPr>
            </w:pPr>
          </w:p>
        </w:tc>
        <w:tc>
          <w:tcPr>
            <w:tcW w:w="2520" w:type="dxa"/>
            <w:tcBorders>
              <w:top w:val="single" w:sz="6" w:space="0" w:color="000000"/>
            </w:tcBorders>
          </w:tcPr>
          <w:p w14:paraId="4B46E4EC" w14:textId="77777777" w:rsidR="00C616C2" w:rsidRDefault="00C616C2">
            <w:pPr>
              <w:snapToGrid w:val="0"/>
              <w:jc w:val="center"/>
              <w:rPr>
                <w:rFonts w:ascii="Calibri" w:hAnsi="Calibri" w:cs="Calibri"/>
                <w:i/>
                <w:sz w:val="22"/>
                <w:szCs w:val="22"/>
              </w:rPr>
            </w:pPr>
          </w:p>
        </w:tc>
        <w:tc>
          <w:tcPr>
            <w:tcW w:w="180" w:type="dxa"/>
            <w:tcBorders>
              <w:top w:val="single" w:sz="6" w:space="0" w:color="000000"/>
            </w:tcBorders>
          </w:tcPr>
          <w:p w14:paraId="79C907D3" w14:textId="77777777" w:rsidR="00C616C2" w:rsidRDefault="00C616C2">
            <w:pPr>
              <w:snapToGrid w:val="0"/>
              <w:jc w:val="center"/>
              <w:rPr>
                <w:rFonts w:ascii="Calibri" w:hAnsi="Calibri" w:cs="Calibri"/>
                <w:i/>
                <w:sz w:val="22"/>
                <w:szCs w:val="22"/>
              </w:rPr>
            </w:pPr>
          </w:p>
        </w:tc>
        <w:tc>
          <w:tcPr>
            <w:tcW w:w="2700" w:type="dxa"/>
            <w:tcBorders>
              <w:top w:val="single" w:sz="6" w:space="0" w:color="000000"/>
            </w:tcBorders>
          </w:tcPr>
          <w:p w14:paraId="303E1E8B" w14:textId="77777777" w:rsidR="00C616C2" w:rsidRDefault="00C616C2">
            <w:pPr>
              <w:snapToGrid w:val="0"/>
              <w:jc w:val="center"/>
              <w:rPr>
                <w:rFonts w:ascii="Calibri" w:hAnsi="Calibri" w:cs="Calibri"/>
                <w:sz w:val="22"/>
                <w:szCs w:val="22"/>
              </w:rPr>
            </w:pPr>
          </w:p>
        </w:tc>
      </w:tr>
      <w:tr w:rsidR="00C616C2" w14:paraId="0D70B750" w14:textId="77777777">
        <w:tc>
          <w:tcPr>
            <w:tcW w:w="3600" w:type="dxa"/>
          </w:tcPr>
          <w:p w14:paraId="1166A356" w14:textId="77777777" w:rsidR="00C616C2" w:rsidRDefault="00C616C2">
            <w:pPr>
              <w:pStyle w:val="Hlavika"/>
              <w:tabs>
                <w:tab w:val="clear" w:pos="4536"/>
                <w:tab w:val="clear" w:pos="9072"/>
              </w:tabs>
            </w:pPr>
            <w:r>
              <w:rPr>
                <w:rFonts w:ascii="Calibri" w:hAnsi="Calibri" w:cs="Calibri"/>
                <w:sz w:val="22"/>
                <w:szCs w:val="22"/>
              </w:rPr>
              <w:t>Stavby</w:t>
            </w:r>
          </w:p>
        </w:tc>
        <w:tc>
          <w:tcPr>
            <w:tcW w:w="2520" w:type="dxa"/>
          </w:tcPr>
          <w:p w14:paraId="2994D643" w14:textId="77777777" w:rsidR="00C616C2" w:rsidRDefault="00C616C2">
            <w:pPr>
              <w:jc w:val="center"/>
            </w:pPr>
            <w:r>
              <w:rPr>
                <w:rFonts w:ascii="Calibri" w:hAnsi="Calibri" w:cs="Calibri"/>
                <w:sz w:val="22"/>
                <w:szCs w:val="22"/>
              </w:rPr>
              <w:t>20</w:t>
            </w:r>
          </w:p>
        </w:tc>
        <w:tc>
          <w:tcPr>
            <w:tcW w:w="180" w:type="dxa"/>
          </w:tcPr>
          <w:p w14:paraId="4DEC8EC6" w14:textId="77777777" w:rsidR="00C616C2" w:rsidRDefault="00C616C2">
            <w:pPr>
              <w:snapToGrid w:val="0"/>
              <w:jc w:val="center"/>
              <w:rPr>
                <w:rFonts w:ascii="Calibri" w:hAnsi="Calibri" w:cs="Calibri"/>
                <w:sz w:val="22"/>
                <w:szCs w:val="22"/>
              </w:rPr>
            </w:pPr>
          </w:p>
        </w:tc>
        <w:tc>
          <w:tcPr>
            <w:tcW w:w="2700" w:type="dxa"/>
          </w:tcPr>
          <w:p w14:paraId="072E11E2" w14:textId="77777777" w:rsidR="00C616C2" w:rsidRDefault="00C616C2">
            <w:pPr>
              <w:jc w:val="center"/>
            </w:pPr>
            <w:r>
              <w:rPr>
                <w:rFonts w:ascii="Calibri" w:hAnsi="Calibri" w:cs="Calibri"/>
                <w:sz w:val="22"/>
                <w:szCs w:val="22"/>
              </w:rPr>
              <w:t>Rovnomerne</w:t>
            </w:r>
          </w:p>
        </w:tc>
      </w:tr>
      <w:tr w:rsidR="00C616C2" w14:paraId="488C9A0A" w14:textId="77777777">
        <w:tc>
          <w:tcPr>
            <w:tcW w:w="3600" w:type="dxa"/>
            <w:tcBorders>
              <w:bottom w:val="single" w:sz="6" w:space="0" w:color="000000"/>
            </w:tcBorders>
          </w:tcPr>
          <w:p w14:paraId="383531FC" w14:textId="77777777" w:rsidR="00C616C2" w:rsidRDefault="00C616C2">
            <w:pPr>
              <w:pStyle w:val="Hlavika"/>
              <w:tabs>
                <w:tab w:val="clear" w:pos="4536"/>
                <w:tab w:val="clear" w:pos="9072"/>
              </w:tabs>
            </w:pPr>
            <w:r>
              <w:rPr>
                <w:rFonts w:ascii="Calibri" w:hAnsi="Calibri" w:cs="Calibri"/>
                <w:sz w:val="22"/>
                <w:szCs w:val="22"/>
              </w:rPr>
              <w:t>Stroje, prístroje, zariadenia</w:t>
            </w:r>
          </w:p>
        </w:tc>
        <w:tc>
          <w:tcPr>
            <w:tcW w:w="2520" w:type="dxa"/>
            <w:tcBorders>
              <w:bottom w:val="single" w:sz="6" w:space="0" w:color="000000"/>
            </w:tcBorders>
          </w:tcPr>
          <w:p w14:paraId="6BCB53AE" w14:textId="77777777" w:rsidR="00C616C2" w:rsidRDefault="00C616C2">
            <w:pPr>
              <w:jc w:val="center"/>
            </w:pPr>
            <w:r>
              <w:rPr>
                <w:rFonts w:ascii="Calibri" w:hAnsi="Calibri" w:cs="Calibri"/>
                <w:sz w:val="22"/>
                <w:szCs w:val="22"/>
              </w:rPr>
              <w:t>4-12</w:t>
            </w:r>
          </w:p>
        </w:tc>
        <w:tc>
          <w:tcPr>
            <w:tcW w:w="180" w:type="dxa"/>
          </w:tcPr>
          <w:p w14:paraId="725630D2" w14:textId="77777777" w:rsidR="00C616C2" w:rsidRDefault="00C616C2">
            <w:pPr>
              <w:snapToGrid w:val="0"/>
              <w:jc w:val="center"/>
              <w:rPr>
                <w:rFonts w:ascii="Calibri" w:hAnsi="Calibri" w:cs="Calibri"/>
                <w:sz w:val="22"/>
                <w:szCs w:val="22"/>
              </w:rPr>
            </w:pPr>
          </w:p>
        </w:tc>
        <w:tc>
          <w:tcPr>
            <w:tcW w:w="2700" w:type="dxa"/>
            <w:tcBorders>
              <w:bottom w:val="single" w:sz="6" w:space="0" w:color="000000"/>
            </w:tcBorders>
          </w:tcPr>
          <w:p w14:paraId="6F9BD6CE" w14:textId="77777777" w:rsidR="00C616C2" w:rsidRDefault="00C616C2">
            <w:pPr>
              <w:jc w:val="center"/>
            </w:pPr>
            <w:r>
              <w:rPr>
                <w:rFonts w:ascii="Calibri" w:hAnsi="Calibri" w:cs="Calibri"/>
                <w:sz w:val="22"/>
                <w:szCs w:val="22"/>
              </w:rPr>
              <w:t>Rovnomerne</w:t>
            </w:r>
          </w:p>
        </w:tc>
      </w:tr>
    </w:tbl>
    <w:p w14:paraId="54FE5F8D" w14:textId="77777777" w:rsidR="00C616C2" w:rsidRDefault="00C616C2">
      <w:pPr>
        <w:rPr>
          <w:rFonts w:ascii="Calibri" w:hAnsi="Calibri" w:cs="Calibri"/>
          <w:sz w:val="22"/>
          <w:szCs w:val="22"/>
        </w:rPr>
      </w:pPr>
    </w:p>
    <w:p w14:paraId="3DA48FF8" w14:textId="77777777" w:rsidR="00C616C2" w:rsidRDefault="00C616C2">
      <w:r>
        <w:rPr>
          <w:rFonts w:ascii="Calibri" w:hAnsi="Calibri" w:cs="Calibri"/>
          <w:sz w:val="22"/>
          <w:szCs w:val="22"/>
        </w:rPr>
        <w:t xml:space="preserve">Pre daňové účely spoločnosť odpisuje svoj dlhodobý hmotný majetok v zmysle § 22 – 29 zákona č. 595/2003 </w:t>
      </w:r>
      <w:proofErr w:type="spellStart"/>
      <w:r>
        <w:rPr>
          <w:rFonts w:ascii="Calibri" w:hAnsi="Calibri" w:cs="Calibri"/>
          <w:sz w:val="22"/>
          <w:szCs w:val="22"/>
        </w:rPr>
        <w:t>Z.z</w:t>
      </w:r>
      <w:proofErr w:type="spellEnd"/>
      <w:r>
        <w:rPr>
          <w:rFonts w:ascii="Calibri" w:hAnsi="Calibri" w:cs="Calibri"/>
          <w:sz w:val="22"/>
          <w:szCs w:val="22"/>
        </w:rPr>
        <w:t xml:space="preserve">. o dani z príjmov. </w:t>
      </w:r>
    </w:p>
    <w:bookmarkEnd w:id="0"/>
    <w:p w14:paraId="6D33FE93" w14:textId="77777777" w:rsidR="00C616C2" w:rsidRDefault="00C616C2">
      <w:pPr>
        <w:rPr>
          <w:rFonts w:ascii="Calibri" w:hAnsi="Calibri" w:cs="Calibri"/>
          <w:sz w:val="22"/>
          <w:szCs w:val="22"/>
        </w:rPr>
      </w:pPr>
    </w:p>
    <w:p w14:paraId="7EBA334D" w14:textId="77777777" w:rsidR="00C616C2" w:rsidRDefault="00C616C2">
      <w:pPr>
        <w:numPr>
          <w:ilvl w:val="2"/>
          <w:numId w:val="7"/>
        </w:numPr>
        <w:shd w:val="clear" w:color="auto" w:fill="D9D9D9"/>
        <w:tabs>
          <w:tab w:val="left" w:pos="426"/>
        </w:tabs>
        <w:ind w:left="426" w:hanging="426"/>
      </w:pPr>
      <w:r>
        <w:rPr>
          <w:rFonts w:ascii="Calibri" w:hAnsi="Calibri" w:cs="Calibri"/>
          <w:sz w:val="22"/>
          <w:szCs w:val="22"/>
        </w:rPr>
        <w:t>ZÁSADY PRE TVORBU OPRAVNÝCH POLOŽIEK</w:t>
      </w:r>
    </w:p>
    <w:p w14:paraId="484F1260" w14:textId="77777777" w:rsidR="00C616C2" w:rsidRDefault="00C616C2">
      <w:pPr>
        <w:rPr>
          <w:rFonts w:ascii="Calibri" w:hAnsi="Calibri" w:cs="Calibri"/>
          <w:sz w:val="22"/>
          <w:szCs w:val="22"/>
        </w:rPr>
      </w:pPr>
    </w:p>
    <w:p w14:paraId="1C80BB07" w14:textId="77777777" w:rsidR="00C616C2" w:rsidRDefault="00C616C2">
      <w:r>
        <w:rPr>
          <w:rFonts w:ascii="Calibri" w:hAnsi="Calibri" w:cs="Calibri"/>
          <w:b/>
          <w:sz w:val="22"/>
          <w:szCs w:val="22"/>
        </w:rPr>
        <w:t>a) Zásady pre tvorbu opravných položiek k zásobám</w:t>
      </w:r>
    </w:p>
    <w:p w14:paraId="1193C055" w14:textId="77777777" w:rsidR="00C616C2" w:rsidRDefault="00C616C2">
      <w:pPr>
        <w:pStyle w:val="Zkladntext"/>
      </w:pPr>
      <w:r>
        <w:rPr>
          <w:rFonts w:ascii="Calibri" w:eastAsia="Calibri" w:hAnsi="Calibri" w:cs="Calibri"/>
          <w:sz w:val="22"/>
          <w:szCs w:val="22"/>
        </w:rPr>
        <w:t xml:space="preserve"> </w:t>
      </w:r>
    </w:p>
    <w:p w14:paraId="6C46269D" w14:textId="77777777" w:rsidR="00C616C2" w:rsidRDefault="00C616C2">
      <w:pPr>
        <w:pStyle w:val="Zkladntext"/>
      </w:pPr>
      <w:r>
        <w:rPr>
          <w:rFonts w:ascii="Calibri" w:hAnsi="Calibri" w:cs="Calibri"/>
          <w:sz w:val="22"/>
          <w:szCs w:val="22"/>
        </w:rPr>
        <w:t xml:space="preserve">Spoločnosť netvorila opravnú položku k zásobám. </w:t>
      </w:r>
    </w:p>
    <w:p w14:paraId="5A44358B" w14:textId="77777777" w:rsidR="00C616C2" w:rsidRDefault="00C616C2">
      <w:pPr>
        <w:rPr>
          <w:rFonts w:ascii="Calibri" w:hAnsi="Calibri" w:cs="Calibri"/>
          <w:b/>
          <w:sz w:val="22"/>
          <w:szCs w:val="22"/>
        </w:rPr>
      </w:pPr>
    </w:p>
    <w:p w14:paraId="05C6ED8A" w14:textId="77777777" w:rsidR="00C616C2" w:rsidRDefault="00C616C2">
      <w:r>
        <w:rPr>
          <w:rFonts w:ascii="Calibri" w:hAnsi="Calibri" w:cs="Calibri"/>
          <w:b/>
          <w:sz w:val="22"/>
          <w:szCs w:val="22"/>
        </w:rPr>
        <w:t>b) Zásady pre tvorbu opravných položiek k pohľadávkam</w:t>
      </w:r>
    </w:p>
    <w:p w14:paraId="3B938B05" w14:textId="77777777" w:rsidR="00C616C2" w:rsidRDefault="00C616C2">
      <w:pPr>
        <w:rPr>
          <w:rFonts w:ascii="Calibri" w:hAnsi="Calibri" w:cs="Calibri"/>
          <w:b/>
          <w:i/>
          <w:sz w:val="22"/>
          <w:szCs w:val="22"/>
        </w:rPr>
      </w:pPr>
    </w:p>
    <w:p w14:paraId="26490806" w14:textId="77777777" w:rsidR="00C616C2" w:rsidRDefault="00C616C2">
      <w:pPr>
        <w:pStyle w:val="Zkladntext"/>
      </w:pPr>
      <w:r>
        <w:rPr>
          <w:rFonts w:ascii="Calibri" w:hAnsi="Calibri" w:cs="Calibri"/>
          <w:sz w:val="22"/>
          <w:szCs w:val="22"/>
        </w:rPr>
        <w:t xml:space="preserve">Spoločnosť netvorila opravnú položku k pohľadávkam. </w:t>
      </w:r>
    </w:p>
    <w:p w14:paraId="5AC5936A" w14:textId="77777777" w:rsidR="00C616C2" w:rsidRDefault="00C616C2">
      <w:pPr>
        <w:rPr>
          <w:rFonts w:ascii="Calibri" w:hAnsi="Calibri" w:cs="Calibri"/>
          <w:sz w:val="22"/>
          <w:szCs w:val="22"/>
        </w:rPr>
      </w:pPr>
    </w:p>
    <w:p w14:paraId="68B51D0D" w14:textId="77777777" w:rsidR="00C616C2" w:rsidRDefault="00C616C2">
      <w:pPr>
        <w:numPr>
          <w:ilvl w:val="2"/>
          <w:numId w:val="7"/>
        </w:numPr>
        <w:shd w:val="clear" w:color="auto" w:fill="D9D9D9"/>
        <w:tabs>
          <w:tab w:val="left" w:pos="426"/>
        </w:tabs>
        <w:ind w:left="426" w:hanging="426"/>
      </w:pPr>
      <w:r>
        <w:rPr>
          <w:rFonts w:ascii="Calibri" w:hAnsi="Calibri" w:cs="Calibri"/>
          <w:sz w:val="22"/>
          <w:szCs w:val="22"/>
        </w:rPr>
        <w:t>PREPOČET ÚDAJOV V CUDZÍCH MENÁCH NA MENU EURO</w:t>
      </w:r>
    </w:p>
    <w:p w14:paraId="072869DF" w14:textId="77777777" w:rsidR="00C616C2" w:rsidRDefault="00C616C2">
      <w:pPr>
        <w:rPr>
          <w:rFonts w:ascii="Calibri" w:hAnsi="Calibri" w:cs="Calibri"/>
          <w:sz w:val="22"/>
          <w:szCs w:val="22"/>
        </w:rPr>
      </w:pPr>
    </w:p>
    <w:p w14:paraId="347243F0" w14:textId="77777777" w:rsidR="00C616C2" w:rsidRDefault="00C616C2">
      <w:r>
        <w:rPr>
          <w:rFonts w:ascii="Calibri" w:hAnsi="Calibri" w:cs="Calibri"/>
          <w:sz w:val="22"/>
          <w:szCs w:val="22"/>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EA5234F" w14:textId="77777777" w:rsidR="00C616C2" w:rsidRDefault="00C616C2">
      <w:pPr>
        <w:rPr>
          <w:rFonts w:ascii="Calibri" w:hAnsi="Calibri" w:cs="Calibri"/>
          <w:sz w:val="22"/>
          <w:szCs w:val="22"/>
        </w:rPr>
      </w:pPr>
    </w:p>
    <w:p w14:paraId="40484E5D" w14:textId="77777777" w:rsidR="00C616C2" w:rsidRDefault="00C616C2">
      <w:r>
        <w:rPr>
          <w:rFonts w:ascii="Calibri" w:hAnsi="Calibri" w:cs="Calibri"/>
          <w:sz w:val="22"/>
          <w:szCs w:val="22"/>
        </w:rPr>
        <w:t>Účtovná jednotka ku dňu, ku ktorému sa zostavuje účtovná závierka, prepočíta na menu euro majetok a záväzky vyjadrené v cudzej mene s výnimkou prijatých a poskytnutých preddavkov kurzom vyhláseným Európskou centrálnou bankou.</w:t>
      </w:r>
    </w:p>
    <w:p w14:paraId="30F31642" w14:textId="77777777" w:rsidR="00C616C2" w:rsidRDefault="00C616C2">
      <w:pPr>
        <w:rPr>
          <w:rFonts w:ascii="Calibri" w:hAnsi="Calibri" w:cs="Calibri"/>
          <w:sz w:val="22"/>
          <w:szCs w:val="22"/>
        </w:rPr>
      </w:pPr>
    </w:p>
    <w:p w14:paraId="78A9BEF6" w14:textId="77777777" w:rsidR="00C616C2" w:rsidRDefault="00C616C2">
      <w:r>
        <w:rPr>
          <w:rFonts w:ascii="Calibri" w:hAnsi="Calibri" w:cs="Calibri"/>
          <w:sz w:val="22"/>
          <w:szCs w:val="22"/>
        </w:rPr>
        <w:t>Kurzové rozdiely vzniknuté počas roka ako aj kurzové rozdiely vzniknuté pri prepočte majetku a záväzkov ku dňu zostavenia účtovnej závierku ovplyvňujú hospodársky výsledok bežného účtovného obdobia.</w:t>
      </w:r>
    </w:p>
    <w:p w14:paraId="230FCD2B" w14:textId="77777777" w:rsidR="00C616C2" w:rsidRDefault="00C616C2">
      <w:pPr>
        <w:rPr>
          <w:rFonts w:ascii="Calibri" w:hAnsi="Calibri" w:cs="Calibri"/>
          <w:sz w:val="22"/>
          <w:szCs w:val="22"/>
        </w:rPr>
      </w:pPr>
    </w:p>
    <w:p w14:paraId="303EB061" w14:textId="77777777" w:rsidR="00C616C2" w:rsidRDefault="00C616C2">
      <w:pPr>
        <w:numPr>
          <w:ilvl w:val="2"/>
          <w:numId w:val="7"/>
        </w:numPr>
        <w:shd w:val="clear" w:color="auto" w:fill="D9D9D9"/>
        <w:tabs>
          <w:tab w:val="left" w:pos="709"/>
        </w:tabs>
        <w:ind w:left="709" w:hanging="709"/>
      </w:pPr>
      <w:r>
        <w:rPr>
          <w:rFonts w:ascii="Calibri" w:hAnsi="Calibri" w:cs="Calibri"/>
          <w:sz w:val="22"/>
          <w:szCs w:val="22"/>
        </w:rPr>
        <w:t>DOTÁCIE POSKYTNUTÉ NA OBSTARANIE MAJETKU</w:t>
      </w:r>
    </w:p>
    <w:p w14:paraId="70015732" w14:textId="77777777" w:rsidR="00C616C2" w:rsidRDefault="00C616C2">
      <w:pPr>
        <w:rPr>
          <w:rFonts w:ascii="Calibri" w:hAnsi="Calibri" w:cs="Calibri"/>
          <w:sz w:val="22"/>
          <w:szCs w:val="22"/>
        </w:rPr>
      </w:pPr>
    </w:p>
    <w:p w14:paraId="7E7B10D2" w14:textId="77777777" w:rsidR="00C616C2" w:rsidRDefault="00C616C2">
      <w:r>
        <w:rPr>
          <w:rFonts w:ascii="Calibri" w:hAnsi="Calibri" w:cs="Calibri"/>
          <w:sz w:val="22"/>
          <w:szCs w:val="22"/>
        </w:rPr>
        <w:t xml:space="preserve">Účtovná jednotka nemá náplň pre túto položku. </w:t>
      </w:r>
    </w:p>
    <w:p w14:paraId="52414BA3" w14:textId="77777777" w:rsidR="00C616C2" w:rsidRDefault="00C616C2">
      <w:pPr>
        <w:rPr>
          <w:rFonts w:ascii="Calibri" w:hAnsi="Calibri" w:cs="Calibri"/>
          <w:sz w:val="22"/>
          <w:szCs w:val="22"/>
        </w:rPr>
      </w:pPr>
    </w:p>
    <w:p w14:paraId="2DFF9617" w14:textId="77777777" w:rsidR="00C616C2" w:rsidRDefault="00C616C2">
      <w:pPr>
        <w:numPr>
          <w:ilvl w:val="2"/>
          <w:numId w:val="7"/>
        </w:numPr>
        <w:shd w:val="clear" w:color="auto" w:fill="D9D9D9"/>
        <w:tabs>
          <w:tab w:val="left" w:pos="709"/>
        </w:tabs>
        <w:ind w:left="709" w:hanging="709"/>
      </w:pPr>
      <w:r>
        <w:rPr>
          <w:rFonts w:ascii="Calibri" w:hAnsi="Calibri" w:cs="Calibri"/>
          <w:caps/>
          <w:sz w:val="22"/>
          <w:szCs w:val="22"/>
        </w:rPr>
        <w:t xml:space="preserve">Zmeny účtovných zásad a účtovných metód, zmeny spôsobov oceňovania, odpisovania, vykazovania a postupov </w:t>
      </w:r>
    </w:p>
    <w:p w14:paraId="412DBD15" w14:textId="77777777" w:rsidR="00C616C2" w:rsidRDefault="00C616C2">
      <w:pPr>
        <w:rPr>
          <w:rFonts w:ascii="Calibri" w:hAnsi="Calibri" w:cs="Calibri"/>
          <w:caps/>
          <w:sz w:val="22"/>
          <w:szCs w:val="22"/>
        </w:rPr>
      </w:pPr>
    </w:p>
    <w:p w14:paraId="12BBA879" w14:textId="77777777" w:rsidR="00C616C2" w:rsidRDefault="00C616C2">
      <w:r>
        <w:rPr>
          <w:rFonts w:ascii="Calibri" w:hAnsi="Calibri" w:cs="Calibri"/>
          <w:sz w:val="22"/>
          <w:szCs w:val="22"/>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443AD544" w14:textId="77777777" w:rsidR="00C616C2" w:rsidRDefault="00C616C2">
      <w:pPr>
        <w:rPr>
          <w:rFonts w:ascii="Calibri" w:hAnsi="Calibri" w:cs="Calibri"/>
          <w:sz w:val="22"/>
          <w:szCs w:val="22"/>
        </w:rPr>
      </w:pPr>
    </w:p>
    <w:p w14:paraId="20146B18" w14:textId="77777777" w:rsidR="00C616C2" w:rsidRDefault="00C616C2">
      <w:pPr>
        <w:numPr>
          <w:ilvl w:val="2"/>
          <w:numId w:val="7"/>
        </w:numPr>
        <w:shd w:val="clear" w:color="auto" w:fill="D9D9D9"/>
        <w:tabs>
          <w:tab w:val="left" w:pos="426"/>
        </w:tabs>
        <w:ind w:left="426" w:hanging="426"/>
      </w:pPr>
      <w:r>
        <w:rPr>
          <w:rFonts w:ascii="Calibri" w:hAnsi="Calibri" w:cs="Calibri"/>
          <w:sz w:val="22"/>
          <w:szCs w:val="22"/>
        </w:rPr>
        <w:t xml:space="preserve">OPRAVA VÝZNAMNÝCH CHÝB MINULÝCH ÚČTOVNÝCH OBDOBÍ </w:t>
      </w:r>
    </w:p>
    <w:p w14:paraId="4A5D45F2" w14:textId="77777777" w:rsidR="00C616C2" w:rsidRDefault="00C616C2">
      <w:pPr>
        <w:rPr>
          <w:rFonts w:ascii="Calibri" w:hAnsi="Calibri" w:cs="Calibri"/>
          <w:sz w:val="22"/>
          <w:szCs w:val="22"/>
        </w:rPr>
      </w:pPr>
    </w:p>
    <w:p w14:paraId="775120AA" w14:textId="77777777" w:rsidR="00C616C2" w:rsidRDefault="00C616C2">
      <w:r>
        <w:rPr>
          <w:rFonts w:ascii="Calibri" w:hAnsi="Calibri" w:cs="Calibri"/>
          <w:sz w:val="22"/>
          <w:szCs w:val="22"/>
        </w:rPr>
        <w:t xml:space="preserve">Účtovná jednotka nemá náplň pre túto položku. </w:t>
      </w:r>
    </w:p>
    <w:p w14:paraId="7E5F0C18" w14:textId="77777777" w:rsidR="00C616C2" w:rsidRDefault="00C616C2">
      <w:pPr>
        <w:jc w:val="center"/>
        <w:rPr>
          <w:rFonts w:ascii="Calibri" w:hAnsi="Calibri" w:cs="Calibri"/>
          <w:b/>
          <w:sz w:val="22"/>
          <w:szCs w:val="22"/>
        </w:rPr>
      </w:pPr>
    </w:p>
    <w:p w14:paraId="1F5FFC1E" w14:textId="77777777" w:rsidR="00C616C2" w:rsidRDefault="00C616C2">
      <w:pPr>
        <w:jc w:val="center"/>
        <w:rPr>
          <w:rFonts w:ascii="Calibri" w:hAnsi="Calibri" w:cs="Calibri"/>
          <w:b/>
          <w:sz w:val="22"/>
          <w:szCs w:val="22"/>
        </w:rPr>
      </w:pPr>
    </w:p>
    <w:p w14:paraId="4057C711" w14:textId="77777777" w:rsidR="00C616C2" w:rsidRDefault="00C616C2">
      <w:pPr>
        <w:jc w:val="center"/>
      </w:pPr>
      <w:r>
        <w:rPr>
          <w:rFonts w:ascii="Calibri" w:hAnsi="Calibri" w:cs="Calibri"/>
          <w:b/>
          <w:sz w:val="22"/>
          <w:szCs w:val="22"/>
        </w:rPr>
        <w:t>ČL. IV</w:t>
      </w:r>
    </w:p>
    <w:p w14:paraId="027CAB8D" w14:textId="77777777" w:rsidR="00C616C2" w:rsidRDefault="00C616C2">
      <w:pPr>
        <w:jc w:val="center"/>
      </w:pPr>
      <w:r>
        <w:rPr>
          <w:rFonts w:ascii="Calibri" w:hAnsi="Calibri" w:cs="Calibri"/>
          <w:b/>
          <w:sz w:val="22"/>
          <w:szCs w:val="22"/>
        </w:rPr>
        <w:t>INFORMÁCIE, KTORÉ VYSVETĽUJÚ A DOPLŇAJÚ POLOŽKY SÚVAHY A VÝKAZU ZISKOV A STRÁT</w:t>
      </w:r>
    </w:p>
    <w:p w14:paraId="03CDE192" w14:textId="77777777" w:rsidR="00C616C2" w:rsidRDefault="00C616C2">
      <w:pPr>
        <w:rPr>
          <w:rFonts w:ascii="Calibri" w:hAnsi="Calibri" w:cs="Calibri"/>
          <w:b/>
          <w:sz w:val="22"/>
          <w:szCs w:val="22"/>
        </w:rPr>
      </w:pPr>
    </w:p>
    <w:p w14:paraId="0C534B00" w14:textId="77777777" w:rsidR="00C616C2" w:rsidRDefault="00C616C2">
      <w:pPr>
        <w:rPr>
          <w:rFonts w:ascii="Calibri" w:hAnsi="Calibri" w:cs="Calibri"/>
          <w:b/>
          <w:sz w:val="22"/>
          <w:szCs w:val="22"/>
          <w:highlight w:val="green"/>
        </w:rPr>
      </w:pPr>
    </w:p>
    <w:p w14:paraId="727108DE" w14:textId="77777777" w:rsidR="00C616C2" w:rsidRDefault="00C616C2">
      <w:pPr>
        <w:numPr>
          <w:ilvl w:val="0"/>
          <w:numId w:val="11"/>
        </w:numPr>
        <w:shd w:val="clear" w:color="auto" w:fill="D9D9D9"/>
        <w:ind w:left="426" w:hanging="426"/>
      </w:pPr>
      <w:r>
        <w:rPr>
          <w:rFonts w:ascii="Calibri" w:hAnsi="Calibri" w:cs="Calibri"/>
          <w:sz w:val="22"/>
          <w:szCs w:val="22"/>
        </w:rPr>
        <w:t>GOODWILL</w:t>
      </w:r>
    </w:p>
    <w:p w14:paraId="756E2156" w14:textId="77777777" w:rsidR="00C616C2" w:rsidRDefault="00C616C2">
      <w:pPr>
        <w:rPr>
          <w:rFonts w:ascii="Calibri" w:hAnsi="Calibri" w:cs="Calibri"/>
          <w:sz w:val="22"/>
          <w:szCs w:val="22"/>
        </w:rPr>
      </w:pPr>
    </w:p>
    <w:p w14:paraId="1D01E0BF" w14:textId="77777777" w:rsidR="00C616C2" w:rsidRDefault="00C616C2">
      <w:pPr>
        <w:pStyle w:val="Default"/>
      </w:pPr>
      <w:r>
        <w:rPr>
          <w:rFonts w:ascii="Calibri" w:hAnsi="Calibri" w:cs="Calibri"/>
          <w:sz w:val="22"/>
          <w:szCs w:val="22"/>
        </w:rPr>
        <w:t>Účtovná jednotka nemá náplň pre túto položku.</w:t>
      </w:r>
    </w:p>
    <w:p w14:paraId="6C17C6A4" w14:textId="77777777" w:rsidR="00C616C2" w:rsidRDefault="00C616C2">
      <w:pPr>
        <w:pStyle w:val="Default"/>
        <w:rPr>
          <w:rFonts w:ascii="Calibri" w:hAnsi="Calibri" w:cs="Calibri"/>
          <w:i/>
          <w:sz w:val="22"/>
          <w:szCs w:val="22"/>
        </w:rPr>
      </w:pPr>
    </w:p>
    <w:p w14:paraId="672C77D0" w14:textId="77777777" w:rsidR="00C616C2" w:rsidRDefault="00C616C2">
      <w:pPr>
        <w:rPr>
          <w:rFonts w:ascii="Calibri" w:hAnsi="Calibri" w:cs="Calibri"/>
          <w:i/>
          <w:color w:val="000000"/>
          <w:sz w:val="22"/>
          <w:szCs w:val="22"/>
        </w:rPr>
      </w:pPr>
    </w:p>
    <w:p w14:paraId="2FFD58AE" w14:textId="77777777" w:rsidR="00C616C2" w:rsidRDefault="00C616C2">
      <w:pPr>
        <w:numPr>
          <w:ilvl w:val="0"/>
          <w:numId w:val="11"/>
        </w:numPr>
        <w:shd w:val="clear" w:color="auto" w:fill="D9D9D9"/>
        <w:ind w:left="426" w:hanging="426"/>
      </w:pPr>
      <w:r>
        <w:rPr>
          <w:rFonts w:ascii="Calibri" w:hAnsi="Calibri" w:cs="Calibri"/>
          <w:sz w:val="22"/>
          <w:szCs w:val="22"/>
        </w:rPr>
        <w:t>DERIVÁTY</w:t>
      </w:r>
    </w:p>
    <w:p w14:paraId="253FD731" w14:textId="77777777" w:rsidR="00C616C2" w:rsidRDefault="00C616C2">
      <w:pPr>
        <w:pStyle w:val="Default"/>
        <w:rPr>
          <w:rFonts w:ascii="Calibri" w:hAnsi="Calibri" w:cs="Calibri"/>
          <w:i/>
          <w:color w:val="0070C0"/>
          <w:sz w:val="22"/>
          <w:szCs w:val="22"/>
        </w:rPr>
      </w:pPr>
    </w:p>
    <w:p w14:paraId="1D2F2D52" w14:textId="77777777" w:rsidR="00C616C2" w:rsidRDefault="00C616C2">
      <w:pPr>
        <w:pStyle w:val="Default"/>
      </w:pPr>
      <w:r>
        <w:rPr>
          <w:rFonts w:ascii="Calibri" w:hAnsi="Calibri" w:cs="Calibri"/>
          <w:sz w:val="22"/>
          <w:szCs w:val="22"/>
        </w:rPr>
        <w:t>Účtovná jednotka nemá náplň pre túto položku.</w:t>
      </w:r>
    </w:p>
    <w:p w14:paraId="35EA774F" w14:textId="77777777" w:rsidR="00C616C2" w:rsidRDefault="00C616C2">
      <w:pPr>
        <w:rPr>
          <w:rFonts w:ascii="Calibri" w:hAnsi="Calibri" w:cs="Calibri"/>
          <w:color w:val="000000"/>
          <w:sz w:val="22"/>
          <w:szCs w:val="22"/>
        </w:rPr>
      </w:pPr>
    </w:p>
    <w:p w14:paraId="7EEFE757" w14:textId="77777777" w:rsidR="00C616C2" w:rsidRDefault="00C616C2">
      <w:pPr>
        <w:numPr>
          <w:ilvl w:val="0"/>
          <w:numId w:val="8"/>
        </w:numPr>
      </w:pPr>
      <w:r>
        <w:rPr>
          <w:rFonts w:ascii="Calibri" w:hAnsi="Calibri" w:cs="Calibri"/>
          <w:b/>
          <w:sz w:val="22"/>
          <w:szCs w:val="22"/>
        </w:rPr>
        <w:t>Majetok a záväzky zabezpečené derivátmi</w:t>
      </w:r>
    </w:p>
    <w:p w14:paraId="548AE60C" w14:textId="77777777" w:rsidR="00C616C2" w:rsidRDefault="00C616C2">
      <w:pPr>
        <w:rPr>
          <w:rFonts w:ascii="Calibri" w:hAnsi="Calibri" w:cs="Calibri"/>
          <w:b/>
          <w:sz w:val="22"/>
          <w:szCs w:val="22"/>
        </w:rPr>
      </w:pPr>
    </w:p>
    <w:p w14:paraId="6FA8347F" w14:textId="77777777" w:rsidR="00C616C2" w:rsidRDefault="00C616C2">
      <w:pPr>
        <w:pStyle w:val="Heading"/>
        <w:widowControl w:val="0"/>
        <w:spacing w:after="60"/>
        <w:jc w:val="left"/>
      </w:pPr>
      <w:r>
        <w:rPr>
          <w:rFonts w:ascii="Calibri" w:hAnsi="Calibri" w:cs="Calibri"/>
          <w:b w:val="0"/>
          <w:sz w:val="22"/>
          <w:szCs w:val="22"/>
        </w:rPr>
        <w:t xml:space="preserve">Účtovná jednotka nemá náplň pre túto položku. </w:t>
      </w:r>
    </w:p>
    <w:p w14:paraId="22F2D9AF" w14:textId="77777777" w:rsidR="00C616C2" w:rsidRDefault="00C616C2">
      <w:pPr>
        <w:pStyle w:val="Hlavika"/>
        <w:tabs>
          <w:tab w:val="clear" w:pos="4536"/>
          <w:tab w:val="clear" w:pos="9072"/>
        </w:tabs>
        <w:rPr>
          <w:rFonts w:ascii="Calibri" w:hAnsi="Calibri" w:cs="Calibri"/>
          <w:b/>
          <w:sz w:val="22"/>
          <w:szCs w:val="22"/>
          <w:highlight w:val="yellow"/>
        </w:rPr>
      </w:pPr>
    </w:p>
    <w:p w14:paraId="5995D7A1" w14:textId="77777777" w:rsidR="00C616C2" w:rsidRDefault="00C616C2">
      <w:pPr>
        <w:pStyle w:val="Hlavika"/>
        <w:numPr>
          <w:ilvl w:val="0"/>
          <w:numId w:val="11"/>
        </w:numPr>
        <w:shd w:val="clear" w:color="auto" w:fill="D9D9D9"/>
        <w:tabs>
          <w:tab w:val="clear" w:pos="4536"/>
          <w:tab w:val="clear" w:pos="9072"/>
        </w:tabs>
        <w:ind w:left="426" w:hanging="426"/>
      </w:pPr>
      <w:r>
        <w:rPr>
          <w:rFonts w:ascii="Calibri" w:hAnsi="Calibri" w:cs="Calibri"/>
          <w:sz w:val="22"/>
          <w:szCs w:val="22"/>
        </w:rPr>
        <w:t>ZÁVÄZKY</w:t>
      </w:r>
    </w:p>
    <w:p w14:paraId="647E1926" w14:textId="77777777" w:rsidR="00C616C2" w:rsidRDefault="00C616C2">
      <w:pPr>
        <w:rPr>
          <w:rFonts w:ascii="Calibri" w:hAnsi="Calibri" w:cs="Calibri"/>
          <w:b/>
          <w:sz w:val="22"/>
          <w:szCs w:val="22"/>
        </w:rPr>
      </w:pPr>
    </w:p>
    <w:p w14:paraId="5497A297" w14:textId="77777777" w:rsidR="00C616C2" w:rsidRDefault="00C616C2">
      <w:pPr>
        <w:numPr>
          <w:ilvl w:val="0"/>
          <w:numId w:val="2"/>
        </w:numPr>
        <w:ind w:left="426" w:hanging="426"/>
      </w:pPr>
      <w:r>
        <w:rPr>
          <w:rFonts w:ascii="Calibri" w:hAnsi="Calibri" w:cs="Calibri"/>
          <w:b/>
          <w:sz w:val="22"/>
          <w:szCs w:val="22"/>
        </w:rPr>
        <w:t>Záväzky so zostatkovou dobou splatnosti dlhšou ako 5 rokov</w:t>
      </w:r>
    </w:p>
    <w:p w14:paraId="58456840" w14:textId="77777777" w:rsidR="00C616C2" w:rsidRDefault="00C616C2">
      <w:pPr>
        <w:rPr>
          <w:rFonts w:ascii="Calibri" w:hAnsi="Calibri" w:cs="Calibri"/>
          <w:b/>
          <w:sz w:val="22"/>
          <w:szCs w:val="22"/>
        </w:rPr>
      </w:pPr>
    </w:p>
    <w:p w14:paraId="79BD4094" w14:textId="77777777" w:rsidR="00C616C2" w:rsidRDefault="00C616C2">
      <w:r>
        <w:rPr>
          <w:rFonts w:ascii="Calibri" w:hAnsi="Calibri" w:cs="Calibri"/>
          <w:sz w:val="22"/>
          <w:szCs w:val="22"/>
        </w:rPr>
        <w:t xml:space="preserve">Účtovná jednotka nemá náplň pre túto položku. </w:t>
      </w:r>
    </w:p>
    <w:p w14:paraId="6C636C18" w14:textId="77777777" w:rsidR="00C616C2" w:rsidRDefault="00C616C2">
      <w:pPr>
        <w:rPr>
          <w:rFonts w:ascii="Calibri" w:hAnsi="Calibri" w:cs="Calibri"/>
          <w:sz w:val="22"/>
          <w:szCs w:val="22"/>
        </w:rPr>
      </w:pPr>
    </w:p>
    <w:p w14:paraId="3D36B826" w14:textId="77777777" w:rsidR="00C616C2" w:rsidRDefault="00C616C2">
      <w:pPr>
        <w:numPr>
          <w:ilvl w:val="0"/>
          <w:numId w:val="2"/>
        </w:numPr>
        <w:ind w:left="426" w:hanging="426"/>
      </w:pPr>
      <w:r>
        <w:rPr>
          <w:rFonts w:ascii="Calibri" w:hAnsi="Calibri" w:cs="Calibri"/>
          <w:b/>
          <w:sz w:val="22"/>
          <w:szCs w:val="22"/>
        </w:rPr>
        <w:t>Zabezpečené záväzky</w:t>
      </w:r>
    </w:p>
    <w:p w14:paraId="77436524" w14:textId="77777777" w:rsidR="00C616C2" w:rsidRDefault="00C616C2">
      <w:pPr>
        <w:rPr>
          <w:rFonts w:ascii="Calibri" w:hAnsi="Calibri" w:cs="Calibri"/>
          <w:b/>
          <w:sz w:val="22"/>
          <w:szCs w:val="22"/>
        </w:rPr>
      </w:pPr>
    </w:p>
    <w:p w14:paraId="6F8C0006" w14:textId="77777777" w:rsidR="00C616C2" w:rsidRDefault="00C616C2">
      <w:r>
        <w:rPr>
          <w:rFonts w:ascii="Calibri" w:hAnsi="Calibri" w:cs="Calibri"/>
          <w:sz w:val="22"/>
          <w:szCs w:val="22"/>
        </w:rPr>
        <w:t xml:space="preserve">Účtovná jednotka nemá náplň pre túto položku. </w:t>
      </w:r>
    </w:p>
    <w:p w14:paraId="68E9E063" w14:textId="77777777" w:rsidR="00C616C2" w:rsidRDefault="00C616C2">
      <w:pPr>
        <w:rPr>
          <w:rFonts w:ascii="Calibri" w:hAnsi="Calibri" w:cs="Calibri"/>
          <w:smallCaps/>
          <w:sz w:val="22"/>
          <w:szCs w:val="22"/>
        </w:rPr>
      </w:pPr>
    </w:p>
    <w:p w14:paraId="6F5219B1" w14:textId="77777777" w:rsidR="00C616C2" w:rsidRDefault="00C616C2">
      <w:pPr>
        <w:numPr>
          <w:ilvl w:val="0"/>
          <w:numId w:val="11"/>
        </w:numPr>
        <w:shd w:val="clear" w:color="auto" w:fill="D9D9D9"/>
        <w:ind w:left="426" w:hanging="426"/>
      </w:pPr>
      <w:r>
        <w:rPr>
          <w:rFonts w:ascii="Calibri" w:hAnsi="Calibri" w:cs="Calibri"/>
          <w:smallCaps/>
          <w:sz w:val="22"/>
          <w:szCs w:val="22"/>
        </w:rPr>
        <w:t>VLASTNÉ AKCIE</w:t>
      </w:r>
    </w:p>
    <w:p w14:paraId="3BB09270" w14:textId="77777777" w:rsidR="00C616C2" w:rsidRDefault="00C616C2">
      <w:pPr>
        <w:rPr>
          <w:rFonts w:ascii="Calibri" w:hAnsi="Calibri" w:cs="Calibri"/>
          <w:smallCaps/>
          <w:sz w:val="22"/>
          <w:szCs w:val="22"/>
        </w:rPr>
      </w:pPr>
    </w:p>
    <w:p w14:paraId="7FEEA554" w14:textId="77777777" w:rsidR="00C616C2" w:rsidRDefault="00C616C2">
      <w:pPr>
        <w:pStyle w:val="Default"/>
      </w:pPr>
      <w:r>
        <w:rPr>
          <w:rFonts w:ascii="Calibri" w:hAnsi="Calibri" w:cs="Calibri"/>
          <w:sz w:val="22"/>
          <w:szCs w:val="22"/>
        </w:rPr>
        <w:t>Účtovná jednotka nemá náplň pre túto položku.</w:t>
      </w:r>
    </w:p>
    <w:p w14:paraId="01499522" w14:textId="77777777" w:rsidR="00C616C2" w:rsidRDefault="00C616C2">
      <w:pPr>
        <w:pStyle w:val="Default"/>
        <w:rPr>
          <w:rFonts w:ascii="Calibri" w:hAnsi="Calibri" w:cs="Calibri"/>
          <w:sz w:val="22"/>
          <w:szCs w:val="22"/>
        </w:rPr>
      </w:pPr>
    </w:p>
    <w:p w14:paraId="7EEAF883" w14:textId="77777777" w:rsidR="00C616C2" w:rsidRDefault="00C616C2">
      <w:pPr>
        <w:numPr>
          <w:ilvl w:val="0"/>
          <w:numId w:val="11"/>
        </w:numPr>
        <w:shd w:val="clear" w:color="auto" w:fill="D9D9D9"/>
        <w:ind w:left="426" w:hanging="426"/>
      </w:pPr>
      <w:r>
        <w:rPr>
          <w:rFonts w:ascii="Calibri" w:hAnsi="Calibri" w:cs="Calibri"/>
          <w:smallCaps/>
          <w:sz w:val="22"/>
          <w:szCs w:val="22"/>
        </w:rPr>
        <w:t>INFORMÁCIA O VYTVORENÍ KAPITÁLOVÝCH FONDOV Z PRÍSPEVKOV</w:t>
      </w:r>
    </w:p>
    <w:p w14:paraId="174CBE84" w14:textId="77777777" w:rsidR="00C616C2" w:rsidRDefault="00C616C2">
      <w:pPr>
        <w:pStyle w:val="Default"/>
        <w:rPr>
          <w:rFonts w:ascii="Calibri" w:hAnsi="Calibri" w:cs="Calibri"/>
          <w:smallCaps/>
          <w:sz w:val="22"/>
          <w:szCs w:val="22"/>
        </w:rPr>
      </w:pPr>
    </w:p>
    <w:p w14:paraId="763595CE" w14:textId="77777777" w:rsidR="00C616C2" w:rsidRDefault="00C616C2">
      <w:pPr>
        <w:pStyle w:val="Default"/>
      </w:pPr>
      <w:r>
        <w:rPr>
          <w:rFonts w:ascii="Calibri" w:hAnsi="Calibri" w:cs="Calibri"/>
          <w:sz w:val="22"/>
          <w:szCs w:val="22"/>
        </w:rPr>
        <w:t>Účtovná  jednotka vytvorila kapitálový fond z príspevkov podľa § 123 ods. 2 a § 217a Obchodného zákonníka v znení neskorších predpisov v bežnom účtovnom období.</w:t>
      </w:r>
    </w:p>
    <w:p w14:paraId="00C10776" w14:textId="77777777" w:rsidR="00C616C2" w:rsidRDefault="00C616C2">
      <w:pPr>
        <w:pStyle w:val="Default"/>
        <w:rPr>
          <w:rFonts w:ascii="Calibri" w:hAnsi="Calibri" w:cs="Calibri"/>
          <w:sz w:val="22"/>
          <w:szCs w:val="22"/>
        </w:rPr>
      </w:pPr>
    </w:p>
    <w:p w14:paraId="0847E4A8" w14:textId="77777777" w:rsidR="00C616C2" w:rsidRDefault="00C616C2">
      <w:pPr>
        <w:pStyle w:val="Default"/>
        <w:rPr>
          <w:rFonts w:ascii="Calibri" w:hAnsi="Calibri" w:cs="Calibri"/>
          <w:sz w:val="22"/>
          <w:szCs w:val="22"/>
        </w:rPr>
      </w:pPr>
    </w:p>
    <w:p w14:paraId="491BA9A5" w14:textId="77777777" w:rsidR="00C616C2" w:rsidRDefault="00C616C2">
      <w:pPr>
        <w:numPr>
          <w:ilvl w:val="0"/>
          <w:numId w:val="11"/>
        </w:numPr>
        <w:shd w:val="clear" w:color="auto" w:fill="D9D9D9"/>
        <w:ind w:left="426" w:hanging="426"/>
      </w:pPr>
      <w:r>
        <w:rPr>
          <w:rFonts w:ascii="Calibri" w:hAnsi="Calibri" w:cs="Calibri"/>
          <w:sz w:val="22"/>
          <w:szCs w:val="22"/>
        </w:rPr>
        <w:t>NÁKLADY A VÝNOSY</w:t>
      </w:r>
    </w:p>
    <w:p w14:paraId="4547EF27" w14:textId="77777777" w:rsidR="00C616C2" w:rsidRDefault="00C616C2">
      <w:pPr>
        <w:pStyle w:val="Default"/>
        <w:rPr>
          <w:rFonts w:ascii="Calibri" w:hAnsi="Calibri" w:cs="Calibri"/>
          <w:sz w:val="22"/>
          <w:szCs w:val="22"/>
        </w:rPr>
      </w:pPr>
    </w:p>
    <w:p w14:paraId="73AE82FB" w14:textId="77777777" w:rsidR="00C616C2" w:rsidRPr="00B74C5A" w:rsidRDefault="00C616C2">
      <w:pPr>
        <w:pStyle w:val="Default"/>
        <w:jc w:val="both"/>
        <w:rPr>
          <w:rFonts w:ascii="Calibri" w:hAnsi="Calibri" w:cs="Calibri"/>
          <w:sz w:val="22"/>
          <w:szCs w:val="22"/>
        </w:rPr>
      </w:pPr>
      <w:r>
        <w:rPr>
          <w:rFonts w:ascii="Calibri" w:hAnsi="Calibri" w:cs="Calibri"/>
          <w:sz w:val="22"/>
          <w:szCs w:val="22"/>
        </w:rPr>
        <w:lastRenderedPageBreak/>
        <w:t xml:space="preserve">Spoločnosť počas roka </w:t>
      </w:r>
      <w:r w:rsidR="00880FC0">
        <w:rPr>
          <w:rFonts w:ascii="Calibri" w:hAnsi="Calibri" w:cs="Calibri"/>
          <w:sz w:val="22"/>
          <w:szCs w:val="22"/>
        </w:rPr>
        <w:t xml:space="preserve">2025 </w:t>
      </w:r>
      <w:r>
        <w:rPr>
          <w:rFonts w:ascii="Calibri" w:hAnsi="Calibri" w:cs="Calibri"/>
          <w:sz w:val="22"/>
          <w:szCs w:val="22"/>
        </w:rPr>
        <w:t xml:space="preserve">neúčtovala o vzniku výnimočných nákladov a výnosov, ktoré by mali výnimočný rozsah alebo výskyt, napríklad výnosy z predaja podniku alebo časti podniku, náklady z dôvodu predaja podniku alebo časti podniku, škody z dôvodu živelných pohrôm. </w:t>
      </w:r>
    </w:p>
    <w:p w14:paraId="08E3D2E5" w14:textId="77777777" w:rsidR="00C616C2" w:rsidRDefault="00C616C2">
      <w:pPr>
        <w:pStyle w:val="Default"/>
        <w:rPr>
          <w:rFonts w:ascii="Calibri" w:hAnsi="Calibri" w:cs="Calibri"/>
          <w:sz w:val="22"/>
          <w:szCs w:val="22"/>
        </w:rPr>
      </w:pPr>
    </w:p>
    <w:p w14:paraId="271E4A79" w14:textId="77777777" w:rsidR="00C616C2" w:rsidRDefault="00C616C2">
      <w:pPr>
        <w:rPr>
          <w:rFonts w:ascii="Calibri" w:hAnsi="Calibri" w:cs="Calibri"/>
          <w:color w:val="000000"/>
          <w:sz w:val="22"/>
          <w:szCs w:val="22"/>
        </w:rPr>
      </w:pPr>
    </w:p>
    <w:p w14:paraId="501BCF09" w14:textId="77777777" w:rsidR="00C616C2" w:rsidRDefault="00C616C2">
      <w:pPr>
        <w:jc w:val="center"/>
      </w:pPr>
      <w:r>
        <w:rPr>
          <w:rFonts w:ascii="Calibri" w:hAnsi="Calibri" w:cs="Calibri"/>
          <w:b/>
          <w:sz w:val="22"/>
          <w:szCs w:val="22"/>
        </w:rPr>
        <w:t>ČL. V</w:t>
      </w:r>
    </w:p>
    <w:p w14:paraId="55E26642" w14:textId="77777777" w:rsidR="00C616C2" w:rsidRDefault="00C616C2">
      <w:pPr>
        <w:jc w:val="center"/>
      </w:pPr>
      <w:r>
        <w:rPr>
          <w:rFonts w:ascii="Calibri" w:hAnsi="Calibri" w:cs="Calibri"/>
          <w:b/>
          <w:sz w:val="22"/>
          <w:szCs w:val="22"/>
        </w:rPr>
        <w:t>INÉ AKTÍVA A INÉ PASÍVA</w:t>
      </w:r>
    </w:p>
    <w:p w14:paraId="6979D195" w14:textId="77777777" w:rsidR="00C616C2" w:rsidRDefault="00C616C2">
      <w:pPr>
        <w:rPr>
          <w:rFonts w:ascii="Calibri" w:hAnsi="Calibri" w:cs="Calibri"/>
          <w:b/>
          <w:sz w:val="22"/>
          <w:szCs w:val="22"/>
        </w:rPr>
      </w:pPr>
    </w:p>
    <w:p w14:paraId="016A38A5" w14:textId="77777777" w:rsidR="00C616C2" w:rsidRDefault="00C616C2">
      <w:pPr>
        <w:rPr>
          <w:rFonts w:ascii="Calibri" w:hAnsi="Calibri" w:cs="Calibri"/>
          <w:b/>
          <w:sz w:val="22"/>
          <w:szCs w:val="22"/>
        </w:rPr>
      </w:pPr>
    </w:p>
    <w:p w14:paraId="630BBA8D" w14:textId="77777777" w:rsidR="00C616C2" w:rsidRDefault="00C616C2">
      <w:pPr>
        <w:numPr>
          <w:ilvl w:val="0"/>
          <w:numId w:val="13"/>
        </w:numPr>
        <w:shd w:val="clear" w:color="auto" w:fill="D9D9D9"/>
      </w:pPr>
      <w:r>
        <w:rPr>
          <w:rFonts w:ascii="Calibri" w:hAnsi="Calibri" w:cs="Calibri"/>
          <w:sz w:val="22"/>
          <w:szCs w:val="22"/>
        </w:rPr>
        <w:t>PODMIENENÝ MAJETOK A PODMIENENÉ ZÁV</w:t>
      </w:r>
      <w:r>
        <w:rPr>
          <w:rFonts w:ascii="Calibri" w:hAnsi="Calibri" w:cs="Calibri"/>
          <w:sz w:val="22"/>
          <w:szCs w:val="22"/>
          <w:lang w:val="de-LI"/>
        </w:rPr>
        <w:t>ÄZKY</w:t>
      </w:r>
    </w:p>
    <w:p w14:paraId="54009E4C" w14:textId="77777777" w:rsidR="00C616C2" w:rsidRDefault="00C616C2">
      <w:pPr>
        <w:pStyle w:val="Heading"/>
        <w:spacing w:after="60"/>
        <w:jc w:val="left"/>
        <w:rPr>
          <w:rFonts w:ascii="Calibri" w:hAnsi="Calibri" w:cs="Calibri"/>
          <w:sz w:val="22"/>
          <w:szCs w:val="22"/>
        </w:rPr>
      </w:pPr>
    </w:p>
    <w:p w14:paraId="36C59E34" w14:textId="77777777" w:rsidR="00C616C2" w:rsidRDefault="00C616C2">
      <w:pPr>
        <w:pStyle w:val="Heading"/>
        <w:numPr>
          <w:ilvl w:val="0"/>
          <w:numId w:val="3"/>
        </w:numPr>
        <w:spacing w:after="60"/>
        <w:jc w:val="left"/>
      </w:pPr>
      <w:r>
        <w:rPr>
          <w:rFonts w:ascii="Calibri" w:hAnsi="Calibri" w:cs="Calibri"/>
          <w:sz w:val="22"/>
          <w:szCs w:val="22"/>
        </w:rPr>
        <w:t>Podmienený majetok</w:t>
      </w:r>
    </w:p>
    <w:p w14:paraId="56530D80" w14:textId="77777777" w:rsidR="00C616C2" w:rsidRDefault="00C616C2">
      <w:pPr>
        <w:pStyle w:val="Heading"/>
        <w:spacing w:after="60"/>
        <w:ind w:left="720"/>
        <w:jc w:val="left"/>
        <w:rPr>
          <w:rFonts w:ascii="Calibri" w:hAnsi="Calibri" w:cs="Calibri"/>
          <w:sz w:val="22"/>
          <w:szCs w:val="22"/>
        </w:rPr>
      </w:pPr>
    </w:p>
    <w:p w14:paraId="4B39D4D2" w14:textId="77777777" w:rsidR="00C616C2" w:rsidRDefault="00C616C2">
      <w:pPr>
        <w:pStyle w:val="Default"/>
      </w:pPr>
      <w:r>
        <w:rPr>
          <w:rFonts w:ascii="Calibri" w:hAnsi="Calibri" w:cs="Calibri"/>
          <w:sz w:val="22"/>
          <w:szCs w:val="22"/>
        </w:rPr>
        <w:t>Účtovná jednotka nemá náplň pre túto položku.</w:t>
      </w:r>
    </w:p>
    <w:p w14:paraId="04A656A8" w14:textId="77777777" w:rsidR="00C616C2" w:rsidRDefault="00C616C2">
      <w:pPr>
        <w:pStyle w:val="Default"/>
        <w:rPr>
          <w:rFonts w:ascii="Calibri" w:hAnsi="Calibri" w:cs="Calibri"/>
          <w:sz w:val="22"/>
          <w:szCs w:val="22"/>
        </w:rPr>
      </w:pPr>
    </w:p>
    <w:p w14:paraId="7C5720C0" w14:textId="77777777" w:rsidR="00C616C2" w:rsidRDefault="00C616C2">
      <w:pPr>
        <w:pStyle w:val="Default"/>
        <w:rPr>
          <w:rFonts w:ascii="Calibri" w:hAnsi="Calibri" w:cs="Calibri"/>
          <w:sz w:val="22"/>
          <w:szCs w:val="22"/>
        </w:rPr>
      </w:pPr>
    </w:p>
    <w:p w14:paraId="35906F05" w14:textId="77777777" w:rsidR="00C616C2" w:rsidRDefault="00C616C2">
      <w:pPr>
        <w:pStyle w:val="Heading"/>
        <w:numPr>
          <w:ilvl w:val="0"/>
          <w:numId w:val="3"/>
        </w:numPr>
        <w:spacing w:after="60"/>
        <w:jc w:val="left"/>
      </w:pPr>
      <w:r>
        <w:rPr>
          <w:rFonts w:ascii="Calibri" w:hAnsi="Calibri" w:cs="Calibri"/>
          <w:sz w:val="22"/>
          <w:szCs w:val="22"/>
        </w:rPr>
        <w:t>Podmienené záväzky</w:t>
      </w:r>
    </w:p>
    <w:p w14:paraId="00FFE3AB" w14:textId="77777777" w:rsidR="00C616C2" w:rsidRDefault="00C616C2">
      <w:pPr>
        <w:pStyle w:val="Heading"/>
        <w:spacing w:after="60"/>
        <w:ind w:left="720"/>
        <w:jc w:val="left"/>
        <w:rPr>
          <w:rFonts w:ascii="Calibri" w:hAnsi="Calibri" w:cs="Calibri"/>
          <w:sz w:val="22"/>
          <w:szCs w:val="22"/>
          <w:highlight w:val="yellow"/>
        </w:rPr>
      </w:pPr>
      <w:bookmarkStart w:id="1" w:name="_Hlk99548866"/>
    </w:p>
    <w:p w14:paraId="73CDCA38" w14:textId="77777777" w:rsidR="00CD723F" w:rsidRPr="002A4556" w:rsidRDefault="00CD723F" w:rsidP="00CD723F">
      <w:pPr>
        <w:rPr>
          <w:rFonts w:ascii="Calibri" w:hAnsi="Calibri" w:cs="Calibri"/>
          <w:sz w:val="22"/>
          <w:szCs w:val="22"/>
        </w:rPr>
      </w:pPr>
      <w:r w:rsidRPr="002A4556">
        <w:rPr>
          <w:rFonts w:ascii="Calibri" w:hAnsi="Calibri" w:cs="Calibri"/>
          <w:sz w:val="22"/>
          <w:szCs w:val="22"/>
        </w:rPr>
        <w:t>V roku 2025 bol splátkový úver vo výške 550 tis. EUR splatený v plnom rozsahu. V súčasnosti má spoločnosť poskytnuté výlučne kontokorentné úvery, a to v SLSP s rámcom 300 tis. EUR a v UniCredit Bank s možnosťou čerpania až do výšky 500 tis. EUR.</w:t>
      </w:r>
      <w:r>
        <w:rPr>
          <w:rFonts w:ascii="Calibri" w:hAnsi="Calibri" w:cs="Calibri"/>
          <w:sz w:val="22"/>
          <w:szCs w:val="22"/>
        </w:rPr>
        <w:t xml:space="preserve"> Úvery sú zabezpečené záložným právom k nehnuteľnému majetku.</w:t>
      </w:r>
    </w:p>
    <w:p w14:paraId="38D3C1E7" w14:textId="77777777" w:rsidR="00CD723F" w:rsidRDefault="00CD723F" w:rsidP="00CD723F">
      <w:pPr>
        <w:pStyle w:val="Heading"/>
        <w:spacing w:after="60"/>
        <w:ind w:left="720"/>
        <w:jc w:val="left"/>
        <w:rPr>
          <w:rFonts w:ascii="Calibri" w:hAnsi="Calibri" w:cs="Calibri"/>
          <w:sz w:val="22"/>
          <w:szCs w:val="22"/>
          <w:highlight w:val="yellow"/>
        </w:rPr>
      </w:pPr>
    </w:p>
    <w:p w14:paraId="2EC28E2A" w14:textId="77777777" w:rsidR="00CD723F" w:rsidRDefault="00CD723F" w:rsidP="00CD723F">
      <w:r>
        <w:rPr>
          <w:rFonts w:ascii="Calibri" w:hAnsi="Calibri" w:cs="Calibri"/>
          <w:sz w:val="22"/>
          <w:szCs w:val="22"/>
        </w:rPr>
        <w:t>Ďalej spoločnosť poskytla bankové záruky v celkovej výške 119 760  EUR.</w:t>
      </w:r>
    </w:p>
    <w:bookmarkEnd w:id="1"/>
    <w:p w14:paraId="78D4B387" w14:textId="77777777" w:rsidR="00C616C2" w:rsidRDefault="00C616C2">
      <w:pPr>
        <w:pStyle w:val="Heading"/>
        <w:spacing w:after="60"/>
        <w:jc w:val="left"/>
        <w:rPr>
          <w:rFonts w:ascii="Calibri" w:hAnsi="Calibri" w:cs="Calibri"/>
          <w:sz w:val="22"/>
          <w:szCs w:val="22"/>
          <w:highlight w:val="yellow"/>
        </w:rPr>
      </w:pPr>
    </w:p>
    <w:p w14:paraId="12F82CD2" w14:textId="77777777" w:rsidR="00C616C2" w:rsidRDefault="00C616C2">
      <w:pPr>
        <w:pStyle w:val="Heading"/>
        <w:jc w:val="left"/>
        <w:rPr>
          <w:rFonts w:ascii="Calibri" w:hAnsi="Calibri" w:cs="Calibri"/>
          <w:sz w:val="22"/>
          <w:szCs w:val="22"/>
          <w:highlight w:val="green"/>
        </w:rPr>
      </w:pPr>
    </w:p>
    <w:p w14:paraId="55DC219F" w14:textId="77777777" w:rsidR="00C616C2" w:rsidRDefault="00C616C2">
      <w:pPr>
        <w:numPr>
          <w:ilvl w:val="0"/>
          <w:numId w:val="13"/>
        </w:numPr>
        <w:shd w:val="clear" w:color="auto" w:fill="D9D9D9"/>
      </w:pPr>
      <w:r>
        <w:rPr>
          <w:rFonts w:ascii="Calibri" w:hAnsi="Calibri" w:cs="Calibri"/>
          <w:sz w:val="22"/>
          <w:szCs w:val="22"/>
        </w:rPr>
        <w:t>OSTATNÉ FINANČNÉ POVINNOSTI</w:t>
      </w:r>
    </w:p>
    <w:p w14:paraId="7902A67A" w14:textId="77777777" w:rsidR="00C616C2" w:rsidRDefault="00C616C2">
      <w:pPr>
        <w:rPr>
          <w:rFonts w:ascii="Calibri" w:hAnsi="Calibri" w:cs="Calibri"/>
          <w:sz w:val="22"/>
          <w:szCs w:val="22"/>
        </w:rPr>
      </w:pPr>
    </w:p>
    <w:p w14:paraId="75B98EBA" w14:textId="77777777" w:rsidR="00C616C2" w:rsidRDefault="00C616C2">
      <w:pPr>
        <w:pStyle w:val="Default"/>
      </w:pPr>
      <w:r>
        <w:rPr>
          <w:rFonts w:ascii="Calibri" w:hAnsi="Calibri" w:cs="Calibri"/>
          <w:sz w:val="22"/>
          <w:szCs w:val="22"/>
        </w:rPr>
        <w:t>Účtovná jednotka nemá náplň pre túto položku.</w:t>
      </w:r>
    </w:p>
    <w:p w14:paraId="6AA571E0" w14:textId="77777777" w:rsidR="00C616C2" w:rsidRDefault="00C616C2">
      <w:pPr>
        <w:rPr>
          <w:rFonts w:ascii="Calibri" w:hAnsi="Calibri" w:cs="Calibri"/>
          <w:color w:val="000000"/>
          <w:sz w:val="22"/>
          <w:szCs w:val="22"/>
          <w:highlight w:val="yellow"/>
        </w:rPr>
      </w:pPr>
    </w:p>
    <w:p w14:paraId="680E8566" w14:textId="77777777" w:rsidR="00C616C2" w:rsidRDefault="00C616C2">
      <w:pPr>
        <w:numPr>
          <w:ilvl w:val="0"/>
          <w:numId w:val="13"/>
        </w:numPr>
        <w:shd w:val="clear" w:color="auto" w:fill="D9D9D9"/>
      </w:pPr>
      <w:r>
        <w:rPr>
          <w:rFonts w:ascii="Calibri" w:hAnsi="Calibri" w:cs="Calibri"/>
          <w:smallCaps/>
          <w:sz w:val="22"/>
          <w:szCs w:val="22"/>
        </w:rPr>
        <w:t>PODSÚVAHOVÉ ÚČTY</w:t>
      </w:r>
    </w:p>
    <w:p w14:paraId="102090E5" w14:textId="77777777" w:rsidR="00C616C2" w:rsidRDefault="00C616C2">
      <w:pPr>
        <w:pStyle w:val="Default"/>
        <w:rPr>
          <w:rFonts w:ascii="Calibri" w:hAnsi="Calibri" w:cs="Calibri"/>
          <w:smallCaps/>
          <w:sz w:val="22"/>
          <w:szCs w:val="22"/>
        </w:rPr>
      </w:pPr>
    </w:p>
    <w:p w14:paraId="4C6357D0" w14:textId="77777777" w:rsidR="00C616C2" w:rsidRDefault="00C616C2">
      <w:pPr>
        <w:pStyle w:val="Default"/>
      </w:pPr>
      <w:r>
        <w:rPr>
          <w:rFonts w:ascii="Calibri" w:hAnsi="Calibri" w:cs="Calibri"/>
          <w:sz w:val="22"/>
          <w:szCs w:val="22"/>
        </w:rPr>
        <w:t>Účtovná jednotka nemá náplň pre túto položku.</w:t>
      </w:r>
    </w:p>
    <w:p w14:paraId="1A2CB05D" w14:textId="77777777" w:rsidR="00C616C2" w:rsidRDefault="00C616C2">
      <w:pPr>
        <w:jc w:val="center"/>
        <w:rPr>
          <w:rFonts w:ascii="Calibri" w:hAnsi="Calibri" w:cs="Calibri"/>
          <w:b/>
          <w:color w:val="000000"/>
          <w:sz w:val="22"/>
          <w:szCs w:val="22"/>
          <w:highlight w:val="yellow"/>
        </w:rPr>
      </w:pPr>
    </w:p>
    <w:p w14:paraId="3F76A58B" w14:textId="77777777" w:rsidR="00C616C2" w:rsidRDefault="00C616C2">
      <w:pPr>
        <w:jc w:val="center"/>
        <w:rPr>
          <w:rFonts w:ascii="Calibri" w:hAnsi="Calibri" w:cs="Calibri"/>
          <w:b/>
          <w:color w:val="000000"/>
          <w:sz w:val="22"/>
          <w:szCs w:val="22"/>
          <w:highlight w:val="yellow"/>
        </w:rPr>
      </w:pPr>
    </w:p>
    <w:p w14:paraId="45B9A375" w14:textId="77777777" w:rsidR="00C616C2" w:rsidRDefault="00C616C2">
      <w:pPr>
        <w:jc w:val="center"/>
      </w:pPr>
      <w:r>
        <w:rPr>
          <w:rFonts w:ascii="Calibri" w:hAnsi="Calibri" w:cs="Calibri"/>
          <w:b/>
          <w:sz w:val="22"/>
          <w:szCs w:val="22"/>
        </w:rPr>
        <w:t>ČL. VI</w:t>
      </w:r>
    </w:p>
    <w:p w14:paraId="7DC090CC" w14:textId="77777777" w:rsidR="00C616C2" w:rsidRDefault="00C616C2">
      <w:pPr>
        <w:jc w:val="center"/>
      </w:pPr>
      <w:r>
        <w:rPr>
          <w:rFonts w:ascii="Calibri" w:hAnsi="Calibri" w:cs="Calibri"/>
          <w:b/>
          <w:sz w:val="22"/>
          <w:szCs w:val="22"/>
        </w:rPr>
        <w:t>UDALOSTI, KTORÉ NASTALI PO DNI, KU KTORÉMU SA ZOSTAVUJE ÚČTOVNÁ ZÁVIERKA</w:t>
      </w:r>
    </w:p>
    <w:p w14:paraId="5F7FE562" w14:textId="77777777" w:rsidR="00C616C2" w:rsidRDefault="00C616C2">
      <w:pPr>
        <w:rPr>
          <w:rFonts w:ascii="Calibri" w:hAnsi="Calibri" w:cs="Calibri"/>
          <w:b/>
          <w:sz w:val="22"/>
          <w:szCs w:val="22"/>
        </w:rPr>
      </w:pPr>
    </w:p>
    <w:p w14:paraId="488FC36F" w14:textId="77777777" w:rsidR="00C616C2" w:rsidRDefault="00C616C2">
      <w:pPr>
        <w:jc w:val="left"/>
      </w:pPr>
      <w:r>
        <w:rPr>
          <w:rFonts w:ascii="Calibri" w:hAnsi="Calibri" w:cs="Calibri"/>
          <w:bCs/>
          <w:color w:val="000000"/>
          <w:sz w:val="22"/>
          <w:szCs w:val="22"/>
        </w:rPr>
        <w:t>Spoločnosti nie sú známe žiadne iné skutočnosti, ktoré vznikli po dni, ku ktorému je zostavená účtovná závierka, ktoré by významnejším spôsobom menili výsledky účtovnej závierky za rok 20</w:t>
      </w:r>
      <w:r w:rsidR="00742676">
        <w:rPr>
          <w:rFonts w:ascii="Calibri" w:hAnsi="Calibri" w:cs="Calibri"/>
          <w:bCs/>
          <w:color w:val="000000"/>
          <w:sz w:val="22"/>
          <w:szCs w:val="22"/>
        </w:rPr>
        <w:t>25</w:t>
      </w:r>
      <w:r>
        <w:rPr>
          <w:rFonts w:ascii="Calibri" w:hAnsi="Calibri" w:cs="Calibri"/>
          <w:bCs/>
          <w:color w:val="000000"/>
          <w:sz w:val="22"/>
          <w:szCs w:val="22"/>
        </w:rPr>
        <w:t xml:space="preserve"> resp. by významnejším spôsobom ovplyvnili činnosť spoločnosti v nasledujúcich účtovných obdobiach. </w:t>
      </w:r>
    </w:p>
    <w:p w14:paraId="4E494334" w14:textId="77777777" w:rsidR="00C616C2" w:rsidRDefault="00C616C2">
      <w:pPr>
        <w:rPr>
          <w:rFonts w:ascii="Calibri" w:hAnsi="Calibri" w:cs="Calibri"/>
          <w:sz w:val="22"/>
          <w:szCs w:val="22"/>
        </w:rPr>
      </w:pPr>
    </w:p>
    <w:p w14:paraId="6BA3FF79" w14:textId="77777777" w:rsidR="00C616C2" w:rsidRDefault="00C616C2">
      <w:pPr>
        <w:rPr>
          <w:rFonts w:ascii="Calibri" w:hAnsi="Calibri" w:cs="Calibri"/>
          <w:sz w:val="22"/>
          <w:szCs w:val="22"/>
        </w:rPr>
      </w:pPr>
    </w:p>
    <w:p w14:paraId="0D8CC024" w14:textId="77777777" w:rsidR="00C616C2" w:rsidRDefault="00C616C2">
      <w:pPr>
        <w:jc w:val="center"/>
      </w:pPr>
      <w:r>
        <w:rPr>
          <w:rFonts w:ascii="Calibri" w:hAnsi="Calibri" w:cs="Calibri"/>
          <w:b/>
          <w:sz w:val="22"/>
          <w:szCs w:val="22"/>
        </w:rPr>
        <w:t>ČL. VII</w:t>
      </w:r>
    </w:p>
    <w:p w14:paraId="6BB3F03B" w14:textId="77777777" w:rsidR="00C616C2" w:rsidRDefault="00C616C2">
      <w:pPr>
        <w:jc w:val="center"/>
      </w:pPr>
      <w:r>
        <w:rPr>
          <w:rFonts w:ascii="Calibri" w:hAnsi="Calibri" w:cs="Calibri"/>
          <w:b/>
          <w:sz w:val="22"/>
          <w:szCs w:val="22"/>
        </w:rPr>
        <w:t>OSTATNÉ INFORMÁCIE</w:t>
      </w:r>
    </w:p>
    <w:p w14:paraId="7113E863" w14:textId="77777777" w:rsidR="00C616C2" w:rsidRDefault="00C616C2">
      <w:pPr>
        <w:pStyle w:val="Default"/>
        <w:rPr>
          <w:rFonts w:ascii="Calibri" w:hAnsi="Calibri" w:cs="Calibri"/>
          <w:b/>
          <w:sz w:val="22"/>
          <w:szCs w:val="22"/>
        </w:rPr>
      </w:pPr>
    </w:p>
    <w:p w14:paraId="23C71FF8" w14:textId="77777777" w:rsidR="00C616C2" w:rsidRDefault="00C616C2">
      <w:pPr>
        <w:pStyle w:val="Default"/>
        <w:spacing w:after="14"/>
        <w:jc w:val="both"/>
      </w:pPr>
      <w:r>
        <w:rPr>
          <w:rFonts w:ascii="Calibri" w:hAnsi="Calibri" w:cs="Calibri"/>
          <w:iCs/>
          <w:sz w:val="22"/>
          <w:szCs w:val="22"/>
        </w:rPr>
        <w:lastRenderedPageBreak/>
        <w:t xml:space="preserve">1. V poznámkach sa uvádza 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 </w:t>
      </w:r>
    </w:p>
    <w:p w14:paraId="29222644" w14:textId="77777777" w:rsidR="00C616C2" w:rsidRDefault="00C616C2">
      <w:pPr>
        <w:pStyle w:val="Default"/>
        <w:spacing w:after="14"/>
        <w:jc w:val="both"/>
      </w:pPr>
      <w:r>
        <w:rPr>
          <w:rFonts w:ascii="Calibri" w:hAnsi="Calibri" w:cs="Calibri"/>
          <w:iCs/>
          <w:sz w:val="22"/>
          <w:szCs w:val="22"/>
        </w:rPr>
        <w:t xml:space="preserve">a) všetkých formách prijatej náhrady, </w:t>
      </w:r>
    </w:p>
    <w:p w14:paraId="1E22C8E2" w14:textId="77777777" w:rsidR="00C616C2" w:rsidRDefault="00C616C2">
      <w:pPr>
        <w:pStyle w:val="Default"/>
        <w:spacing w:after="14"/>
        <w:jc w:val="both"/>
      </w:pPr>
      <w:r>
        <w:rPr>
          <w:rFonts w:ascii="Calibri" w:hAnsi="Calibri" w:cs="Calibri"/>
          <w:iCs/>
          <w:sz w:val="22"/>
          <w:szCs w:val="22"/>
        </w:rPr>
        <w:t xml:space="preserve">b) účtovných zásadách použitých pri prideľovaní nákladov a výnosov, </w:t>
      </w:r>
    </w:p>
    <w:p w14:paraId="37815933" w14:textId="77777777" w:rsidR="00C616C2" w:rsidRDefault="00C616C2">
      <w:pPr>
        <w:pStyle w:val="Default"/>
        <w:jc w:val="both"/>
      </w:pPr>
      <w:r>
        <w:rPr>
          <w:rFonts w:ascii="Calibri" w:hAnsi="Calibri" w:cs="Calibri"/>
          <w:iCs/>
          <w:sz w:val="22"/>
          <w:szCs w:val="22"/>
        </w:rPr>
        <w:t xml:space="preserve">c) všetkých druhoch činností účtovnej jednotky. </w:t>
      </w:r>
    </w:p>
    <w:p w14:paraId="7847BDDC" w14:textId="77777777" w:rsidR="00C616C2" w:rsidRDefault="00C616C2">
      <w:pPr>
        <w:pStyle w:val="Default"/>
        <w:jc w:val="both"/>
        <w:rPr>
          <w:rFonts w:ascii="Calibri" w:hAnsi="Calibri" w:cs="Calibri"/>
          <w:iCs/>
          <w:sz w:val="22"/>
          <w:szCs w:val="22"/>
        </w:rPr>
      </w:pPr>
    </w:p>
    <w:p w14:paraId="734B93EF" w14:textId="77777777" w:rsidR="00C616C2" w:rsidRDefault="00C616C2">
      <w:pPr>
        <w:pStyle w:val="Default"/>
        <w:spacing w:after="14"/>
        <w:jc w:val="both"/>
      </w:pPr>
      <w:r>
        <w:rPr>
          <w:rFonts w:ascii="Calibri" w:hAnsi="Calibri" w:cs="Calibri"/>
          <w:iCs/>
          <w:sz w:val="22"/>
          <w:szCs w:val="22"/>
        </w:rPr>
        <w:t xml:space="preserve">2. V poznámkach účtovnej jednotky, na ktorú sa vzťahuje § 23d ods. 6 zákona, ktorej činnosť je zaradená do kategórie priemyselnej výroby podľa osobitného predpisu23) a ktorej čistý obrat za bezprostredne predchádzajúce účtovné obdobie bol väčší ako 250 000 000 eur, sa uvedú aj informácie o </w:t>
      </w:r>
    </w:p>
    <w:p w14:paraId="35773122" w14:textId="77777777" w:rsidR="00C616C2" w:rsidRDefault="00C616C2">
      <w:pPr>
        <w:pStyle w:val="Default"/>
        <w:spacing w:after="14"/>
        <w:jc w:val="both"/>
      </w:pPr>
      <w:r>
        <w:rPr>
          <w:rFonts w:ascii="Calibri" w:hAnsi="Calibri" w:cs="Calibri"/>
          <w:iCs/>
          <w:sz w:val="22"/>
          <w:szCs w:val="22"/>
        </w:rPr>
        <w:t xml:space="preserve">a) 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 </w:t>
      </w:r>
    </w:p>
    <w:p w14:paraId="38A4C230" w14:textId="77777777" w:rsidR="00C616C2" w:rsidRDefault="00C616C2">
      <w:pPr>
        <w:pStyle w:val="Default"/>
        <w:spacing w:after="14"/>
        <w:jc w:val="both"/>
      </w:pPr>
      <w:r>
        <w:rPr>
          <w:rFonts w:ascii="Calibri" w:hAnsi="Calibri" w:cs="Calibri"/>
          <w:iCs/>
          <w:sz w:val="22"/>
          <w:szCs w:val="22"/>
        </w:rPr>
        <w:t xml:space="preserve">b) cenných papieroch vo vlastníctve orgánov verejnej moci a iných osôb, v ktorých má orgán verejnej moci väčšinový podiel na hlasovacích právach, s ktorými je spojené právo na výmenu za akcie, napríklad konvertibilné dlhopisy, </w:t>
      </w:r>
    </w:p>
    <w:p w14:paraId="23BA874D" w14:textId="77777777" w:rsidR="00C616C2" w:rsidRDefault="00C616C2">
      <w:pPr>
        <w:pStyle w:val="Default"/>
        <w:spacing w:after="14"/>
        <w:jc w:val="both"/>
      </w:pPr>
      <w:r>
        <w:rPr>
          <w:rFonts w:ascii="Calibri" w:hAnsi="Calibri" w:cs="Calibri"/>
          <w:iCs/>
          <w:sz w:val="22"/>
          <w:szCs w:val="22"/>
        </w:rPr>
        <w:t xml:space="preserve">c) výške dotácií a návratných finančných výpomocí, </w:t>
      </w:r>
    </w:p>
    <w:p w14:paraId="45E562F9" w14:textId="77777777" w:rsidR="00C616C2" w:rsidRDefault="00C616C2">
      <w:pPr>
        <w:pStyle w:val="Default"/>
        <w:spacing w:after="14"/>
        <w:jc w:val="both"/>
      </w:pPr>
      <w:r>
        <w:rPr>
          <w:rFonts w:ascii="Calibri" w:hAnsi="Calibri" w:cs="Calibri"/>
          <w:iCs/>
          <w:sz w:val="22"/>
          <w:szCs w:val="22"/>
        </w:rPr>
        <w:t xml:space="preserve">d) prijatých úveroch, poskytnutých prečerpaniach úverov, prijatých kapitálových príspevkoch s uvedením úrokových sadzieb a o podmienkach poskytnutia úveru a zárukách poskytnutých účtovnou jednotkou, </w:t>
      </w:r>
    </w:p>
    <w:p w14:paraId="0C12C7AC" w14:textId="77777777" w:rsidR="00C616C2" w:rsidRDefault="00C616C2">
      <w:pPr>
        <w:pStyle w:val="Default"/>
        <w:jc w:val="both"/>
      </w:pPr>
      <w:r>
        <w:rPr>
          <w:rFonts w:ascii="Calibri" w:hAnsi="Calibri" w:cs="Calibri"/>
          <w:iCs/>
          <w:sz w:val="22"/>
          <w:szCs w:val="22"/>
        </w:rPr>
        <w:t xml:space="preserve">e) zárukách poskytnutých orgánom verejnej moci a zárukách poskytnutých inou účtovnou jednotkou, v ktorej má orgán verejnej moci väčšinový podiel na hlasovacích právach, podmienkach ich poskytnutia a nákladoch na ich získanie, </w:t>
      </w:r>
    </w:p>
    <w:p w14:paraId="4782C376" w14:textId="77777777" w:rsidR="00C616C2" w:rsidRDefault="00C616C2">
      <w:pPr>
        <w:pStyle w:val="Default"/>
        <w:jc w:val="both"/>
      </w:pPr>
      <w:r>
        <w:rPr>
          <w:rFonts w:ascii="Calibri" w:hAnsi="Calibri" w:cs="Calibri"/>
          <w:iCs/>
          <w:sz w:val="22"/>
          <w:szCs w:val="22"/>
        </w:rPr>
        <w:t xml:space="preserve">3) Sekcia C prílohy vyhlášky Štatistického úradu Slovenskej republiky č. 306/2007 Z. z., ktorou sa vydáva Štatistická klasifikácia ekonomických činností. 9 </w:t>
      </w:r>
    </w:p>
    <w:p w14:paraId="7E91659F" w14:textId="77777777" w:rsidR="00C616C2" w:rsidRDefault="00C616C2">
      <w:pPr>
        <w:pStyle w:val="Default"/>
        <w:spacing w:after="17"/>
        <w:jc w:val="both"/>
      </w:pPr>
      <w:r>
        <w:rPr>
          <w:rFonts w:ascii="Calibri" w:hAnsi="Calibri" w:cs="Calibri"/>
          <w:iCs/>
          <w:sz w:val="22"/>
          <w:szCs w:val="22"/>
        </w:rPr>
        <w:t xml:space="preserve">f) vyplatených dividendách a výške nerozdeleného zisku, </w:t>
      </w:r>
    </w:p>
    <w:p w14:paraId="2AF48A36" w14:textId="77777777" w:rsidR="00C616C2" w:rsidRDefault="00C616C2">
      <w:pPr>
        <w:pStyle w:val="Default"/>
        <w:jc w:val="both"/>
      </w:pPr>
      <w:r>
        <w:rPr>
          <w:rFonts w:ascii="Calibri" w:hAnsi="Calibri" w:cs="Calibri"/>
          <w:iCs/>
          <w:sz w:val="22"/>
          <w:szCs w:val="22"/>
        </w:rPr>
        <w:t xml:space="preserve">g) iných formách prijatej štátnej pomoci, najmä odpustenie súm, ktoré účtovná jednotka dlhuje štátu alebo inému subjektu verejnej správy. </w:t>
      </w:r>
    </w:p>
    <w:p w14:paraId="0267006E" w14:textId="77777777" w:rsidR="00C616C2" w:rsidRDefault="00C616C2">
      <w:pPr>
        <w:pStyle w:val="Default"/>
        <w:jc w:val="both"/>
        <w:rPr>
          <w:rFonts w:ascii="Calibri" w:hAnsi="Calibri" w:cs="Calibri"/>
          <w:iCs/>
          <w:sz w:val="22"/>
          <w:szCs w:val="22"/>
        </w:rPr>
      </w:pPr>
    </w:p>
    <w:p w14:paraId="44882206" w14:textId="77777777" w:rsidR="00C616C2" w:rsidRDefault="00C616C2">
      <w:pPr>
        <w:pStyle w:val="Default"/>
        <w:spacing w:after="17"/>
        <w:jc w:val="both"/>
      </w:pPr>
      <w:r>
        <w:rPr>
          <w:rFonts w:ascii="Calibri" w:hAnsi="Calibri" w:cs="Calibri"/>
          <w:iCs/>
          <w:sz w:val="22"/>
          <w:szCs w:val="22"/>
        </w:rPr>
        <w:t xml:space="preserve">3. V poznámkach účtovnej jednotky, na ktorú sa vzťahuje § 23d ods. 6 zákona, sa uvedú aj informácie o finančných vzťahoch medzi orgánom verejnej moci a účtovnou jednotkou a to o: </w:t>
      </w:r>
    </w:p>
    <w:p w14:paraId="358E2483" w14:textId="77777777" w:rsidR="00C616C2" w:rsidRDefault="00C616C2">
      <w:pPr>
        <w:pStyle w:val="Default"/>
        <w:spacing w:after="17"/>
        <w:jc w:val="both"/>
      </w:pPr>
      <w:r>
        <w:rPr>
          <w:rFonts w:ascii="Calibri" w:hAnsi="Calibri" w:cs="Calibri"/>
          <w:iCs/>
          <w:sz w:val="22"/>
          <w:szCs w:val="22"/>
        </w:rPr>
        <w:t xml:space="preserve">a) náhradách strát z hospodárskej činnosti účtovnej jednotky, </w:t>
      </w:r>
    </w:p>
    <w:p w14:paraId="291B8863" w14:textId="77777777" w:rsidR="00C616C2" w:rsidRDefault="00C616C2">
      <w:pPr>
        <w:pStyle w:val="Default"/>
        <w:spacing w:after="17"/>
        <w:jc w:val="both"/>
      </w:pPr>
      <w:r>
        <w:rPr>
          <w:rFonts w:ascii="Calibri" w:hAnsi="Calibri" w:cs="Calibri"/>
          <w:iCs/>
          <w:sz w:val="22"/>
          <w:szCs w:val="22"/>
        </w:rPr>
        <w:t xml:space="preserve">b) peňažných vkladoch a nepeňažných vkladoch, </w:t>
      </w:r>
    </w:p>
    <w:p w14:paraId="204C0CCB" w14:textId="77777777" w:rsidR="00C616C2" w:rsidRDefault="00C616C2">
      <w:pPr>
        <w:pStyle w:val="Default"/>
        <w:spacing w:after="17"/>
        <w:jc w:val="both"/>
      </w:pPr>
      <w:r>
        <w:rPr>
          <w:rFonts w:ascii="Calibri" w:hAnsi="Calibri" w:cs="Calibri"/>
          <w:iCs/>
          <w:sz w:val="22"/>
          <w:szCs w:val="22"/>
        </w:rPr>
        <w:t xml:space="preserve">c) nenávratných finančných príspevkoch alebo pôžičkách za zvýhodnených podmienok, </w:t>
      </w:r>
    </w:p>
    <w:p w14:paraId="20937E85" w14:textId="77777777" w:rsidR="00C616C2" w:rsidRDefault="00C616C2">
      <w:pPr>
        <w:pStyle w:val="Default"/>
        <w:spacing w:after="17"/>
        <w:jc w:val="both"/>
      </w:pPr>
      <w:r>
        <w:rPr>
          <w:rFonts w:ascii="Calibri" w:hAnsi="Calibri" w:cs="Calibri"/>
          <w:iCs/>
          <w:sz w:val="22"/>
          <w:szCs w:val="22"/>
        </w:rPr>
        <w:t xml:space="preserve">d) finančných výhodách, ktorými sú napríklad nevymáhanie pohľadávky voči účtovnej jednotke, </w:t>
      </w:r>
    </w:p>
    <w:p w14:paraId="556985B0" w14:textId="77777777" w:rsidR="00C616C2" w:rsidRDefault="00C616C2">
      <w:pPr>
        <w:pStyle w:val="Default"/>
        <w:spacing w:after="17"/>
        <w:jc w:val="both"/>
      </w:pPr>
      <w:r>
        <w:rPr>
          <w:rFonts w:ascii="Calibri" w:hAnsi="Calibri" w:cs="Calibri"/>
          <w:iCs/>
          <w:sz w:val="22"/>
          <w:szCs w:val="22"/>
        </w:rPr>
        <w:t xml:space="preserve">e) vzdaní sa dividend alebo podielov na zisku, </w:t>
      </w:r>
    </w:p>
    <w:p w14:paraId="4C3A94D1" w14:textId="77777777" w:rsidR="00C616C2" w:rsidRDefault="00C616C2">
      <w:pPr>
        <w:jc w:val="left"/>
      </w:pPr>
      <w:r>
        <w:rPr>
          <w:rFonts w:ascii="Calibri" w:hAnsi="Calibri" w:cs="Calibri"/>
          <w:iCs/>
          <w:sz w:val="22"/>
          <w:szCs w:val="22"/>
        </w:rPr>
        <w:t xml:space="preserve">f) poskytnutých náhradách za finančné povinnosti uložené orgánom verejnej moci. </w:t>
      </w:r>
    </w:p>
    <w:p w14:paraId="7E6BF4A2" w14:textId="77777777" w:rsidR="00C616C2" w:rsidRDefault="00C616C2">
      <w:pPr>
        <w:pStyle w:val="Default"/>
        <w:rPr>
          <w:rFonts w:ascii="Calibri" w:hAnsi="Calibri" w:cs="Calibri"/>
          <w:iCs/>
          <w:sz w:val="22"/>
          <w:szCs w:val="22"/>
        </w:rPr>
      </w:pPr>
    </w:p>
    <w:p w14:paraId="0E94DB79" w14:textId="77777777" w:rsidR="00C616C2" w:rsidRDefault="00C616C2">
      <w:pPr>
        <w:pStyle w:val="Default"/>
        <w:rPr>
          <w:rFonts w:ascii="Calibri" w:hAnsi="Calibri" w:cs="Calibri"/>
          <w:iCs/>
          <w:sz w:val="22"/>
          <w:szCs w:val="22"/>
        </w:rPr>
      </w:pPr>
    </w:p>
    <w:p w14:paraId="7FB464BB" w14:textId="77777777" w:rsidR="008F5129" w:rsidRDefault="00C616C2">
      <w:pPr>
        <w:pStyle w:val="Default"/>
      </w:pPr>
      <w:r>
        <w:rPr>
          <w:rFonts w:ascii="Calibri" w:hAnsi="Calibri" w:cs="Calibri"/>
          <w:sz w:val="22"/>
          <w:szCs w:val="22"/>
        </w:rPr>
        <w:t>Účtovná jednotka nemá náplň pre túto položku.</w:t>
      </w:r>
    </w:p>
    <w:sectPr w:rsidR="008F5129">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A33E8" w14:textId="77777777" w:rsidR="004D3A62" w:rsidRDefault="004D3A62">
      <w:r>
        <w:separator/>
      </w:r>
    </w:p>
  </w:endnote>
  <w:endnote w:type="continuationSeparator" w:id="0">
    <w:p w14:paraId="39D8189E" w14:textId="77777777" w:rsidR="004D3A62" w:rsidRDefault="004D3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996B" w14:textId="77777777" w:rsidR="00C616C2" w:rsidRDefault="00C616C2">
    <w:pPr>
      <w:pStyle w:val="Pta"/>
      <w:ind w:right="360"/>
      <w:jc w:val="right"/>
      <w:rPr>
        <w:rFonts w:cs="Verdana"/>
      </w:rPr>
    </w:pPr>
    <w:r>
      <w:pict w14:anchorId="3A1A826A">
        <v:shapetype id="_x0000_t202" coordsize="21600,21600" o:spt="202" path="m,l,21600r21600,l21600,xe">
          <v:stroke joinstyle="miter"/>
          <v:path gradientshapeok="t" o:connecttype="rect"/>
        </v:shapetype>
        <v:shape id="_x0000_s1025" type="#_x0000_t202" style="position:absolute;left:0;text-align:left;margin-left:524.4pt;margin-top:.05pt;width:10.05pt;height:9.6pt;z-index:251657728;mso-wrap-distance-left:0;mso-wrap-distance-right:0;mso-position-horizontal-relative:page" stroked="f">
          <v:fill opacity="0" color2="black"/>
          <v:textbox inset=".1pt,.1pt,.1pt,.1pt">
            <w:txbxContent>
              <w:p w14:paraId="2609E6C3" w14:textId="77777777" w:rsidR="00C616C2" w:rsidRDefault="00C616C2">
                <w:pPr>
                  <w:pStyle w:val="Pta"/>
                </w:pPr>
                <w:r>
                  <w:rPr>
                    <w:rStyle w:val="slostrany"/>
                    <w:rFonts w:ascii="Verdana" w:hAnsi="Verdana" w:cs="Verdana"/>
                    <w:sz w:val="16"/>
                    <w:szCs w:val="16"/>
                  </w:rPr>
                  <w:fldChar w:fldCharType="begin"/>
                </w:r>
                <w:r>
                  <w:rPr>
                    <w:rStyle w:val="slostrany"/>
                    <w:rFonts w:ascii="Verdana" w:hAnsi="Verdana" w:cs="Verdana"/>
                    <w:sz w:val="16"/>
                    <w:szCs w:val="16"/>
                  </w:rPr>
                  <w:instrText xml:space="preserve"> PAGE </w:instrText>
                </w:r>
                <w:r>
                  <w:rPr>
                    <w:rStyle w:val="slostrany"/>
                    <w:rFonts w:ascii="Verdana" w:hAnsi="Verdana" w:cs="Verdana"/>
                    <w:sz w:val="16"/>
                    <w:szCs w:val="16"/>
                  </w:rPr>
                  <w:fldChar w:fldCharType="separate"/>
                </w:r>
                <w:r>
                  <w:rPr>
                    <w:rStyle w:val="slostrany"/>
                    <w:rFonts w:ascii="Verdana" w:hAnsi="Verdana" w:cs="Verdana"/>
                    <w:sz w:val="16"/>
                    <w:szCs w:val="16"/>
                  </w:rPr>
                  <w:t>1</w:t>
                </w:r>
                <w:r>
                  <w:rPr>
                    <w:rStyle w:val="slostrany"/>
                    <w:rFonts w:ascii="Verdana" w:hAnsi="Verdana" w:cs="Verdana"/>
                    <w:sz w:val="16"/>
                    <w:szCs w:val="16"/>
                  </w:rPr>
                  <w:fldChar w:fldCharType="end"/>
                </w:r>
              </w:p>
            </w:txbxContent>
          </v:textbox>
          <w10:wrap type="square" side="largest"/>
        </v:shape>
      </w:pict>
    </w:r>
  </w:p>
  <w:p w14:paraId="704471F0" w14:textId="77777777" w:rsidR="00C616C2" w:rsidRDefault="00C616C2">
    <w:pPr>
      <w:pStyle w:val="Pta"/>
      <w:rPr>
        <w:rFonts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81016" w14:textId="77777777" w:rsidR="004D3A62" w:rsidRDefault="004D3A62">
      <w:r>
        <w:separator/>
      </w:r>
    </w:p>
  </w:footnote>
  <w:footnote w:type="continuationSeparator" w:id="0">
    <w:p w14:paraId="4B13B0CA" w14:textId="77777777" w:rsidR="004D3A62" w:rsidRDefault="004D3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2679"/>
      <w:gridCol w:w="3112"/>
      <w:gridCol w:w="953"/>
      <w:gridCol w:w="318"/>
      <w:gridCol w:w="318"/>
      <w:gridCol w:w="318"/>
      <w:gridCol w:w="318"/>
      <w:gridCol w:w="318"/>
      <w:gridCol w:w="318"/>
      <w:gridCol w:w="318"/>
      <w:gridCol w:w="348"/>
    </w:tblGrid>
    <w:tr w:rsidR="00C616C2" w14:paraId="571C42EB" w14:textId="77777777">
      <w:tc>
        <w:tcPr>
          <w:tcW w:w="2679" w:type="dxa"/>
        </w:tcPr>
        <w:p w14:paraId="5C16829D" w14:textId="77777777" w:rsidR="00C616C2" w:rsidRDefault="00C616C2">
          <w:pPr>
            <w:tabs>
              <w:tab w:val="left" w:pos="7797"/>
              <w:tab w:val="right" w:pos="9072"/>
            </w:tabs>
            <w:jc w:val="left"/>
          </w:pPr>
          <w:r>
            <w:rPr>
              <w:rFonts w:ascii="Verdana" w:hAnsi="Verdana" w:cs="Verdana"/>
              <w:sz w:val="16"/>
              <w:szCs w:val="16"/>
            </w:rPr>
            <w:t xml:space="preserve">Poznámky </w:t>
          </w:r>
          <w:proofErr w:type="spellStart"/>
          <w:r>
            <w:rPr>
              <w:rFonts w:ascii="Verdana" w:hAnsi="Verdana" w:cs="Verdana"/>
              <w:sz w:val="16"/>
              <w:szCs w:val="16"/>
            </w:rPr>
            <w:t>Úč</w:t>
          </w:r>
          <w:proofErr w:type="spellEnd"/>
          <w:r>
            <w:rPr>
              <w:rFonts w:ascii="Verdana" w:hAnsi="Verdana" w:cs="Verdana"/>
              <w:sz w:val="16"/>
              <w:szCs w:val="16"/>
            </w:rPr>
            <w:t xml:space="preserve"> POD 3 - 01</w:t>
          </w:r>
        </w:p>
      </w:tc>
      <w:tc>
        <w:tcPr>
          <w:tcW w:w="3112" w:type="dxa"/>
        </w:tcPr>
        <w:p w14:paraId="669D9D6B" w14:textId="77777777" w:rsidR="00C616C2" w:rsidRDefault="00C616C2">
          <w:pPr>
            <w:tabs>
              <w:tab w:val="center" w:pos="1424"/>
              <w:tab w:val="left" w:pos="7797"/>
              <w:tab w:val="right" w:pos="9072"/>
            </w:tabs>
          </w:pPr>
          <w:r>
            <w:rPr>
              <w:rFonts w:ascii="Verdana" w:hAnsi="Verdana" w:cs="Verdana"/>
              <w:sz w:val="16"/>
              <w:szCs w:val="16"/>
            </w:rPr>
            <w:tab/>
            <w:t>Starý otec, a. s.</w:t>
          </w:r>
        </w:p>
      </w:tc>
      <w:tc>
        <w:tcPr>
          <w:tcW w:w="953" w:type="dxa"/>
          <w:tcBorders>
            <w:right w:val="single" w:sz="4" w:space="0" w:color="000000"/>
          </w:tcBorders>
        </w:tcPr>
        <w:p w14:paraId="47AD10A6" w14:textId="77777777" w:rsidR="00C616C2" w:rsidRDefault="00C616C2">
          <w:pPr>
            <w:tabs>
              <w:tab w:val="left" w:pos="7797"/>
              <w:tab w:val="right" w:pos="9072"/>
            </w:tabs>
            <w:jc w:val="left"/>
          </w:pPr>
          <w:r>
            <w:rPr>
              <w:rFonts w:ascii="Verdana" w:hAnsi="Verdana" w:cs="Verdana"/>
              <w:sz w:val="16"/>
              <w:szCs w:val="16"/>
            </w:rPr>
            <w:t>IČO</w:t>
          </w:r>
        </w:p>
      </w:tc>
      <w:tc>
        <w:tcPr>
          <w:tcW w:w="318" w:type="dxa"/>
          <w:tcBorders>
            <w:top w:val="single" w:sz="4" w:space="0" w:color="000000"/>
            <w:left w:val="single" w:sz="4" w:space="0" w:color="000000"/>
            <w:bottom w:val="single" w:sz="4" w:space="0" w:color="000000"/>
            <w:right w:val="single" w:sz="4" w:space="0" w:color="000000"/>
          </w:tcBorders>
        </w:tcPr>
        <w:p w14:paraId="55649708" w14:textId="77777777" w:rsidR="00C616C2" w:rsidRDefault="00C616C2">
          <w:pPr>
            <w:tabs>
              <w:tab w:val="left" w:pos="7797"/>
              <w:tab w:val="right" w:pos="9072"/>
            </w:tabs>
            <w:jc w:val="left"/>
          </w:pPr>
          <w:r>
            <w:rPr>
              <w:rFonts w:ascii="Verdana" w:hAnsi="Verdana" w:cs="Verdana"/>
              <w:sz w:val="16"/>
              <w:szCs w:val="16"/>
            </w:rPr>
            <w:t>3</w:t>
          </w:r>
        </w:p>
      </w:tc>
      <w:tc>
        <w:tcPr>
          <w:tcW w:w="318" w:type="dxa"/>
          <w:tcBorders>
            <w:top w:val="single" w:sz="4" w:space="0" w:color="000000"/>
            <w:left w:val="single" w:sz="4" w:space="0" w:color="000000"/>
            <w:bottom w:val="single" w:sz="4" w:space="0" w:color="000000"/>
            <w:right w:val="single" w:sz="4" w:space="0" w:color="000000"/>
          </w:tcBorders>
        </w:tcPr>
        <w:p w14:paraId="0F02E8DF" w14:textId="77777777" w:rsidR="00C616C2" w:rsidRDefault="00C616C2">
          <w:pPr>
            <w:tabs>
              <w:tab w:val="left" w:pos="7797"/>
              <w:tab w:val="right" w:pos="9072"/>
            </w:tabs>
            <w:jc w:val="left"/>
          </w:pPr>
          <w:r>
            <w:rPr>
              <w:rFonts w:ascii="Verdana" w:hAnsi="Verdana" w:cs="Verdana"/>
              <w:sz w:val="16"/>
              <w:szCs w:val="16"/>
            </w:rPr>
            <w:t>6</w:t>
          </w:r>
        </w:p>
      </w:tc>
      <w:tc>
        <w:tcPr>
          <w:tcW w:w="318" w:type="dxa"/>
          <w:tcBorders>
            <w:top w:val="single" w:sz="4" w:space="0" w:color="000000"/>
            <w:left w:val="single" w:sz="4" w:space="0" w:color="000000"/>
            <w:bottom w:val="single" w:sz="4" w:space="0" w:color="000000"/>
            <w:right w:val="single" w:sz="4" w:space="0" w:color="000000"/>
          </w:tcBorders>
        </w:tcPr>
        <w:p w14:paraId="7DAC7A1D" w14:textId="77777777" w:rsidR="00C616C2" w:rsidRDefault="00C616C2">
          <w:pPr>
            <w:tabs>
              <w:tab w:val="left" w:pos="7797"/>
              <w:tab w:val="right" w:pos="9072"/>
            </w:tabs>
            <w:jc w:val="left"/>
          </w:pPr>
          <w:r>
            <w:rPr>
              <w:rFonts w:ascii="Verdana" w:hAnsi="Verdana" w:cs="Verdana"/>
              <w:sz w:val="16"/>
              <w:szCs w:val="16"/>
            </w:rPr>
            <w:t>7</w:t>
          </w:r>
        </w:p>
      </w:tc>
      <w:tc>
        <w:tcPr>
          <w:tcW w:w="318" w:type="dxa"/>
          <w:tcBorders>
            <w:top w:val="single" w:sz="4" w:space="0" w:color="000000"/>
            <w:left w:val="single" w:sz="4" w:space="0" w:color="000000"/>
            <w:bottom w:val="single" w:sz="4" w:space="0" w:color="000000"/>
            <w:right w:val="single" w:sz="4" w:space="0" w:color="000000"/>
          </w:tcBorders>
        </w:tcPr>
        <w:p w14:paraId="5CD5B932" w14:textId="77777777" w:rsidR="00C616C2" w:rsidRDefault="00C616C2">
          <w:pPr>
            <w:tabs>
              <w:tab w:val="left" w:pos="7797"/>
              <w:tab w:val="right" w:pos="9072"/>
            </w:tabs>
            <w:jc w:val="left"/>
          </w:pPr>
          <w:r>
            <w:rPr>
              <w:rFonts w:ascii="Verdana" w:hAnsi="Verdana" w:cs="Verdana"/>
              <w:sz w:val="16"/>
              <w:szCs w:val="16"/>
            </w:rPr>
            <w:t>6</w:t>
          </w:r>
        </w:p>
      </w:tc>
      <w:tc>
        <w:tcPr>
          <w:tcW w:w="318" w:type="dxa"/>
          <w:tcBorders>
            <w:top w:val="single" w:sz="4" w:space="0" w:color="000000"/>
            <w:left w:val="single" w:sz="4" w:space="0" w:color="000000"/>
            <w:bottom w:val="single" w:sz="4" w:space="0" w:color="000000"/>
            <w:right w:val="single" w:sz="4" w:space="0" w:color="000000"/>
          </w:tcBorders>
        </w:tcPr>
        <w:p w14:paraId="0E2EAD60" w14:textId="77777777" w:rsidR="00C616C2" w:rsidRDefault="00C616C2">
          <w:pPr>
            <w:tabs>
              <w:tab w:val="left" w:pos="7797"/>
              <w:tab w:val="right" w:pos="9072"/>
            </w:tabs>
            <w:jc w:val="left"/>
          </w:pPr>
          <w:r>
            <w:rPr>
              <w:rFonts w:ascii="Verdana" w:hAnsi="Verdana" w:cs="Verdana"/>
              <w:sz w:val="16"/>
              <w:szCs w:val="16"/>
            </w:rPr>
            <w:t>9</w:t>
          </w:r>
        </w:p>
      </w:tc>
      <w:tc>
        <w:tcPr>
          <w:tcW w:w="318" w:type="dxa"/>
          <w:tcBorders>
            <w:top w:val="single" w:sz="4" w:space="0" w:color="000000"/>
            <w:left w:val="single" w:sz="4" w:space="0" w:color="000000"/>
            <w:bottom w:val="single" w:sz="4" w:space="0" w:color="000000"/>
            <w:right w:val="single" w:sz="4" w:space="0" w:color="000000"/>
          </w:tcBorders>
        </w:tcPr>
        <w:p w14:paraId="2FBDF92B" w14:textId="77777777" w:rsidR="00C616C2" w:rsidRDefault="00C616C2">
          <w:pPr>
            <w:tabs>
              <w:tab w:val="left" w:pos="7797"/>
              <w:tab w:val="right" w:pos="9072"/>
            </w:tabs>
            <w:jc w:val="left"/>
          </w:pPr>
          <w:r>
            <w:rPr>
              <w:rFonts w:ascii="Verdana" w:hAnsi="Verdana" w:cs="Verdana"/>
              <w:sz w:val="16"/>
              <w:szCs w:val="16"/>
            </w:rPr>
            <w:t>3</w:t>
          </w:r>
        </w:p>
      </w:tc>
      <w:tc>
        <w:tcPr>
          <w:tcW w:w="318" w:type="dxa"/>
          <w:tcBorders>
            <w:top w:val="single" w:sz="4" w:space="0" w:color="000000"/>
            <w:left w:val="single" w:sz="4" w:space="0" w:color="000000"/>
            <w:bottom w:val="single" w:sz="4" w:space="0" w:color="000000"/>
            <w:right w:val="single" w:sz="4" w:space="0" w:color="000000"/>
          </w:tcBorders>
        </w:tcPr>
        <w:p w14:paraId="260CB06D" w14:textId="77777777" w:rsidR="00C616C2" w:rsidRDefault="00C616C2">
          <w:pPr>
            <w:tabs>
              <w:tab w:val="left" w:pos="7797"/>
              <w:tab w:val="right" w:pos="9072"/>
            </w:tabs>
            <w:jc w:val="left"/>
          </w:pPr>
          <w:r>
            <w:rPr>
              <w:rFonts w:ascii="Verdana" w:hAnsi="Verdana" w:cs="Verdana"/>
              <w:sz w:val="16"/>
              <w:szCs w:val="16"/>
            </w:rPr>
            <w:t>7</w:t>
          </w:r>
        </w:p>
      </w:tc>
      <w:tc>
        <w:tcPr>
          <w:tcW w:w="348" w:type="dxa"/>
          <w:tcBorders>
            <w:top w:val="single" w:sz="4" w:space="0" w:color="000000"/>
            <w:left w:val="single" w:sz="4" w:space="0" w:color="000000"/>
            <w:bottom w:val="single" w:sz="4" w:space="0" w:color="000000"/>
            <w:right w:val="single" w:sz="4" w:space="0" w:color="000000"/>
          </w:tcBorders>
        </w:tcPr>
        <w:p w14:paraId="4FD91C37" w14:textId="77777777" w:rsidR="00C616C2" w:rsidRDefault="00C616C2">
          <w:pPr>
            <w:tabs>
              <w:tab w:val="left" w:pos="7797"/>
              <w:tab w:val="right" w:pos="9072"/>
            </w:tabs>
            <w:jc w:val="left"/>
          </w:pPr>
          <w:r>
            <w:rPr>
              <w:rFonts w:ascii="Verdana" w:hAnsi="Verdana" w:cs="Verdana"/>
              <w:sz w:val="16"/>
              <w:szCs w:val="16"/>
            </w:rPr>
            <w:t>1</w:t>
          </w:r>
        </w:p>
      </w:tc>
    </w:tr>
  </w:tbl>
  <w:p w14:paraId="72402283" w14:textId="77777777" w:rsidR="00C616C2" w:rsidRDefault="00C616C2"/>
  <w:tbl>
    <w:tblPr>
      <w:tblW w:w="0" w:type="auto"/>
      <w:tblLayout w:type="fixed"/>
      <w:tblLook w:val="0000" w:firstRow="0" w:lastRow="0" w:firstColumn="0" w:lastColumn="0" w:noHBand="0" w:noVBand="0"/>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48"/>
    </w:tblGrid>
    <w:tr w:rsidR="00C616C2" w14:paraId="1D816688" w14:textId="77777777">
      <w:tc>
        <w:tcPr>
          <w:tcW w:w="858" w:type="dxa"/>
        </w:tcPr>
        <w:p w14:paraId="2178E012" w14:textId="77777777" w:rsidR="00C616C2" w:rsidRDefault="00C616C2">
          <w:pPr>
            <w:tabs>
              <w:tab w:val="left" w:pos="7797"/>
              <w:tab w:val="right" w:pos="9072"/>
            </w:tabs>
            <w:snapToGrid w:val="0"/>
            <w:jc w:val="left"/>
            <w:rPr>
              <w:rFonts w:ascii="Verdana" w:hAnsi="Verdana" w:cs="Verdana"/>
              <w:sz w:val="16"/>
              <w:szCs w:val="16"/>
            </w:rPr>
          </w:pPr>
        </w:p>
      </w:tc>
      <w:tc>
        <w:tcPr>
          <w:tcW w:w="259" w:type="dxa"/>
        </w:tcPr>
        <w:p w14:paraId="3538DC58" w14:textId="77777777" w:rsidR="00C616C2" w:rsidRDefault="00C616C2">
          <w:pPr>
            <w:tabs>
              <w:tab w:val="left" w:pos="7797"/>
              <w:tab w:val="right" w:pos="9072"/>
            </w:tabs>
            <w:snapToGrid w:val="0"/>
            <w:jc w:val="left"/>
            <w:rPr>
              <w:rFonts w:ascii="Verdana" w:hAnsi="Verdana" w:cs="Verdana"/>
              <w:sz w:val="16"/>
              <w:szCs w:val="16"/>
            </w:rPr>
          </w:pPr>
        </w:p>
      </w:tc>
      <w:tc>
        <w:tcPr>
          <w:tcW w:w="259" w:type="dxa"/>
        </w:tcPr>
        <w:p w14:paraId="6169F296" w14:textId="77777777" w:rsidR="00C616C2" w:rsidRDefault="00C616C2">
          <w:pPr>
            <w:tabs>
              <w:tab w:val="left" w:pos="7797"/>
              <w:tab w:val="right" w:pos="9072"/>
            </w:tabs>
            <w:snapToGrid w:val="0"/>
            <w:jc w:val="left"/>
            <w:rPr>
              <w:rFonts w:ascii="Verdana" w:hAnsi="Verdana" w:cs="Verdana"/>
              <w:sz w:val="16"/>
              <w:szCs w:val="16"/>
            </w:rPr>
          </w:pPr>
        </w:p>
      </w:tc>
      <w:tc>
        <w:tcPr>
          <w:tcW w:w="260" w:type="dxa"/>
        </w:tcPr>
        <w:p w14:paraId="388C3D6F" w14:textId="77777777" w:rsidR="00C616C2" w:rsidRDefault="00C616C2">
          <w:pPr>
            <w:tabs>
              <w:tab w:val="left" w:pos="7797"/>
              <w:tab w:val="right" w:pos="9072"/>
            </w:tabs>
            <w:snapToGrid w:val="0"/>
            <w:jc w:val="left"/>
            <w:rPr>
              <w:rFonts w:ascii="Verdana" w:hAnsi="Verdana" w:cs="Verdana"/>
              <w:sz w:val="16"/>
              <w:szCs w:val="16"/>
            </w:rPr>
          </w:pPr>
        </w:p>
      </w:tc>
      <w:tc>
        <w:tcPr>
          <w:tcW w:w="260" w:type="dxa"/>
        </w:tcPr>
        <w:p w14:paraId="771D961A" w14:textId="77777777" w:rsidR="00C616C2" w:rsidRDefault="00C616C2">
          <w:pPr>
            <w:tabs>
              <w:tab w:val="left" w:pos="7797"/>
              <w:tab w:val="right" w:pos="9072"/>
            </w:tabs>
            <w:snapToGrid w:val="0"/>
            <w:jc w:val="left"/>
            <w:rPr>
              <w:rFonts w:ascii="Verdana" w:hAnsi="Verdana" w:cs="Verdana"/>
              <w:sz w:val="16"/>
              <w:szCs w:val="16"/>
            </w:rPr>
          </w:pPr>
        </w:p>
      </w:tc>
      <w:tc>
        <w:tcPr>
          <w:tcW w:w="259" w:type="dxa"/>
        </w:tcPr>
        <w:p w14:paraId="451447ED" w14:textId="77777777" w:rsidR="00C616C2" w:rsidRDefault="00C616C2">
          <w:pPr>
            <w:tabs>
              <w:tab w:val="left" w:pos="7797"/>
              <w:tab w:val="right" w:pos="9072"/>
            </w:tabs>
            <w:snapToGrid w:val="0"/>
            <w:jc w:val="left"/>
            <w:rPr>
              <w:rFonts w:ascii="Verdana" w:hAnsi="Verdana" w:cs="Verdana"/>
              <w:sz w:val="16"/>
              <w:szCs w:val="16"/>
            </w:rPr>
          </w:pPr>
        </w:p>
      </w:tc>
      <w:tc>
        <w:tcPr>
          <w:tcW w:w="259" w:type="dxa"/>
        </w:tcPr>
        <w:p w14:paraId="361818E7" w14:textId="77777777" w:rsidR="00C616C2" w:rsidRDefault="00C616C2">
          <w:pPr>
            <w:tabs>
              <w:tab w:val="left" w:pos="7797"/>
              <w:tab w:val="right" w:pos="9072"/>
            </w:tabs>
            <w:snapToGrid w:val="0"/>
            <w:jc w:val="left"/>
            <w:rPr>
              <w:rFonts w:ascii="Verdana" w:hAnsi="Verdana" w:cs="Verdana"/>
              <w:sz w:val="16"/>
              <w:szCs w:val="16"/>
            </w:rPr>
          </w:pPr>
        </w:p>
      </w:tc>
      <w:tc>
        <w:tcPr>
          <w:tcW w:w="259" w:type="dxa"/>
        </w:tcPr>
        <w:p w14:paraId="55802C89" w14:textId="77777777" w:rsidR="00C616C2" w:rsidRDefault="00C616C2">
          <w:pPr>
            <w:tabs>
              <w:tab w:val="left" w:pos="7797"/>
              <w:tab w:val="right" w:pos="9072"/>
            </w:tabs>
            <w:snapToGrid w:val="0"/>
            <w:jc w:val="left"/>
            <w:rPr>
              <w:rFonts w:ascii="Verdana" w:hAnsi="Verdana" w:cs="Verdana"/>
              <w:sz w:val="16"/>
              <w:szCs w:val="16"/>
            </w:rPr>
          </w:pPr>
        </w:p>
      </w:tc>
      <w:tc>
        <w:tcPr>
          <w:tcW w:w="2912" w:type="dxa"/>
        </w:tcPr>
        <w:p w14:paraId="31395CB6" w14:textId="77777777" w:rsidR="00126FE6" w:rsidRPr="00742676" w:rsidRDefault="00C616C2" w:rsidP="00126FE6">
          <w:pPr>
            <w:tabs>
              <w:tab w:val="left" w:pos="7797"/>
              <w:tab w:val="right" w:pos="9072"/>
            </w:tabs>
            <w:jc w:val="center"/>
            <w:rPr>
              <w:rFonts w:ascii="Verdana" w:hAnsi="Verdana" w:cs="Verdana"/>
              <w:sz w:val="16"/>
              <w:szCs w:val="16"/>
            </w:rPr>
          </w:pPr>
          <w:r w:rsidRPr="00742676">
            <w:rPr>
              <w:rFonts w:ascii="Verdana" w:hAnsi="Verdana" w:cs="Verdana"/>
              <w:sz w:val="16"/>
              <w:szCs w:val="16"/>
            </w:rPr>
            <w:t>Poznámky k 31.</w:t>
          </w:r>
          <w:r w:rsidR="00742676" w:rsidRPr="00742676">
            <w:rPr>
              <w:rFonts w:ascii="Verdana" w:hAnsi="Verdana" w:cs="Verdana"/>
              <w:sz w:val="16"/>
              <w:szCs w:val="16"/>
            </w:rPr>
            <w:t>12.2025</w:t>
          </w:r>
        </w:p>
        <w:p w14:paraId="00A67CE6" w14:textId="77777777" w:rsidR="00C616C2" w:rsidRDefault="00C616C2">
          <w:pPr>
            <w:tabs>
              <w:tab w:val="left" w:pos="7797"/>
              <w:tab w:val="right" w:pos="9072"/>
            </w:tabs>
            <w:jc w:val="center"/>
            <w:rPr>
              <w:rFonts w:ascii="Verdana" w:hAnsi="Verdana" w:cs="Verdana"/>
              <w:sz w:val="16"/>
              <w:szCs w:val="16"/>
            </w:rPr>
          </w:pPr>
        </w:p>
      </w:tc>
      <w:tc>
        <w:tcPr>
          <w:tcW w:w="521" w:type="dxa"/>
          <w:tcBorders>
            <w:right w:val="single" w:sz="4" w:space="0" w:color="000000"/>
          </w:tcBorders>
        </w:tcPr>
        <w:p w14:paraId="0E1241AC" w14:textId="77777777" w:rsidR="00C616C2" w:rsidRDefault="00C616C2">
          <w:pPr>
            <w:tabs>
              <w:tab w:val="left" w:pos="7797"/>
              <w:tab w:val="right" w:pos="9072"/>
            </w:tabs>
            <w:jc w:val="left"/>
          </w:pPr>
          <w:r>
            <w:rPr>
              <w:rFonts w:ascii="Verdana" w:hAnsi="Verdana" w:cs="Verdana"/>
              <w:sz w:val="16"/>
              <w:szCs w:val="16"/>
            </w:rPr>
            <w:t>DIČ</w:t>
          </w:r>
        </w:p>
      </w:tc>
      <w:tc>
        <w:tcPr>
          <w:tcW w:w="318" w:type="dxa"/>
          <w:tcBorders>
            <w:top w:val="single" w:sz="4" w:space="0" w:color="000000"/>
            <w:left w:val="single" w:sz="4" w:space="0" w:color="000000"/>
            <w:bottom w:val="single" w:sz="4" w:space="0" w:color="000000"/>
            <w:right w:val="single" w:sz="4" w:space="0" w:color="000000"/>
          </w:tcBorders>
        </w:tcPr>
        <w:p w14:paraId="6D6E2D36" w14:textId="77777777" w:rsidR="00C616C2" w:rsidRDefault="00C616C2">
          <w:pPr>
            <w:tabs>
              <w:tab w:val="left" w:pos="7797"/>
              <w:tab w:val="right" w:pos="9072"/>
            </w:tabs>
            <w:jc w:val="left"/>
          </w:pPr>
          <w:r>
            <w:rPr>
              <w:rFonts w:ascii="Verdana" w:hAnsi="Verdana" w:cs="Verdana"/>
              <w:sz w:val="16"/>
              <w:szCs w:val="16"/>
            </w:rPr>
            <w:t>2</w:t>
          </w:r>
        </w:p>
      </w:tc>
      <w:tc>
        <w:tcPr>
          <w:tcW w:w="318" w:type="dxa"/>
          <w:tcBorders>
            <w:top w:val="single" w:sz="4" w:space="0" w:color="000000"/>
            <w:left w:val="single" w:sz="4" w:space="0" w:color="000000"/>
            <w:bottom w:val="single" w:sz="4" w:space="0" w:color="000000"/>
            <w:right w:val="single" w:sz="4" w:space="0" w:color="000000"/>
          </w:tcBorders>
        </w:tcPr>
        <w:p w14:paraId="36C97222" w14:textId="77777777" w:rsidR="00C616C2" w:rsidRDefault="00C616C2">
          <w:pPr>
            <w:tabs>
              <w:tab w:val="left" w:pos="7797"/>
              <w:tab w:val="right" w:pos="9072"/>
            </w:tabs>
            <w:jc w:val="left"/>
          </w:pPr>
          <w:r>
            <w:rPr>
              <w:rFonts w:ascii="Verdana" w:hAnsi="Verdana" w:cs="Verdana"/>
              <w:sz w:val="16"/>
              <w:szCs w:val="16"/>
            </w:rPr>
            <w:t>0</w:t>
          </w:r>
        </w:p>
      </w:tc>
      <w:tc>
        <w:tcPr>
          <w:tcW w:w="318" w:type="dxa"/>
          <w:tcBorders>
            <w:top w:val="single" w:sz="4" w:space="0" w:color="000000"/>
            <w:left w:val="single" w:sz="4" w:space="0" w:color="000000"/>
            <w:bottom w:val="single" w:sz="4" w:space="0" w:color="000000"/>
            <w:right w:val="single" w:sz="4" w:space="0" w:color="000000"/>
          </w:tcBorders>
        </w:tcPr>
        <w:p w14:paraId="692C47CF" w14:textId="77777777" w:rsidR="00C616C2" w:rsidRDefault="00C616C2">
          <w:pPr>
            <w:tabs>
              <w:tab w:val="left" w:pos="7797"/>
              <w:tab w:val="right" w:pos="9072"/>
            </w:tabs>
            <w:jc w:val="left"/>
          </w:pPr>
          <w:r>
            <w:rPr>
              <w:rFonts w:ascii="Verdana" w:hAnsi="Verdana" w:cs="Verdana"/>
              <w:sz w:val="16"/>
              <w:szCs w:val="16"/>
            </w:rPr>
            <w:t>2</w:t>
          </w:r>
        </w:p>
      </w:tc>
      <w:tc>
        <w:tcPr>
          <w:tcW w:w="318" w:type="dxa"/>
          <w:tcBorders>
            <w:top w:val="single" w:sz="4" w:space="0" w:color="000000"/>
            <w:left w:val="single" w:sz="4" w:space="0" w:color="000000"/>
            <w:bottom w:val="single" w:sz="4" w:space="0" w:color="000000"/>
            <w:right w:val="single" w:sz="4" w:space="0" w:color="000000"/>
          </w:tcBorders>
        </w:tcPr>
        <w:p w14:paraId="62CBB8A6" w14:textId="77777777" w:rsidR="00C616C2" w:rsidRDefault="00C616C2">
          <w:pPr>
            <w:tabs>
              <w:tab w:val="left" w:pos="7797"/>
              <w:tab w:val="right" w:pos="9072"/>
            </w:tabs>
            <w:jc w:val="left"/>
          </w:pPr>
          <w:r>
            <w:rPr>
              <w:rFonts w:ascii="Verdana" w:hAnsi="Verdana" w:cs="Verdana"/>
              <w:sz w:val="16"/>
              <w:szCs w:val="16"/>
            </w:rPr>
            <w:t>2</w:t>
          </w:r>
        </w:p>
      </w:tc>
      <w:tc>
        <w:tcPr>
          <w:tcW w:w="318" w:type="dxa"/>
          <w:tcBorders>
            <w:top w:val="single" w:sz="4" w:space="0" w:color="000000"/>
            <w:left w:val="single" w:sz="4" w:space="0" w:color="000000"/>
            <w:bottom w:val="single" w:sz="4" w:space="0" w:color="000000"/>
            <w:right w:val="single" w:sz="4" w:space="0" w:color="000000"/>
          </w:tcBorders>
        </w:tcPr>
        <w:p w14:paraId="3C779A16" w14:textId="77777777" w:rsidR="00C616C2" w:rsidRDefault="00C616C2">
          <w:pPr>
            <w:tabs>
              <w:tab w:val="left" w:pos="7797"/>
              <w:tab w:val="right" w:pos="9072"/>
            </w:tabs>
            <w:jc w:val="left"/>
          </w:pPr>
          <w:r>
            <w:rPr>
              <w:rFonts w:ascii="Verdana" w:hAnsi="Verdana" w:cs="Verdana"/>
              <w:sz w:val="16"/>
              <w:szCs w:val="16"/>
            </w:rPr>
            <w:t>3</w:t>
          </w:r>
        </w:p>
      </w:tc>
      <w:tc>
        <w:tcPr>
          <w:tcW w:w="318" w:type="dxa"/>
          <w:tcBorders>
            <w:top w:val="single" w:sz="4" w:space="0" w:color="000000"/>
            <w:left w:val="single" w:sz="4" w:space="0" w:color="000000"/>
            <w:bottom w:val="single" w:sz="4" w:space="0" w:color="000000"/>
            <w:right w:val="single" w:sz="4" w:space="0" w:color="000000"/>
          </w:tcBorders>
        </w:tcPr>
        <w:p w14:paraId="535F1967" w14:textId="77777777" w:rsidR="00C616C2" w:rsidRDefault="00C616C2">
          <w:pPr>
            <w:tabs>
              <w:tab w:val="left" w:pos="7797"/>
              <w:tab w:val="right" w:pos="9072"/>
            </w:tabs>
            <w:jc w:val="left"/>
          </w:pPr>
          <w:r>
            <w:rPr>
              <w:rFonts w:ascii="Verdana" w:hAnsi="Verdana" w:cs="Verdana"/>
              <w:sz w:val="16"/>
              <w:szCs w:val="16"/>
            </w:rPr>
            <w:t>8</w:t>
          </w:r>
        </w:p>
      </w:tc>
      <w:tc>
        <w:tcPr>
          <w:tcW w:w="318" w:type="dxa"/>
          <w:tcBorders>
            <w:top w:val="single" w:sz="4" w:space="0" w:color="000000"/>
            <w:left w:val="single" w:sz="4" w:space="0" w:color="000000"/>
            <w:bottom w:val="single" w:sz="4" w:space="0" w:color="000000"/>
            <w:right w:val="single" w:sz="4" w:space="0" w:color="000000"/>
          </w:tcBorders>
        </w:tcPr>
        <w:p w14:paraId="025E7557" w14:textId="77777777" w:rsidR="00C616C2" w:rsidRDefault="00C616C2">
          <w:pPr>
            <w:tabs>
              <w:tab w:val="left" w:pos="7797"/>
              <w:tab w:val="right" w:pos="9072"/>
            </w:tabs>
            <w:jc w:val="left"/>
          </w:pPr>
          <w:r>
            <w:rPr>
              <w:rFonts w:ascii="Verdana" w:hAnsi="Verdana" w:cs="Verdana"/>
              <w:sz w:val="16"/>
              <w:szCs w:val="16"/>
            </w:rPr>
            <w:t>5</w:t>
          </w:r>
        </w:p>
      </w:tc>
      <w:tc>
        <w:tcPr>
          <w:tcW w:w="318" w:type="dxa"/>
          <w:tcBorders>
            <w:top w:val="single" w:sz="4" w:space="0" w:color="000000"/>
            <w:left w:val="single" w:sz="4" w:space="0" w:color="000000"/>
            <w:bottom w:val="single" w:sz="4" w:space="0" w:color="000000"/>
            <w:right w:val="single" w:sz="4" w:space="0" w:color="000000"/>
          </w:tcBorders>
        </w:tcPr>
        <w:p w14:paraId="7CC833D0" w14:textId="77777777" w:rsidR="00C616C2" w:rsidRDefault="00C616C2">
          <w:pPr>
            <w:tabs>
              <w:tab w:val="left" w:pos="7797"/>
              <w:tab w:val="right" w:pos="9072"/>
            </w:tabs>
            <w:jc w:val="left"/>
          </w:pPr>
          <w:r>
            <w:rPr>
              <w:rFonts w:ascii="Verdana" w:hAnsi="Verdana" w:cs="Verdana"/>
              <w:sz w:val="16"/>
              <w:szCs w:val="16"/>
            </w:rPr>
            <w:t>2</w:t>
          </w:r>
        </w:p>
      </w:tc>
      <w:tc>
        <w:tcPr>
          <w:tcW w:w="318" w:type="dxa"/>
          <w:tcBorders>
            <w:top w:val="single" w:sz="4" w:space="0" w:color="000000"/>
            <w:left w:val="single" w:sz="4" w:space="0" w:color="000000"/>
            <w:bottom w:val="single" w:sz="4" w:space="0" w:color="000000"/>
            <w:right w:val="single" w:sz="4" w:space="0" w:color="000000"/>
          </w:tcBorders>
        </w:tcPr>
        <w:p w14:paraId="2778AF06" w14:textId="77777777" w:rsidR="00C616C2" w:rsidRDefault="00C616C2">
          <w:pPr>
            <w:tabs>
              <w:tab w:val="left" w:pos="7797"/>
              <w:tab w:val="right" w:pos="9072"/>
            </w:tabs>
            <w:jc w:val="left"/>
          </w:pPr>
          <w:r>
            <w:rPr>
              <w:rFonts w:ascii="Verdana" w:hAnsi="Verdana" w:cs="Verdana"/>
              <w:sz w:val="16"/>
              <w:szCs w:val="16"/>
            </w:rPr>
            <w:t>0</w:t>
          </w:r>
        </w:p>
      </w:tc>
      <w:tc>
        <w:tcPr>
          <w:tcW w:w="348" w:type="dxa"/>
          <w:tcBorders>
            <w:top w:val="single" w:sz="4" w:space="0" w:color="000000"/>
            <w:left w:val="single" w:sz="4" w:space="0" w:color="000000"/>
            <w:bottom w:val="single" w:sz="4" w:space="0" w:color="000000"/>
            <w:right w:val="single" w:sz="4" w:space="0" w:color="000000"/>
          </w:tcBorders>
        </w:tcPr>
        <w:p w14:paraId="5BDF3858" w14:textId="77777777" w:rsidR="00C616C2" w:rsidRDefault="00C616C2">
          <w:pPr>
            <w:tabs>
              <w:tab w:val="left" w:pos="7797"/>
              <w:tab w:val="right" w:pos="9072"/>
            </w:tabs>
            <w:jc w:val="left"/>
          </w:pPr>
          <w:r>
            <w:rPr>
              <w:rFonts w:ascii="Verdana" w:hAnsi="Verdana" w:cs="Verdana"/>
              <w:sz w:val="16"/>
              <w:szCs w:val="16"/>
            </w:rPr>
            <w:t>0</w:t>
          </w:r>
        </w:p>
      </w:tc>
    </w:tr>
  </w:tbl>
  <w:p w14:paraId="08472BBA" w14:textId="77777777" w:rsidR="00C616C2" w:rsidRDefault="00C616C2">
    <w:pPr>
      <w:pStyle w:val="Hlavika"/>
      <w:rPr>
        <w:rFonts w:ascii="Verdana" w:hAnsi="Verdana" w:cs="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cs="Calibri" w:hint="default"/>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0" w:firstLine="0"/>
      </w:pPr>
      <w:rPr>
        <w:rFonts w:ascii="Calibri" w:hAnsi="Calibri" w:cs="Calibri" w:hint="default"/>
        <w:sz w:val="22"/>
        <w:szCs w:val="22"/>
      </w:rPr>
    </w:lvl>
  </w:abstractNum>
  <w:abstractNum w:abstractNumId="3" w15:restartNumberingAfterBreak="0">
    <w:nsid w:val="00000004"/>
    <w:multiLevelType w:val="singleLevel"/>
    <w:tmpl w:val="00000004"/>
    <w:name w:val="WW8Num4"/>
    <w:lvl w:ilvl="0">
      <w:start w:val="8"/>
      <w:numFmt w:val="lowerLetter"/>
      <w:lvlText w:val="%1)"/>
      <w:lvlJc w:val="left"/>
      <w:pPr>
        <w:tabs>
          <w:tab w:val="num" w:pos="360"/>
        </w:tabs>
        <w:ind w:left="360" w:hanging="360"/>
      </w:pPr>
      <w:rPr>
        <w:rFonts w:ascii="Calibri" w:hAnsi="Calibri" w:cs="Calibri" w:hint="default"/>
        <w:b/>
        <w:sz w:val="22"/>
        <w:szCs w:val="22"/>
      </w:rPr>
    </w:lvl>
  </w:abstractNum>
  <w:abstractNum w:abstractNumId="4" w15:restartNumberingAfterBreak="0">
    <w:nsid w:val="00000005"/>
    <w:multiLevelType w:val="singleLevel"/>
    <w:tmpl w:val="00000005"/>
    <w:name w:val="WW8Num5"/>
    <w:lvl w:ilvl="0">
      <w:start w:val="1"/>
      <w:numFmt w:val="upperLetter"/>
      <w:lvlText w:val="%1."/>
      <w:lvlJc w:val="left"/>
      <w:pPr>
        <w:tabs>
          <w:tab w:val="num" w:pos="708"/>
        </w:tabs>
        <w:ind w:left="720" w:hanging="360"/>
      </w:pPr>
      <w:rPr>
        <w:rFonts w:ascii="Calibri" w:hAnsi="Calibri" w:cs="Calibri" w:hint="default"/>
        <w:i w:val="0"/>
        <w:sz w:val="22"/>
        <w:szCs w:val="22"/>
      </w:rPr>
    </w:lvl>
  </w:abstractNum>
  <w:abstractNum w:abstractNumId="5" w15:restartNumberingAfterBreak="0">
    <w:nsid w:val="00000006"/>
    <w:multiLevelType w:val="singleLevel"/>
    <w:tmpl w:val="00000006"/>
    <w:name w:val="WW8Num6"/>
    <w:lvl w:ilvl="0">
      <w:start w:val="1"/>
      <w:numFmt w:val="decimal"/>
      <w:lvlText w:val="%1."/>
      <w:lvlJc w:val="left"/>
      <w:pPr>
        <w:tabs>
          <w:tab w:val="num" w:pos="708"/>
        </w:tabs>
        <w:ind w:left="720" w:hanging="360"/>
      </w:pPr>
      <w:rPr>
        <w:rFonts w:ascii="Calibri" w:hAnsi="Calibri" w:cs="Calibri" w:hint="default"/>
        <w:b w:val="0"/>
        <w:i w:val="0"/>
        <w:sz w:val="16"/>
        <w:szCs w:val="20"/>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rFonts w:ascii="Calibri" w:hAnsi="Calibri" w:cs="Calibri" w:hint="default"/>
        <w:b/>
        <w:caps/>
        <w:sz w:val="22"/>
        <w:szCs w:val="22"/>
      </w:rPr>
    </w:lvl>
    <w:lvl w:ilvl="1">
      <w:start w:val="1"/>
      <w:numFmt w:val="decimal"/>
      <w:lvlText w:val="%1.%2."/>
      <w:lvlJc w:val="left"/>
      <w:pPr>
        <w:tabs>
          <w:tab w:val="num" w:pos="0"/>
        </w:tabs>
        <w:ind w:left="1080" w:hanging="720"/>
      </w:pPr>
      <w:rPr>
        <w:rFonts w:ascii="Calibri" w:hAnsi="Calibri" w:cs="Calibri" w:hint="default"/>
        <w:b/>
        <w:caps/>
        <w:sz w:val="22"/>
        <w:szCs w:val="22"/>
      </w:rPr>
    </w:lvl>
    <w:lvl w:ilvl="2">
      <w:start w:val="1"/>
      <w:numFmt w:val="decimal"/>
      <w:lvlText w:val="%1.%2.%3."/>
      <w:lvlJc w:val="left"/>
      <w:pPr>
        <w:tabs>
          <w:tab w:val="num" w:pos="0"/>
        </w:tabs>
        <w:ind w:left="1080" w:hanging="720"/>
      </w:pPr>
      <w:rPr>
        <w:rFonts w:ascii="Calibri" w:hAnsi="Calibri" w:cs="Calibri" w:hint="default"/>
        <w:b/>
        <w:caps/>
        <w:sz w:val="22"/>
        <w:szCs w:val="22"/>
      </w:rPr>
    </w:lvl>
    <w:lvl w:ilvl="3">
      <w:start w:val="1"/>
      <w:numFmt w:val="decimal"/>
      <w:lvlText w:val="%1.%2.%3.%4."/>
      <w:lvlJc w:val="left"/>
      <w:pPr>
        <w:tabs>
          <w:tab w:val="num" w:pos="0"/>
        </w:tabs>
        <w:ind w:left="1440" w:hanging="1080"/>
      </w:pPr>
      <w:rPr>
        <w:rFonts w:ascii="Calibri" w:hAnsi="Calibri" w:cs="Calibri" w:hint="default"/>
        <w:b/>
        <w:caps/>
        <w:sz w:val="22"/>
        <w:szCs w:val="22"/>
      </w:rPr>
    </w:lvl>
    <w:lvl w:ilvl="4">
      <w:start w:val="1"/>
      <w:numFmt w:val="decimal"/>
      <w:lvlText w:val="%1.%2.%3.%4.%5."/>
      <w:lvlJc w:val="left"/>
      <w:pPr>
        <w:tabs>
          <w:tab w:val="num" w:pos="0"/>
        </w:tabs>
        <w:ind w:left="1440" w:hanging="1080"/>
      </w:pPr>
      <w:rPr>
        <w:rFonts w:ascii="Calibri" w:hAnsi="Calibri" w:cs="Calibri" w:hint="default"/>
        <w:b/>
        <w:caps/>
        <w:sz w:val="22"/>
        <w:szCs w:val="22"/>
      </w:rPr>
    </w:lvl>
    <w:lvl w:ilvl="5">
      <w:start w:val="1"/>
      <w:numFmt w:val="decimal"/>
      <w:lvlText w:val="%1.%2.%3.%4.%5.%6."/>
      <w:lvlJc w:val="left"/>
      <w:pPr>
        <w:tabs>
          <w:tab w:val="num" w:pos="0"/>
        </w:tabs>
        <w:ind w:left="1800" w:hanging="1440"/>
      </w:pPr>
      <w:rPr>
        <w:rFonts w:ascii="Calibri" w:hAnsi="Calibri" w:cs="Calibri" w:hint="default"/>
        <w:b/>
        <w:caps/>
        <w:sz w:val="22"/>
        <w:szCs w:val="22"/>
      </w:rPr>
    </w:lvl>
    <w:lvl w:ilvl="6">
      <w:start w:val="1"/>
      <w:numFmt w:val="decimal"/>
      <w:lvlText w:val="%1.%2.%3.%4.%5.%6.%7."/>
      <w:lvlJc w:val="left"/>
      <w:pPr>
        <w:tabs>
          <w:tab w:val="num" w:pos="0"/>
        </w:tabs>
        <w:ind w:left="1800" w:hanging="1440"/>
      </w:pPr>
      <w:rPr>
        <w:rFonts w:ascii="Calibri" w:hAnsi="Calibri" w:cs="Calibri" w:hint="default"/>
        <w:b/>
        <w:caps/>
        <w:sz w:val="22"/>
        <w:szCs w:val="22"/>
      </w:rPr>
    </w:lvl>
    <w:lvl w:ilvl="7">
      <w:start w:val="1"/>
      <w:numFmt w:val="decimal"/>
      <w:lvlText w:val="%1.%2.%3.%4.%5.%6.%7.%8."/>
      <w:lvlJc w:val="left"/>
      <w:pPr>
        <w:tabs>
          <w:tab w:val="num" w:pos="0"/>
        </w:tabs>
        <w:ind w:left="2160" w:hanging="1800"/>
      </w:pPr>
      <w:rPr>
        <w:rFonts w:ascii="Calibri" w:hAnsi="Calibri" w:cs="Calibri" w:hint="default"/>
        <w:b/>
        <w:caps/>
        <w:sz w:val="22"/>
        <w:szCs w:val="22"/>
      </w:rPr>
    </w:lvl>
    <w:lvl w:ilvl="8">
      <w:start w:val="1"/>
      <w:numFmt w:val="decimal"/>
      <w:lvlText w:val="%1.%2.%3.%4.%5.%6.%7.%8.%9."/>
      <w:lvlJc w:val="left"/>
      <w:pPr>
        <w:tabs>
          <w:tab w:val="num" w:pos="0"/>
        </w:tabs>
        <w:ind w:left="2160" w:hanging="1800"/>
      </w:pPr>
      <w:rPr>
        <w:rFonts w:ascii="Calibri" w:hAnsi="Calibri" w:cs="Calibri" w:hint="default"/>
        <w:b/>
        <w:caps/>
        <w:sz w:val="22"/>
        <w:szCs w:val="22"/>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360"/>
        </w:tabs>
        <w:ind w:left="360" w:hanging="360"/>
      </w:pPr>
      <w:rPr>
        <w:rFonts w:ascii="Calibri" w:hAnsi="Calibri" w:cs="Calibri"/>
        <w:b/>
        <w:sz w:val="22"/>
        <w:szCs w:val="22"/>
      </w:rPr>
    </w:lvl>
  </w:abstractNum>
  <w:abstractNum w:abstractNumId="8" w15:restartNumberingAfterBreak="0">
    <w:nsid w:val="00000009"/>
    <w:multiLevelType w:val="singleLevel"/>
    <w:tmpl w:val="00000009"/>
    <w:name w:val="WW8Num9"/>
    <w:lvl w:ilvl="0">
      <w:start w:val="1"/>
      <w:numFmt w:val="decimal"/>
      <w:lvlText w:val="%1."/>
      <w:lvlJc w:val="left"/>
      <w:pPr>
        <w:tabs>
          <w:tab w:val="num" w:pos="283"/>
        </w:tabs>
        <w:ind w:left="283" w:hanging="283"/>
      </w:pPr>
      <w:rPr>
        <w:rFonts w:ascii="Calibri" w:hAnsi="Calibri" w:cs="Calibri"/>
        <w:sz w:val="22"/>
        <w:szCs w:val="22"/>
      </w:rPr>
    </w:lvl>
  </w:abstractNum>
  <w:abstractNum w:abstractNumId="9" w15:restartNumberingAfterBreak="0">
    <w:nsid w:val="0000000A"/>
    <w:multiLevelType w:val="singleLevel"/>
    <w:tmpl w:val="0000000A"/>
    <w:name w:val="WW8Num10"/>
    <w:lvl w:ilvl="0">
      <w:start w:val="3"/>
      <w:numFmt w:val="lowerLetter"/>
      <w:lvlText w:val="%1)"/>
      <w:lvlJc w:val="left"/>
      <w:pPr>
        <w:tabs>
          <w:tab w:val="num" w:pos="360"/>
        </w:tabs>
        <w:ind w:left="360" w:hanging="360"/>
      </w:pPr>
      <w:rPr>
        <w:rFonts w:ascii="Calibri" w:hAnsi="Calibri" w:cs="Calibri"/>
        <w:b/>
        <w:sz w:val="22"/>
        <w:szCs w:val="22"/>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720" w:hanging="360"/>
      </w:pPr>
      <w:rPr>
        <w:rFonts w:cs="Calibri" w:hint="default"/>
      </w:rPr>
    </w:lvl>
  </w:abstractNum>
  <w:abstractNum w:abstractNumId="11" w15:restartNumberingAfterBreak="0">
    <w:nsid w:val="0000000C"/>
    <w:multiLevelType w:val="singleLevel"/>
    <w:tmpl w:val="0000000C"/>
    <w:name w:val="WW8Num12"/>
    <w:lvl w:ilvl="0">
      <w:start w:val="1"/>
      <w:numFmt w:val="lowerLetter"/>
      <w:lvlText w:val="%1)"/>
      <w:lvlJc w:val="left"/>
      <w:pPr>
        <w:tabs>
          <w:tab w:val="num" w:pos="360"/>
        </w:tabs>
        <w:ind w:left="360" w:hanging="360"/>
      </w:pPr>
      <w:rPr>
        <w:rFonts w:hint="default"/>
      </w:rPr>
    </w:lvl>
  </w:abstractNum>
  <w:abstractNum w:abstractNumId="12" w15:restartNumberingAfterBreak="0">
    <w:nsid w:val="0000000D"/>
    <w:multiLevelType w:val="singleLevel"/>
    <w:tmpl w:val="0000000D"/>
    <w:name w:val="WW8Num13"/>
    <w:lvl w:ilvl="0">
      <w:start w:val="1"/>
      <w:numFmt w:val="decimal"/>
      <w:lvlText w:val="%1."/>
      <w:lvlJc w:val="left"/>
      <w:pPr>
        <w:tabs>
          <w:tab w:val="num" w:pos="360"/>
        </w:tabs>
        <w:ind w:left="360" w:hanging="360"/>
      </w:pPr>
      <w:rPr>
        <w:rFonts w:ascii="Calibri" w:hAnsi="Calibri" w:cs="Calibri" w:hint="default"/>
        <w:b w:val="0"/>
        <w:i w:val="0"/>
        <w:smallCaps/>
        <w:sz w:val="22"/>
        <w:szCs w:val="22"/>
      </w:rPr>
    </w:lvl>
  </w:abstractNum>
  <w:abstractNum w:abstractNumId="13" w15:restartNumberingAfterBreak="0">
    <w:nsid w:val="0000000E"/>
    <w:multiLevelType w:val="singleLevel"/>
    <w:tmpl w:val="0000000E"/>
    <w:name w:val="WW8Num14"/>
    <w:lvl w:ilvl="0">
      <w:numFmt w:val="bullet"/>
      <w:lvlText w:val=""/>
      <w:lvlJc w:val="left"/>
      <w:pPr>
        <w:tabs>
          <w:tab w:val="num" w:pos="283"/>
        </w:tabs>
        <w:ind w:left="283" w:hanging="283"/>
      </w:pPr>
      <w:rPr>
        <w:rFonts w:ascii="Symbol" w:hAnsi="Symbol" w:cs="Symbol" w:hint="default"/>
        <w:color w:val="000000"/>
        <w:sz w:val="22"/>
        <w:szCs w:val="22"/>
      </w:rPr>
    </w:lvl>
  </w:abstractNum>
  <w:num w:numId="1" w16cid:durableId="1556433009">
    <w:abstractNumId w:val="0"/>
  </w:num>
  <w:num w:numId="2" w16cid:durableId="1752314855">
    <w:abstractNumId w:val="1"/>
  </w:num>
  <w:num w:numId="3" w16cid:durableId="1405831590">
    <w:abstractNumId w:val="2"/>
  </w:num>
  <w:num w:numId="4" w16cid:durableId="848057189">
    <w:abstractNumId w:val="3"/>
  </w:num>
  <w:num w:numId="5" w16cid:durableId="538474332">
    <w:abstractNumId w:val="4"/>
  </w:num>
  <w:num w:numId="6" w16cid:durableId="1244725470">
    <w:abstractNumId w:val="5"/>
  </w:num>
  <w:num w:numId="7" w16cid:durableId="2103213548">
    <w:abstractNumId w:val="6"/>
  </w:num>
  <w:num w:numId="8" w16cid:durableId="185291892">
    <w:abstractNumId w:val="7"/>
  </w:num>
  <w:num w:numId="9" w16cid:durableId="813105736">
    <w:abstractNumId w:val="8"/>
  </w:num>
  <w:num w:numId="10" w16cid:durableId="982274287">
    <w:abstractNumId w:val="9"/>
  </w:num>
  <w:num w:numId="11" w16cid:durableId="510602438">
    <w:abstractNumId w:val="10"/>
  </w:num>
  <w:num w:numId="12" w16cid:durableId="1805465436">
    <w:abstractNumId w:val="11"/>
  </w:num>
  <w:num w:numId="13" w16cid:durableId="12728211">
    <w:abstractNumId w:val="12"/>
  </w:num>
  <w:num w:numId="14" w16cid:durableId="11085072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08"/>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89A"/>
    <w:rsid w:val="00073945"/>
    <w:rsid w:val="00097DE0"/>
    <w:rsid w:val="0011374A"/>
    <w:rsid w:val="00126FE6"/>
    <w:rsid w:val="001414B0"/>
    <w:rsid w:val="0016445D"/>
    <w:rsid w:val="002F267C"/>
    <w:rsid w:val="00303566"/>
    <w:rsid w:val="00367DBC"/>
    <w:rsid w:val="00390821"/>
    <w:rsid w:val="004D3A62"/>
    <w:rsid w:val="004E1978"/>
    <w:rsid w:val="00597079"/>
    <w:rsid w:val="005D276E"/>
    <w:rsid w:val="005F4412"/>
    <w:rsid w:val="0063287C"/>
    <w:rsid w:val="00727133"/>
    <w:rsid w:val="00742676"/>
    <w:rsid w:val="0077289A"/>
    <w:rsid w:val="007E6695"/>
    <w:rsid w:val="00880FC0"/>
    <w:rsid w:val="008C52AB"/>
    <w:rsid w:val="008E6CE7"/>
    <w:rsid w:val="008F5129"/>
    <w:rsid w:val="009F16B3"/>
    <w:rsid w:val="009F285E"/>
    <w:rsid w:val="009F7E1D"/>
    <w:rsid w:val="00A47BF5"/>
    <w:rsid w:val="00B74C5A"/>
    <w:rsid w:val="00C616C2"/>
    <w:rsid w:val="00C77E1F"/>
    <w:rsid w:val="00C91084"/>
    <w:rsid w:val="00C91308"/>
    <w:rsid w:val="00CA05A4"/>
    <w:rsid w:val="00CD723F"/>
    <w:rsid w:val="00CD7954"/>
    <w:rsid w:val="00D0136B"/>
    <w:rsid w:val="00DB2898"/>
    <w:rsid w:val="00E85BCF"/>
    <w:rsid w:val="00F24E9B"/>
    <w:rsid w:val="00FA38CB"/>
    <w:rsid w:val="00FE78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25546CF"/>
  <w15:chartTrackingRefBased/>
  <w15:docId w15:val="{D9E76363-E500-43A8-9205-13C434F4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jc w:val="both"/>
    </w:pPr>
    <w:rPr>
      <w:lang w:eastAsia="zh-CN"/>
    </w:rPr>
  </w:style>
  <w:style w:type="paragraph" w:styleId="Nadpis1">
    <w:name w:val="heading 1"/>
    <w:basedOn w:val="Normlny"/>
    <w:next w:val="Normlny"/>
    <w:qFormat/>
    <w:pPr>
      <w:keepNext/>
      <w:numPr>
        <w:numId w:val="1"/>
      </w:numPr>
      <w:spacing w:after="120"/>
      <w:outlineLvl w:val="0"/>
    </w:pPr>
    <w:rPr>
      <w:b/>
      <w:kern w:val="2"/>
      <w:u w:val="single"/>
    </w:rPr>
  </w:style>
  <w:style w:type="paragraph" w:styleId="Nadpis2">
    <w:name w:val="heading 2"/>
    <w:basedOn w:val="Normlny"/>
    <w:next w:val="Normlny"/>
    <w:qFormat/>
    <w:pPr>
      <w:keepNext/>
      <w:numPr>
        <w:ilvl w:val="1"/>
        <w:numId w:val="1"/>
      </w:numPr>
      <w:outlineLvl w:val="1"/>
    </w:pPr>
    <w:rPr>
      <w:sz w:val="24"/>
    </w:rPr>
  </w:style>
  <w:style w:type="paragraph" w:styleId="Nadpis3">
    <w:name w:val="heading 3"/>
    <w:basedOn w:val="Normlny"/>
    <w:next w:val="Normlny"/>
    <w:qFormat/>
    <w:pPr>
      <w:keepNext/>
      <w:numPr>
        <w:ilvl w:val="2"/>
        <w:numId w:val="1"/>
      </w:numPr>
      <w:outlineLvl w:val="2"/>
    </w:pPr>
    <w:rPr>
      <w:b/>
    </w:rPr>
  </w:style>
  <w:style w:type="paragraph" w:styleId="Nadpis4">
    <w:name w:val="heading 4"/>
    <w:basedOn w:val="Normlny"/>
    <w:next w:val="Normlny"/>
    <w:qFormat/>
    <w:pPr>
      <w:keepNext/>
      <w:numPr>
        <w:ilvl w:val="3"/>
        <w:numId w:val="1"/>
      </w:numPr>
      <w:ind w:left="60"/>
      <w:outlineLvl w:val="3"/>
    </w:pPr>
    <w:rPr>
      <w:b/>
      <w:i/>
      <w:sz w:val="24"/>
    </w:rPr>
  </w:style>
  <w:style w:type="paragraph" w:styleId="Nadpis5">
    <w:name w:val="heading 5"/>
    <w:basedOn w:val="Normlny"/>
    <w:next w:val="Normlny"/>
    <w:qFormat/>
    <w:pPr>
      <w:keepNext/>
      <w:numPr>
        <w:ilvl w:val="4"/>
        <w:numId w:val="1"/>
      </w:numPr>
      <w:ind w:left="60"/>
      <w:outlineLvl w:val="4"/>
    </w:pPr>
    <w:rPr>
      <w:sz w:val="24"/>
      <w:u w:val="single"/>
    </w:rPr>
  </w:style>
  <w:style w:type="paragraph" w:styleId="Nadpis6">
    <w:name w:val="heading 6"/>
    <w:basedOn w:val="Normlny"/>
    <w:next w:val="Normlny"/>
    <w:qFormat/>
    <w:pPr>
      <w:keepNext/>
      <w:numPr>
        <w:ilvl w:val="5"/>
        <w:numId w:val="1"/>
      </w:numPr>
      <w:outlineLvl w:val="5"/>
    </w:pPr>
    <w:rPr>
      <w:color w:val="000000"/>
      <w:sz w:val="24"/>
    </w:rPr>
  </w:style>
  <w:style w:type="paragraph" w:styleId="Nadpis7">
    <w:name w:val="heading 7"/>
    <w:basedOn w:val="Normlny"/>
    <w:next w:val="Normlny"/>
    <w:qFormat/>
    <w:pPr>
      <w:keepNext/>
      <w:numPr>
        <w:ilvl w:val="6"/>
        <w:numId w:val="1"/>
      </w:numPr>
      <w:outlineLvl w:val="6"/>
    </w:pPr>
    <w:rPr>
      <w:i/>
      <w:color w:val="000000"/>
      <w:sz w:val="24"/>
    </w:rPr>
  </w:style>
  <w:style w:type="paragraph" w:styleId="Nadpis8">
    <w:name w:val="heading 8"/>
    <w:basedOn w:val="Normlny"/>
    <w:next w:val="Normlny"/>
    <w:qFormat/>
    <w:pPr>
      <w:keepNext/>
      <w:numPr>
        <w:ilvl w:val="7"/>
        <w:numId w:val="1"/>
      </w:numPr>
      <w:outlineLvl w:val="7"/>
    </w:pPr>
    <w:rPr>
      <w:color w:val="0000FF"/>
      <w:sz w:val="24"/>
    </w:rPr>
  </w:style>
  <w:style w:type="paragraph" w:styleId="Nadpis9">
    <w:name w:val="heading 9"/>
    <w:basedOn w:val="Normlny"/>
    <w:next w:val="Normlny"/>
    <w:qFormat/>
    <w:pPr>
      <w:keepNext/>
      <w:numPr>
        <w:ilvl w:val="8"/>
        <w:numId w:val="1"/>
      </w:numPr>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Calibri" w:hint="default"/>
    </w:rPr>
  </w:style>
  <w:style w:type="character" w:customStyle="1" w:styleId="WW8Num3z0">
    <w:name w:val="WW8Num3z0"/>
    <w:rPr>
      <w:rFonts w:ascii="Calibri" w:hAnsi="Calibri" w:cs="Calibri" w:hint="default"/>
      <w:sz w:val="22"/>
      <w:szCs w:val="22"/>
    </w:rPr>
  </w:style>
  <w:style w:type="character" w:customStyle="1" w:styleId="WW8Num4z0">
    <w:name w:val="WW8Num4z0"/>
    <w:rPr>
      <w:rFonts w:ascii="Calibri" w:hAnsi="Calibri" w:cs="Calibri" w:hint="default"/>
      <w:b/>
      <w:sz w:val="22"/>
      <w:szCs w:val="22"/>
    </w:rPr>
  </w:style>
  <w:style w:type="character" w:customStyle="1" w:styleId="WW8Num5z0">
    <w:name w:val="WW8Num5z0"/>
    <w:rPr>
      <w:rFonts w:ascii="Calibri" w:hAnsi="Calibri" w:cs="Calibri" w:hint="default"/>
      <w:i w:val="0"/>
      <w:sz w:val="22"/>
      <w:szCs w:val="22"/>
    </w:rPr>
  </w:style>
  <w:style w:type="character" w:customStyle="1" w:styleId="WW8Num6z0">
    <w:name w:val="WW8Num6z0"/>
    <w:rPr>
      <w:rFonts w:ascii="Calibri" w:hAnsi="Calibri" w:cs="Calibri" w:hint="default"/>
      <w:b w:val="0"/>
      <w:i w:val="0"/>
      <w:sz w:val="16"/>
      <w:szCs w:val="20"/>
    </w:rPr>
  </w:style>
  <w:style w:type="character" w:customStyle="1" w:styleId="WW8Num7z0">
    <w:name w:val="WW8Num7z0"/>
    <w:rPr>
      <w:rFonts w:ascii="Calibri" w:hAnsi="Calibri" w:cs="Calibri" w:hint="default"/>
      <w:b/>
      <w:caps/>
      <w:sz w:val="22"/>
      <w:szCs w:val="22"/>
    </w:rPr>
  </w:style>
  <w:style w:type="character" w:customStyle="1" w:styleId="WW8Num8z0">
    <w:name w:val="WW8Num8z0"/>
    <w:rPr>
      <w:rFonts w:ascii="Calibri" w:hAnsi="Calibri" w:cs="Calibri"/>
      <w:b/>
      <w:sz w:val="22"/>
      <w:szCs w:val="22"/>
    </w:rPr>
  </w:style>
  <w:style w:type="character" w:customStyle="1" w:styleId="WW8Num9z0">
    <w:name w:val="WW8Num9z0"/>
    <w:rPr>
      <w:rFonts w:ascii="Calibri" w:hAnsi="Calibri" w:cs="Calibri"/>
      <w:sz w:val="22"/>
      <w:szCs w:val="22"/>
    </w:rPr>
  </w:style>
  <w:style w:type="character" w:customStyle="1" w:styleId="WW8Num10z0">
    <w:name w:val="WW8Num10z0"/>
    <w:rPr>
      <w:rFonts w:ascii="Calibri" w:hAnsi="Calibri" w:cs="Calibri"/>
      <w:b/>
      <w:sz w:val="22"/>
      <w:szCs w:val="22"/>
    </w:rPr>
  </w:style>
  <w:style w:type="character" w:customStyle="1" w:styleId="WW8Num11z0">
    <w:name w:val="WW8Num11z0"/>
    <w:rPr>
      <w:rFonts w:cs="Calibri" w:hint="default"/>
    </w:rPr>
  </w:style>
  <w:style w:type="character" w:customStyle="1" w:styleId="WW8Num12z0">
    <w:name w:val="WW8Num12z0"/>
    <w:rPr>
      <w:rFonts w:hint="default"/>
    </w:rPr>
  </w:style>
  <w:style w:type="character" w:customStyle="1" w:styleId="WW8Num13z0">
    <w:name w:val="WW8Num13z0"/>
    <w:rPr>
      <w:rFonts w:ascii="Calibri" w:hAnsi="Calibri" w:cs="Calibri" w:hint="default"/>
      <w:b w:val="0"/>
      <w:i w:val="0"/>
      <w:smallCaps/>
      <w:sz w:val="22"/>
      <w:szCs w:val="22"/>
    </w:rPr>
  </w:style>
  <w:style w:type="character" w:customStyle="1" w:styleId="WW8Num14z0">
    <w:name w:val="WW8Num14z0"/>
    <w:rPr>
      <w:rFonts w:ascii="Symbol" w:hAnsi="Symbol" w:cs="Symbol" w:hint="default"/>
      <w:color w:val="000000"/>
      <w:sz w:val="22"/>
      <w:szCs w:val="22"/>
    </w:rPr>
  </w:style>
  <w:style w:type="character" w:customStyle="1" w:styleId="Predvolenpsmoodseku2">
    <w:name w:val="Predvolené písmo odseku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sz w:val="16"/>
      <w:szCs w:val="16"/>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Calibri" w:hAnsi="Calibri" w:cs="Calibri" w:hint="default"/>
      <w:b w:val="0"/>
      <w:i w:val="0"/>
      <w:smallCaps/>
      <w:sz w:val="22"/>
      <w:szCs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St2z0">
    <w:name w:val="WW8NumSt2z0"/>
    <w:rPr>
      <w:rFonts w:ascii="Symbol" w:hAnsi="Symbol" w:cs="Symbol" w:hint="default"/>
      <w:color w:val="000000"/>
      <w:sz w:val="22"/>
      <w:szCs w:val="22"/>
    </w:rPr>
  </w:style>
  <w:style w:type="character" w:customStyle="1" w:styleId="Predvolenpsmoodseku1">
    <w:name w:val="Predvolené písmo odseku1"/>
  </w:style>
  <w:style w:type="character" w:customStyle="1" w:styleId="Nadpis1Char">
    <w:name w:val="Nadpis 1 Char"/>
    <w:rPr>
      <w:b/>
      <w:kern w:val="2"/>
      <w:u w:val="single"/>
      <w:lang w:val="sk-SK" w:bidi="ar-SA"/>
    </w:rPr>
  </w:style>
  <w:style w:type="character" w:customStyle="1" w:styleId="Nadpis2Char">
    <w:name w:val="Nadpis 2 Char"/>
    <w:rPr>
      <w:sz w:val="24"/>
      <w:lang w:val="sk-SK" w:bidi="ar-SA"/>
    </w:rPr>
  </w:style>
  <w:style w:type="character" w:customStyle="1" w:styleId="Nadpis3Char">
    <w:name w:val="Nadpis 3 Char"/>
    <w:rPr>
      <w:b/>
      <w:lang w:val="sk-SK" w:bidi="ar-SA"/>
    </w:rPr>
  </w:style>
  <w:style w:type="character" w:customStyle="1" w:styleId="Nadpis4Char">
    <w:name w:val="Nadpis 4 Char"/>
    <w:rPr>
      <w:b/>
      <w:i/>
      <w:sz w:val="24"/>
      <w:lang w:val="sk-SK" w:bidi="ar-SA"/>
    </w:rPr>
  </w:style>
  <w:style w:type="character" w:customStyle="1" w:styleId="Nadpis5Char">
    <w:name w:val="Nadpis 5 Char"/>
    <w:rPr>
      <w:sz w:val="24"/>
      <w:u w:val="single"/>
      <w:lang w:val="sk-SK" w:bidi="ar-SA"/>
    </w:rPr>
  </w:style>
  <w:style w:type="character" w:customStyle="1" w:styleId="Nadpis6Char">
    <w:name w:val="Nadpis 6 Char"/>
    <w:rPr>
      <w:color w:val="000000"/>
      <w:sz w:val="24"/>
      <w:lang w:val="sk-SK" w:bidi="ar-SA"/>
    </w:rPr>
  </w:style>
  <w:style w:type="character" w:customStyle="1" w:styleId="Nadpis7Char">
    <w:name w:val="Nadpis 7 Char"/>
    <w:rPr>
      <w:i/>
      <w:color w:val="000000"/>
      <w:sz w:val="24"/>
      <w:lang w:val="sk-SK" w:bidi="ar-SA"/>
    </w:rPr>
  </w:style>
  <w:style w:type="character" w:customStyle="1" w:styleId="Nadpis8Char">
    <w:name w:val="Nadpis 8 Char"/>
    <w:rPr>
      <w:color w:val="0000FF"/>
      <w:sz w:val="24"/>
      <w:lang w:val="sk-SK" w:bidi="ar-SA"/>
    </w:rPr>
  </w:style>
  <w:style w:type="character" w:customStyle="1" w:styleId="Nadpis9Char">
    <w:name w:val="Nadpis 9 Char"/>
    <w:rPr>
      <w:color w:val="0000FF"/>
      <w:sz w:val="24"/>
      <w:lang w:val="sk-SK" w:bidi="ar-SA"/>
    </w:rPr>
  </w:style>
  <w:style w:type="character" w:styleId="slostrany">
    <w:name w:val="page number"/>
    <w:basedOn w:val="Predvolenpsmoodseku1"/>
  </w:style>
  <w:style w:type="character" w:customStyle="1" w:styleId="HlavikaChar">
    <w:name w:val="Hlavička Char"/>
    <w:rPr>
      <w:lang w:val="sk-SK" w:bidi="ar-SA"/>
    </w:rPr>
  </w:style>
  <w:style w:type="character" w:customStyle="1" w:styleId="PtaChar">
    <w:name w:val="Päta Char"/>
    <w:rPr>
      <w:lang w:val="sk-SK" w:bidi="ar-SA"/>
    </w:rPr>
  </w:style>
  <w:style w:type="character" w:customStyle="1" w:styleId="ZkladntextChar">
    <w:name w:val="Základný text Char"/>
    <w:rPr>
      <w:sz w:val="24"/>
      <w:lang w:val="sk-SK" w:bidi="ar-SA"/>
    </w:rPr>
  </w:style>
  <w:style w:type="character" w:customStyle="1" w:styleId="Zarkazkladnhotextu2Char">
    <w:name w:val="Zarážka základného textu 2 Char"/>
    <w:rPr>
      <w:sz w:val="24"/>
      <w:lang w:val="sk-SK" w:bidi="ar-SA"/>
    </w:rPr>
  </w:style>
  <w:style w:type="character" w:customStyle="1" w:styleId="Zkladntext2Char">
    <w:name w:val="Základný text 2 Char"/>
    <w:rPr>
      <w:color w:val="0000FF"/>
      <w:sz w:val="24"/>
      <w:lang w:val="sk-SK" w:bidi="ar-SA"/>
    </w:rPr>
  </w:style>
  <w:style w:type="character" w:customStyle="1" w:styleId="NzovChar">
    <w:name w:val="Názov Char"/>
    <w:rPr>
      <w:b/>
      <w:sz w:val="32"/>
      <w:lang w:val="sk-SK" w:bidi="ar-SA"/>
    </w:rPr>
  </w:style>
  <w:style w:type="character" w:customStyle="1" w:styleId="PodtitulChar">
    <w:name w:val="Podtitul Char"/>
    <w:rPr>
      <w:sz w:val="28"/>
      <w:lang w:val="sk-SK" w:bidi="ar-SA"/>
    </w:rPr>
  </w:style>
  <w:style w:type="character" w:customStyle="1" w:styleId="TextbublinyChar">
    <w:name w:val="Text bubliny Char"/>
    <w:rPr>
      <w:rFonts w:ascii="Tahoma" w:hAnsi="Tahoma" w:cs="Tahoma"/>
      <w:sz w:val="16"/>
      <w:szCs w:val="16"/>
      <w:lang w:val="sk-SK" w:bidi="ar-SA"/>
    </w:rPr>
  </w:style>
  <w:style w:type="character" w:customStyle="1" w:styleId="TextpoznmkypodiarouChar">
    <w:name w:val="Text poznámky pod čiarou Char"/>
    <w:rPr>
      <w:lang w:val="sk-SK" w:bidi="ar-SA"/>
    </w:rPr>
  </w:style>
  <w:style w:type="character" w:customStyle="1" w:styleId="Zarkazkladnhotextu3Char">
    <w:name w:val="Zarážka základného textu 3 Char"/>
    <w:rPr>
      <w:sz w:val="24"/>
      <w:szCs w:val="24"/>
      <w:lang w:val="sk-SK" w:bidi="ar-SA"/>
    </w:rPr>
  </w:style>
  <w:style w:type="character" w:customStyle="1" w:styleId="Odkaznakomentr1">
    <w:name w:val="Odkaz na komentár1"/>
    <w:rPr>
      <w:sz w:val="16"/>
      <w:szCs w:val="16"/>
    </w:rPr>
  </w:style>
  <w:style w:type="character" w:customStyle="1" w:styleId="TextkomentraChar">
    <w:name w:val="Text komentára Char"/>
    <w:basedOn w:val="Predvolenpsmoodseku1"/>
  </w:style>
  <w:style w:type="character" w:customStyle="1" w:styleId="PredmetkomentraChar">
    <w:name w:val="Predmet komentára Char"/>
    <w:rPr>
      <w:b/>
      <w:bCs/>
    </w:rPr>
  </w:style>
  <w:style w:type="character" w:customStyle="1" w:styleId="ra">
    <w:name w:val="ra"/>
  </w:style>
  <w:style w:type="character" w:customStyle="1" w:styleId="tl">
    <w:name w:val="tl"/>
  </w:style>
  <w:style w:type="character" w:styleId="Hypertextovprepojenie">
    <w:name w:val="Hyperlink"/>
    <w:rPr>
      <w:color w:val="0000FF"/>
      <w:u w:val="single"/>
    </w:rPr>
  </w:style>
  <w:style w:type="character" w:customStyle="1" w:styleId="Odkaznakomentr2">
    <w:name w:val="Odkaz na komentár2"/>
    <w:rPr>
      <w:sz w:val="16"/>
      <w:szCs w:val="16"/>
    </w:rPr>
  </w:style>
  <w:style w:type="character" w:customStyle="1" w:styleId="TextkomentraChar1">
    <w:name w:val="Text komentára Char1"/>
    <w:rPr>
      <w:lang w:eastAsia="zh-CN"/>
    </w:rPr>
  </w:style>
  <w:style w:type="paragraph" w:customStyle="1" w:styleId="Heading">
    <w:name w:val="Heading"/>
    <w:basedOn w:val="Normlny"/>
    <w:next w:val="Zkladntext"/>
    <w:pPr>
      <w:jc w:val="center"/>
    </w:pPr>
    <w:rPr>
      <w:b/>
      <w:sz w:val="32"/>
    </w:rPr>
  </w:style>
  <w:style w:type="paragraph" w:styleId="Zkladntext">
    <w:name w:val="Body Text"/>
    <w:basedOn w:val="Normlny"/>
    <w:rPr>
      <w:sz w:val="24"/>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pPr>
      <w:suppressLineNumbers/>
    </w:pPr>
    <w:rPr>
      <w:rFonts w:cs="Arial"/>
    </w:rPr>
  </w:style>
  <w:style w:type="paragraph" w:customStyle="1" w:styleId="Popis1">
    <w:name w:val="Popis1"/>
    <w:basedOn w:val="Normlny"/>
    <w:pPr>
      <w:suppressLineNumbers/>
      <w:spacing w:before="120" w:after="120"/>
    </w:pPr>
    <w:rPr>
      <w:rFonts w:cs="Arial"/>
      <w:i/>
      <w:iCs/>
      <w:sz w:val="24"/>
      <w:szCs w:val="24"/>
    </w:rPr>
  </w:style>
  <w:style w:type="paragraph" w:styleId="Obsah1">
    <w:name w:val="toc 1"/>
    <w:basedOn w:val="Normlny"/>
    <w:next w:val="Normlny"/>
    <w:pPr>
      <w:jc w:val="left"/>
    </w:pPr>
    <w:rPr>
      <w:b/>
    </w:rPr>
  </w:style>
  <w:style w:type="paragraph" w:styleId="Obsah2">
    <w:name w:val="toc 2"/>
    <w:basedOn w:val="Normlny"/>
    <w:next w:val="Normlny"/>
    <w:pPr>
      <w:tabs>
        <w:tab w:val="right" w:pos="9071"/>
      </w:tabs>
      <w:spacing w:before="240"/>
      <w:jc w:val="left"/>
    </w:pPr>
    <w:rPr>
      <w:b/>
    </w:rPr>
  </w:style>
  <w:style w:type="paragraph" w:customStyle="1" w:styleId="Normlnysozarkami1">
    <w:name w:val="Normálny so zarážkami1"/>
    <w:basedOn w:val="Normlny"/>
    <w:pPr>
      <w:ind w:left="425"/>
      <w:jc w:val="left"/>
    </w:pPr>
    <w:rPr>
      <w:sz w:val="24"/>
    </w:rPr>
  </w:style>
  <w:style w:type="paragraph" w:customStyle="1" w:styleId="HeaderandFooter">
    <w:name w:val="Header and Footer"/>
    <w:basedOn w:val="Normlny"/>
    <w:pPr>
      <w:suppressLineNumbers/>
      <w:tabs>
        <w:tab w:val="center" w:pos="4819"/>
        <w:tab w:val="right" w:pos="9638"/>
      </w:tabs>
    </w:p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customStyle="1" w:styleId="Zarkazkladnhotextu21">
    <w:name w:val="Zarážka základného textu 21"/>
    <w:basedOn w:val="Normlny"/>
    <w:pPr>
      <w:ind w:firstLine="284"/>
    </w:pPr>
    <w:rPr>
      <w:sz w:val="24"/>
    </w:rPr>
  </w:style>
  <w:style w:type="paragraph" w:customStyle="1" w:styleId="BodyTextIndent21">
    <w:name w:val="Body Text Indent 21"/>
    <w:basedOn w:val="Normlny"/>
    <w:pPr>
      <w:ind w:firstLine="284"/>
    </w:pPr>
    <w:rPr>
      <w:sz w:val="24"/>
    </w:rPr>
  </w:style>
  <w:style w:type="paragraph" w:customStyle="1" w:styleId="BodyText21">
    <w:name w:val="Body Text 21"/>
    <w:basedOn w:val="Normlny"/>
    <w:pPr>
      <w:jc w:val="left"/>
    </w:pPr>
    <w:rPr>
      <w:sz w:val="24"/>
    </w:rPr>
  </w:style>
  <w:style w:type="paragraph" w:customStyle="1" w:styleId="Zkladntext21">
    <w:name w:val="Základný text 21"/>
    <w:basedOn w:val="Normlny"/>
    <w:rPr>
      <w:color w:val="0000FF"/>
      <w:sz w:val="24"/>
    </w:rPr>
  </w:style>
  <w:style w:type="paragraph" w:customStyle="1" w:styleId="Zkladntext31">
    <w:name w:val="Základný text 31"/>
    <w:basedOn w:val="Normlny"/>
    <w:pPr>
      <w:jc w:val="left"/>
    </w:pPr>
    <w:rPr>
      <w:sz w:val="24"/>
    </w:rPr>
  </w:style>
  <w:style w:type="paragraph" w:styleId="Zarkazkladnhotextu">
    <w:name w:val="Body Text Indent"/>
    <w:basedOn w:val="Normlny"/>
    <w:pPr>
      <w:jc w:val="left"/>
    </w:pPr>
    <w:rPr>
      <w:sz w:val="24"/>
    </w:rPr>
  </w:style>
  <w:style w:type="paragraph" w:customStyle="1" w:styleId="Texttabulky">
    <w:name w:val="Text tabulky"/>
    <w:pPr>
      <w:suppressAutoHyphens/>
    </w:pPr>
    <w:rPr>
      <w:color w:val="000000"/>
      <w:sz w:val="24"/>
      <w:lang w:val="cs-CZ" w:eastAsia="zh-CN"/>
    </w:rPr>
  </w:style>
  <w:style w:type="paragraph" w:styleId="Podtitul">
    <w:name w:val="Subtitle"/>
    <w:basedOn w:val="Normlny"/>
    <w:next w:val="Zkladntext"/>
    <w:qFormat/>
    <w:pPr>
      <w:jc w:val="center"/>
    </w:pPr>
    <w:rPr>
      <w:sz w:val="28"/>
    </w:rPr>
  </w:style>
  <w:style w:type="paragraph" w:styleId="Textbubliny">
    <w:name w:val="Balloon Text"/>
    <w:basedOn w:val="Normlny"/>
    <w:rPr>
      <w:rFonts w:ascii="Tahoma" w:hAnsi="Tahoma" w:cs="Tahoma"/>
      <w:sz w:val="16"/>
      <w:szCs w:val="16"/>
    </w:rPr>
  </w:style>
  <w:style w:type="paragraph" w:customStyle="1" w:styleId="TopHeader">
    <w:name w:val="Top Header"/>
    <w:basedOn w:val="Normlny"/>
    <w:pPr>
      <w:jc w:val="center"/>
    </w:pPr>
    <w:rPr>
      <w:rFonts w:ascii="Arial Narrow" w:hAnsi="Arial Narrow" w:cs="Arial Narrow"/>
      <w:b/>
      <w:bCs/>
      <w:sz w:val="22"/>
      <w:szCs w:val="22"/>
    </w:rPr>
  </w:style>
  <w:style w:type="paragraph" w:styleId="Textpoznmkypodiarou">
    <w:name w:val="footnote text"/>
    <w:basedOn w:val="Normlny"/>
    <w:pPr>
      <w:jc w:val="left"/>
    </w:pPr>
  </w:style>
  <w:style w:type="paragraph" w:customStyle="1" w:styleId="Zarkazkladnhotextu31">
    <w:name w:val="Zarážka základného textu 31"/>
    <w:basedOn w:val="Normlny"/>
    <w:pPr>
      <w:ind w:left="708" w:firstLine="708"/>
    </w:pPr>
    <w:rPr>
      <w:sz w:val="24"/>
      <w:szCs w:val="24"/>
    </w:rPr>
  </w:style>
  <w:style w:type="paragraph" w:styleId="Odsekzoznamu">
    <w:name w:val="List Paragraph"/>
    <w:basedOn w:val="Normlny"/>
    <w:qFormat/>
    <w:pPr>
      <w:ind w:left="720"/>
      <w:contextualSpacing/>
      <w:jc w:val="left"/>
    </w:pPr>
    <w:rPr>
      <w:sz w:val="24"/>
      <w:szCs w:val="24"/>
    </w:rPr>
  </w:style>
  <w:style w:type="paragraph" w:styleId="Revzia">
    <w:name w:val="Revision"/>
    <w:pPr>
      <w:suppressAutoHyphens/>
    </w:pPr>
    <w:rPr>
      <w:lang w:eastAsia="zh-CN"/>
    </w:rPr>
  </w:style>
  <w:style w:type="paragraph" w:customStyle="1" w:styleId="Textkomentra1">
    <w:name w:val="Text komentára1"/>
    <w:basedOn w:val="Normlny"/>
  </w:style>
  <w:style w:type="paragraph" w:customStyle="1" w:styleId="Default">
    <w:name w:val="Default"/>
    <w:pPr>
      <w:suppressAutoHyphens/>
      <w:autoSpaceDE w:val="0"/>
    </w:pPr>
    <w:rPr>
      <w:rFonts w:ascii="Arial" w:hAnsi="Arial" w:cs="Arial"/>
      <w:color w:val="000000"/>
      <w:sz w:val="24"/>
      <w:szCs w:val="24"/>
      <w:lang w:eastAsia="zh-CN"/>
    </w:rPr>
  </w:style>
  <w:style w:type="paragraph" w:styleId="Predmetkomentra">
    <w:name w:val="annotation subject"/>
    <w:basedOn w:val="Textkomentra1"/>
    <w:next w:val="Textkomentra1"/>
    <w:rPr>
      <w:b/>
      <w:bCs/>
    </w:rPr>
  </w:style>
  <w:style w:type="paragraph" w:customStyle="1" w:styleId="TableContents">
    <w:name w:val="Table Contents"/>
    <w:basedOn w:val="Normlny"/>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lny"/>
  </w:style>
  <w:style w:type="paragraph" w:customStyle="1" w:styleId="Textkomentra2">
    <w:name w:val="Text komentára2"/>
    <w:basedOn w:val="Normlny"/>
  </w:style>
  <w:style w:type="character" w:styleId="Odkaznakomentr">
    <w:name w:val="annotation reference"/>
    <w:uiPriority w:val="99"/>
    <w:semiHidden/>
    <w:unhideWhenUsed/>
    <w:rsid w:val="007E6695"/>
    <w:rPr>
      <w:sz w:val="16"/>
      <w:szCs w:val="16"/>
    </w:rPr>
  </w:style>
  <w:style w:type="paragraph" w:styleId="Textkomentra">
    <w:name w:val="annotation text"/>
    <w:basedOn w:val="Normlny"/>
    <w:link w:val="TextkomentraChar2"/>
    <w:uiPriority w:val="99"/>
    <w:unhideWhenUsed/>
    <w:rsid w:val="007E6695"/>
  </w:style>
  <w:style w:type="character" w:customStyle="1" w:styleId="TextkomentraChar2">
    <w:name w:val="Text komentára Char2"/>
    <w:link w:val="Textkomentra"/>
    <w:uiPriority w:val="99"/>
    <w:rsid w:val="007E6695"/>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A2073E4956974EB692CFC44E2968D8" ma:contentTypeVersion="18" ma:contentTypeDescription="Umožňuje vytvoriť nový dokument." ma:contentTypeScope="" ma:versionID="8dc782affe72078507454054b0a01831">
  <xsd:schema xmlns:xsd="http://www.w3.org/2001/XMLSchema" xmlns:xs="http://www.w3.org/2001/XMLSchema" xmlns:p="http://schemas.microsoft.com/office/2006/metadata/properties" xmlns:ns2="f1afb6be-dfdd-4eed-a356-8b96ce4d760a" xmlns:ns3="e1e7bfb1-b481-42e9-b0a4-20e9fb7ffb6f" targetNamespace="http://schemas.microsoft.com/office/2006/metadata/properties" ma:root="true" ma:fieldsID="76ac387a66ce9fccc62618638181fda6" ns2:_="" ns3:_="">
    <xsd:import namespace="f1afb6be-dfdd-4eed-a356-8b96ce4d760a"/>
    <xsd:import namespace="e1e7bfb1-b481-42e9-b0a4-20e9fb7ffb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fb6be-dfdd-4eed-a356-8b96ce4d760a"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8756af62-b250-4cd8-95ca-b3742ca5f9a7}" ma:internalName="TaxCatchAll" ma:showField="CatchAllData" ma:web="f1afb6be-dfdd-4eed-a356-8b96ce4d7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e7bfb1-b481-42e9-b0a4-20e9fb7ffb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d6ff6be9-dc35-4000-882d-b74e16c43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afb6be-dfdd-4eed-a356-8b96ce4d760a"/>
    <lcf76f155ced4ddcb4097134ff3c332f xmlns="e1e7bfb1-b481-42e9-b0a4-20e9fb7ffb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A17A14-43CD-48F4-AFF1-2FFE5FF7F737}">
  <ds:schemaRefs>
    <ds:schemaRef ds:uri="http://schemas.openxmlformats.org/officeDocument/2006/bibliography"/>
  </ds:schemaRefs>
</ds:datastoreItem>
</file>

<file path=customXml/itemProps2.xml><?xml version="1.0" encoding="utf-8"?>
<ds:datastoreItem xmlns:ds="http://schemas.openxmlformats.org/officeDocument/2006/customXml" ds:itemID="{AE3DA68D-32AB-443D-8029-92949BAF6432}">
  <ds:schemaRefs>
    <ds:schemaRef ds:uri="http://schemas.microsoft.com/sharepoint/v3/contenttype/forms"/>
  </ds:schemaRefs>
</ds:datastoreItem>
</file>

<file path=customXml/itemProps3.xml><?xml version="1.0" encoding="utf-8"?>
<ds:datastoreItem xmlns:ds="http://schemas.openxmlformats.org/officeDocument/2006/customXml" ds:itemID="{A462F6F9-1100-4C63-8F52-D78A84931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fb6be-dfdd-4eed-a356-8b96ce4d760a"/>
    <ds:schemaRef ds:uri="e1e7bfb1-b481-42e9-b0a4-20e9fb7ff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984E20-1080-46EC-B64D-DC15F55D0E63}">
  <ds:schemaRefs>
    <ds:schemaRef ds:uri="http://schemas.microsoft.com/office/2006/metadata/properties"/>
    <ds:schemaRef ds:uri="http://schemas.microsoft.com/office/infopath/2007/PartnerControls"/>
    <ds:schemaRef ds:uri="f1afb6be-dfdd-4eed-a356-8b96ce4d760a"/>
    <ds:schemaRef ds:uri="e1e7bfb1-b481-42e9-b0a4-20e9fb7ffb6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2951</Words>
  <Characters>16821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cp:lastModifiedBy>Jolana Makraiová</cp:lastModifiedBy>
  <cp:revision>2</cp:revision>
  <cp:lastPrinted>1995-11-21T16:41:00Z</cp:lastPrinted>
  <dcterms:created xsi:type="dcterms:W3CDTF">2026-03-31T08:04:00Z</dcterms:created>
  <dcterms:modified xsi:type="dcterms:W3CDTF">2026-03-31T08:04:00Z</dcterms:modified>
</cp:coreProperties>
</file>