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AF55E6" w:rsidRDefault="00AF55E6" w:rsidP="00AF55E6">
      <w:pPr>
        <w:pStyle w:val="Zkladntext"/>
      </w:pPr>
      <w:r>
        <w:t xml:space="preserve">Spoločnosť SETIM s.r.o. (ďalej len Spoločnosť), bola založená 12. januára 2012  a do obchodného registra bola zapísaná 2. februára 2012  (Obchodný register Okresného súdu Bratislava I v Bratislave, oddiel s.r.o., vložka 78900/B).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AF55E6" w:rsidP="00AF55E6">
      <w:pPr>
        <w:pStyle w:val="Zkladntext"/>
        <w:numPr>
          <w:ilvl w:val="0"/>
          <w:numId w:val="62"/>
        </w:numPr>
      </w:pPr>
      <w:r>
        <w:t>počítačové služby</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190013" w:rsidRDefault="00AF55E6" w:rsidP="00AF55E6">
      <w:pPr>
        <w:pStyle w:val="Zkladntext"/>
      </w:pPr>
      <w:r>
        <w:t>Účtovná jednotka nemá náplň pre danú položku.</w:t>
      </w: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5A5C1B">
        <w:t>202</w:t>
      </w:r>
      <w:r w:rsidR="00701BE7">
        <w:t>5</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w:t>
      </w:r>
      <w:r w:rsidR="005A5C1B">
        <w:t>2</w:t>
      </w:r>
      <w:r w:rsidR="00701BE7">
        <w:t>5</w:t>
      </w:r>
      <w:r>
        <w:t xml:space="preserve"> do 31. decembra </w:t>
      </w:r>
      <w:r w:rsidR="00C4486C">
        <w:t>20</w:t>
      </w:r>
      <w:r w:rsidR="005A5C1B">
        <w:t>2</w:t>
      </w:r>
      <w:r w:rsidR="00701BE7">
        <w:t>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w:t>
      </w:r>
      <w:r w:rsidR="005E6A76">
        <w:t>2</w:t>
      </w:r>
      <w:r w:rsidR="00701BE7">
        <w:t>4</w:t>
      </w:r>
      <w:r>
        <w:t xml:space="preserve">, za predchádzajúce účtovné obdobie, bola schválená valným zhromaždením Spoločnosti </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w:t>
      </w:r>
      <w:r w:rsidR="005E6A76">
        <w:t>2</w:t>
      </w:r>
      <w:r w:rsidR="00701BE7">
        <w:t>4</w:t>
      </w:r>
      <w:r w:rsidRPr="00194BFD">
        <w:t xml:space="preserve"> bola uložená do zbi</w:t>
      </w:r>
      <w:r w:rsidR="00D03709">
        <w:t xml:space="preserve">erky listín obchodného registra. </w:t>
      </w:r>
    </w:p>
    <w:p w:rsidR="004D3B4A" w:rsidRDefault="004D3B4A" w:rsidP="004D3B4A">
      <w:pPr>
        <w:pStyle w:val="Zkladntext"/>
      </w:pPr>
    </w:p>
    <w:p w:rsidR="004D3B4A" w:rsidRDefault="004D3B4A" w:rsidP="004D3B4A">
      <w:pPr>
        <w:pStyle w:val="Nadpis2"/>
        <w:numPr>
          <w:ilvl w:val="0"/>
          <w:numId w:val="2"/>
        </w:numPr>
      </w:pPr>
      <w:r>
        <w:t>Schválenie audítora</w:t>
      </w:r>
    </w:p>
    <w:bookmarkEnd w:id="2"/>
    <w:bookmarkEnd w:id="3"/>
    <w:p w:rsidR="00AF55E6" w:rsidRDefault="00AF55E6" w:rsidP="00AF55E6">
      <w:pPr>
        <w:pStyle w:val="Zkladntext"/>
      </w:pPr>
      <w:r>
        <w:t>Účtovná jednotka nemá náplň pre danú položku.</w:t>
      </w:r>
    </w:p>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tab/>
      </w:r>
      <w:r>
        <w:tab/>
      </w:r>
      <w:r w:rsidR="00AF55E6">
        <w:t>Ing. Juraj Miťko</w:t>
      </w:r>
    </w:p>
    <w:p w:rsidR="004D3B4A" w:rsidRDefault="004D3B4A" w:rsidP="004D3B4A">
      <w:pPr>
        <w:ind w:left="426"/>
        <w:rPr>
          <w:sz w:val="18"/>
        </w:rPr>
      </w:pPr>
      <w:r>
        <w:rPr>
          <w:sz w:val="18"/>
        </w:rPr>
        <w:tab/>
      </w:r>
      <w:r>
        <w:rPr>
          <w:sz w:val="18"/>
        </w:rPr>
        <w:tab/>
      </w:r>
      <w:r>
        <w:rPr>
          <w:sz w:val="18"/>
        </w:rPr>
        <w:tab/>
      </w:r>
      <w:r>
        <w:rPr>
          <w:sz w:val="18"/>
        </w:rPr>
        <w:tab/>
      </w:r>
    </w:p>
    <w:p w:rsidR="00D03709" w:rsidRPr="00D03709" w:rsidRDefault="00D03709" w:rsidP="00D03709">
      <w:pPr>
        <w:pStyle w:val="Bezriadkovania"/>
        <w:numPr>
          <w:ilvl w:val="0"/>
          <w:numId w:val="56"/>
        </w:numPr>
        <w:rPr>
          <w:rFonts w:ascii="Times New Roman" w:hAnsi="Times New Roman" w:cs="Times New Roman"/>
          <w:sz w:val="18"/>
          <w:szCs w:val="18"/>
        </w:rPr>
      </w:pPr>
      <w:bookmarkStart w:id="5" w:name="_Toc530739898"/>
      <w:r w:rsidRPr="00D03709">
        <w:rPr>
          <w:rFonts w:ascii="Times New Roman" w:hAnsi="Times New Roman" w:cs="Times New Roman"/>
          <w:sz w:val="18"/>
          <w:szCs w:val="18"/>
        </w:rPr>
        <w:t xml:space="preserve">výška jednotlivých druhov záruk alebo iných zabezpečení poskytnutých pre členov štatutárneho orgánu, dozorného orgánu  a iného orgánu účtovnej jednotky </w:t>
      </w:r>
      <w:r w:rsidR="00AF55E6">
        <w:rPr>
          <w:rFonts w:ascii="Times New Roman" w:hAnsi="Times New Roman" w:cs="Times New Roman"/>
          <w:sz w:val="18"/>
          <w:szCs w:val="18"/>
        </w:rPr>
        <w:t xml:space="preserve"> - nie je náplň</w:t>
      </w:r>
    </w:p>
    <w:p w:rsid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pôžičky poskytnuté členom štatutárneho orgánu, dozorného orgánu alebo</w:t>
      </w:r>
      <w:r w:rsidR="00AF55E6">
        <w:rPr>
          <w:rFonts w:ascii="Times New Roman" w:hAnsi="Times New Roman" w:cs="Times New Roman"/>
          <w:sz w:val="18"/>
          <w:szCs w:val="18"/>
        </w:rPr>
        <w:t xml:space="preserve"> iného orgánu účtovnej jednotky:</w:t>
      </w:r>
    </w:p>
    <w:p w:rsidR="00AF55E6" w:rsidRPr="00D03709" w:rsidRDefault="00AF55E6" w:rsidP="00AF55E6">
      <w:pPr>
        <w:pStyle w:val="Bezriadkovania"/>
        <w:ind w:left="720"/>
        <w:rPr>
          <w:rFonts w:ascii="Times New Roman" w:hAnsi="Times New Roman" w:cs="Times New Roman"/>
          <w:sz w:val="18"/>
          <w:szCs w:val="18"/>
        </w:rPr>
      </w:pPr>
      <w:r>
        <w:rPr>
          <w:rFonts w:ascii="Times New Roman" w:hAnsi="Times New Roman" w:cs="Times New Roman"/>
          <w:sz w:val="18"/>
          <w:szCs w:val="18"/>
        </w:rPr>
        <w:t xml:space="preserve">poskytnutá pôžička – </w:t>
      </w:r>
      <w:r w:rsidR="00701BE7">
        <w:rPr>
          <w:rFonts w:ascii="Times New Roman" w:hAnsi="Times New Roman" w:cs="Times New Roman"/>
          <w:sz w:val="18"/>
          <w:szCs w:val="18"/>
        </w:rPr>
        <w:t>12</w:t>
      </w:r>
      <w:r w:rsidR="00476D1F">
        <w:rPr>
          <w:rFonts w:ascii="Times New Roman" w:hAnsi="Times New Roman" w:cs="Times New Roman"/>
          <w:sz w:val="18"/>
          <w:szCs w:val="18"/>
        </w:rPr>
        <w:t>950</w:t>
      </w:r>
      <w:r w:rsidR="00D254D4">
        <w:rPr>
          <w:rFonts w:ascii="Times New Roman" w:hAnsi="Times New Roman" w:cs="Times New Roman"/>
          <w:sz w:val="18"/>
          <w:szCs w:val="18"/>
        </w:rPr>
        <w:t xml:space="preserve"> eur</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 xml:space="preserve">hlavné podmienky na základe ktorých boli osobám uvedených v písmene a) poskytnuté záruky alebo iné zabezpečenie a pôžičky poskytnuté, </w:t>
      </w:r>
      <w:r w:rsidR="00AF55E6">
        <w:rPr>
          <w:rFonts w:ascii="Times New Roman" w:hAnsi="Times New Roman" w:cs="Times New Roman"/>
          <w:sz w:val="18"/>
          <w:szCs w:val="18"/>
        </w:rPr>
        <w:t>- nie je náplň</w:t>
      </w:r>
    </w:p>
    <w:p w:rsidR="00D03709" w:rsidRPr="00D03709" w:rsidRDefault="00D03709" w:rsidP="00D03709">
      <w:pPr>
        <w:pStyle w:val="Bezriadkovania"/>
        <w:numPr>
          <w:ilvl w:val="0"/>
          <w:numId w:val="56"/>
        </w:numPr>
        <w:rPr>
          <w:rFonts w:ascii="Times New Roman" w:hAnsi="Times New Roman" w:cs="Times New Roman"/>
          <w:sz w:val="18"/>
          <w:szCs w:val="18"/>
        </w:rPr>
      </w:pPr>
      <w:r w:rsidRPr="00D03709">
        <w:rPr>
          <w:rFonts w:ascii="Times New Roman" w:hAnsi="Times New Roman" w:cs="Times New Roman"/>
          <w:sz w:val="18"/>
          <w:szCs w:val="18"/>
        </w:rPr>
        <w:t>celkovej sume požičaných finančných prostriedkov alebo iného plnenia na súkromné účely členmi štatutárneho orgánu, dozorného orgánu a iného orgánu účtovnej jednotky, ktoré j</w:t>
      </w:r>
      <w:r w:rsidR="00AF55E6">
        <w:rPr>
          <w:rFonts w:ascii="Times New Roman" w:hAnsi="Times New Roman" w:cs="Times New Roman"/>
          <w:sz w:val="18"/>
          <w:szCs w:val="18"/>
        </w:rPr>
        <w:t>e potrebné vyúčtovať - nie je náplň</w:t>
      </w:r>
    </w:p>
    <w:p w:rsidR="00D03709" w:rsidRDefault="00D03709" w:rsidP="00D03709">
      <w:pPr>
        <w:pStyle w:val="Bezriadkovania"/>
        <w:ind w:left="720"/>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bookmarkStart w:id="6" w:name="_MON_1410865165"/>
    <w:bookmarkStart w:id="7" w:name="_MON_1423217994"/>
    <w:bookmarkEnd w:id="6"/>
    <w:bookmarkEnd w:id="7"/>
    <w:p w:rsidR="00AF55E6" w:rsidRDefault="00AF55E6" w:rsidP="00AF55E6">
      <w:pPr>
        <w:pStyle w:val="Zkladntext"/>
      </w:pPr>
      <w:r>
        <w:object w:dxaOrig="9239" w:dyaOrig="23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122pt" o:ole="" o:preferrelative="f">
            <v:imagedata r:id="rId12" o:title=""/>
            <o:lock v:ext="edit" aspectratio="f"/>
          </v:shape>
          <o:OLEObject Type="Embed" ProgID="Excel.Sheet.12" ShapeID="_x0000_i1025" DrawAspect="Content" ObjectID="_1836213428" r:id="rId13"/>
        </w:object>
      </w:r>
    </w:p>
    <w:p w:rsidR="00AF55E6" w:rsidRDefault="00AF55E6" w:rsidP="00D54563">
      <w:pPr>
        <w:pStyle w:val="Zkladntext"/>
      </w:pPr>
    </w:p>
    <w:p w:rsidR="00D54563" w:rsidRDefault="00D54563"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AF55E6" w:rsidRDefault="00AF55E6" w:rsidP="00D03709">
      <w:pPr>
        <w:pStyle w:val="Zkladntext"/>
        <w:ind w:left="0"/>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4D3B4A" w:rsidRDefault="00D03709" w:rsidP="004D3B4A">
      <w:pPr>
        <w:pStyle w:val="Zkladntext"/>
      </w:pPr>
      <w:r w:rsidRPr="00AF55E6">
        <w:t>Spoločnosť nie je materskou účtovnou jednotkou.  Spoločnosť je oslobodená od zostavenia konsolidovanej účtovnej závierky.</w:t>
      </w:r>
    </w:p>
    <w:p w:rsidR="00D03709" w:rsidRDefault="00D03709" w:rsidP="004D3B4A">
      <w:pPr>
        <w:pStyle w:val="Zkladntext"/>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(goingconcern).</w:t>
      </w:r>
    </w:p>
    <w:p w:rsidR="00081356" w:rsidRDefault="00081356" w:rsidP="00081356">
      <w:pPr>
        <w:pStyle w:val="Zkladntext"/>
      </w:pPr>
      <w:r>
        <w:t xml:space="preserve">Koncom februára 2022 došlo k vojnovému konfliktu na Ukrajine. V čase zostavenia tejto účtovnej závierky vedenie účtovnej jednotky nezaznamenalo významný pokles predaja, z dôvodu vojnového konfliktu na Ukrajine,  nakoľko sa však situácia stále mení, nemožno predvídať budúce dopady. </w:t>
      </w:r>
    </w:p>
    <w:p w:rsidR="00081356" w:rsidRDefault="00081356" w:rsidP="00081356">
      <w:pPr>
        <w:pStyle w:val="Zkladntext"/>
        <w:rPr>
          <w:szCs w:val="18"/>
        </w:rPr>
      </w:pPr>
      <w:r>
        <w:t>Manažment bude pokračovať v monitorovaní potenciálneho dopadu vojnového konfliktu na Ukrajine a podnikne všetky možné kroky na zmiernenie akýchkoľvek negatívnych účinkov na spoločnosť.</w:t>
      </w:r>
    </w:p>
    <w:p w:rsidR="004317F0" w:rsidRDefault="004317F0" w:rsidP="00D03709">
      <w:pPr>
        <w:pStyle w:val="Zkladntext"/>
        <w:ind w:left="0"/>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w:t>
      </w:r>
      <w:r w:rsidR="005A5C1B">
        <w:rPr>
          <w:rFonts w:ascii="Times New Roman" w:hAnsi="Times New Roman" w:cs="Times New Roman"/>
          <w:sz w:val="18"/>
          <w:szCs w:val="18"/>
        </w:rPr>
        <w:t>2</w:t>
      </w:r>
      <w:r w:rsidR="00701BE7">
        <w:rPr>
          <w:rFonts w:ascii="Times New Roman" w:hAnsi="Times New Roman" w:cs="Times New Roman"/>
          <w:sz w:val="18"/>
          <w:szCs w:val="18"/>
        </w:rPr>
        <w:t>5</w:t>
      </w:r>
      <w:r w:rsidRPr="00D03709">
        <w:rPr>
          <w:rFonts w:ascii="Times New Roman" w:hAnsi="Times New Roman" w:cs="Times New Roman"/>
          <w:sz w:val="18"/>
          <w:szCs w:val="18"/>
        </w:rPr>
        <w:t xml:space="preserve"> Spoločnosť neúčtovala o oprave významných chýb minulých období.</w:t>
      </w:r>
    </w:p>
    <w:p w:rsidR="00D03709" w:rsidRDefault="00D03709" w:rsidP="00D03709">
      <w:pPr>
        <w:pStyle w:val="Zkladntext"/>
        <w:ind w:left="450"/>
      </w:pPr>
    </w:p>
    <w:p w:rsidR="00D03709" w:rsidRPr="000F038C" w:rsidRDefault="00D03709" w:rsidP="00D03709">
      <w:pPr>
        <w:pStyle w:val="Zkladntext"/>
        <w:ind w:left="450"/>
      </w:pPr>
      <w:r w:rsidRPr="000F038C">
        <w:t>Účtovné metódy a všeobecné účtovné zásady boli účtovnou jednotkou konzistentne</w:t>
      </w:r>
      <w:r>
        <w:t xml:space="preserve"> aplikované.</w:t>
      </w:r>
    </w:p>
    <w:p w:rsidR="00D03709" w:rsidRPr="00D03709" w:rsidRDefault="00D03709" w:rsidP="00AF55E6">
      <w:pPr>
        <w:pStyle w:val="Bezriadkovania"/>
        <w:rPr>
          <w:rFonts w:ascii="Times New Roman" w:hAnsi="Times New Roman" w:cs="Times New Roman"/>
          <w:sz w:val="18"/>
          <w:szCs w:val="18"/>
        </w:rPr>
      </w:pPr>
    </w:p>
    <w:p w:rsidR="00D03709" w:rsidRPr="00D03709" w:rsidRDefault="00D03709" w:rsidP="00D03709">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transakciách, ktoré dlhodobo nie sú vykázané v súvahe, a preto je kvôli transparentnosti potrebné uviesť ich vplyv na finančnú situáciu účtovnej jednotky. </w:t>
      </w:r>
    </w:p>
    <w:p w:rsidR="00D03709" w:rsidRPr="00D03709" w:rsidRDefault="00D03709" w:rsidP="00D03709">
      <w:pPr>
        <w:pStyle w:val="Bezriadkovania"/>
        <w:ind w:left="426"/>
        <w:jc w:val="both"/>
        <w:rPr>
          <w:rFonts w:ascii="Times New Roman" w:hAnsi="Times New Roman" w:cs="Times New Roman"/>
          <w:i/>
          <w:sz w:val="18"/>
          <w:szCs w:val="18"/>
        </w:r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A777E1" w:rsidRDefault="00A777E1">
      <w:pPr>
        <w:pStyle w:val="Zkladntext"/>
        <w:ind w:left="450"/>
      </w:pPr>
    </w:p>
    <w:p w:rsidR="00D03709" w:rsidRPr="000B5536" w:rsidRDefault="00D03709" w:rsidP="00D03709">
      <w:pPr>
        <w:pStyle w:val="Bezriadkovania"/>
        <w:ind w:left="426"/>
        <w:rPr>
          <w:rFonts w:ascii="Times New Roman" w:hAnsi="Times New Roman" w:cs="Times New Roman"/>
          <w:b/>
          <w:sz w:val="18"/>
          <w:szCs w:val="18"/>
        </w:rPr>
      </w:pPr>
      <w:r w:rsidRPr="000B5536">
        <w:rPr>
          <w:rFonts w:ascii="Times New Roman" w:hAnsi="Times New Roman" w:cs="Times New Roman"/>
          <w:b/>
          <w:sz w:val="18"/>
          <w:szCs w:val="18"/>
        </w:rPr>
        <w:t>Použitie odhadov a úsudkov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tých neistotách v predpokladoch a odhadoch, pri ktorých existuje signifikačné riziko, že by mohli viesť k významnej úprave v nasledujúcom účtovnom období – ÚJ nemá náplň.</w:t>
      </w:r>
    </w:p>
    <w:p w:rsidR="00D03709" w:rsidRDefault="00D03709" w:rsidP="00D03709">
      <w:pPr>
        <w:pStyle w:val="Zkladntext"/>
        <w:ind w:left="0"/>
      </w:pPr>
    </w:p>
    <w:p w:rsidR="00D03709" w:rsidRDefault="00D03709" w:rsidP="00D03709">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6F188E" w:rsidP="0000290B">
            <w:pPr>
              <w:pStyle w:val="Tabulka"/>
              <w:jc w:val="center"/>
            </w:pPr>
            <w:r>
              <w:t>20,</w:t>
            </w:r>
            <w:r w:rsidR="004D3B4A">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6F188E"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D03709" w:rsidRDefault="00D03709" w:rsidP="00251BF2">
      <w:pPr>
        <w:pStyle w:val="Pismenka"/>
        <w:numPr>
          <w:ilvl w:val="0"/>
          <w:numId w:val="0"/>
        </w:numPr>
      </w:pPr>
    </w:p>
    <w:p w:rsidR="00D03709" w:rsidRP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Pozemky sa neodpisujú.</w:t>
      </w:r>
    </w:p>
    <w:p w:rsidR="00D03709" w:rsidRDefault="00D03709" w:rsidP="00D03709">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Metóda odpisovania, doby použiteľnosti a zostatkové hodnoty sa prehodnocujú ku dňu, ku ktorému sa zostavuje účtovná závierka, a ak je to potrebné, urobia sa úpravy.</w:t>
      </w:r>
    </w:p>
    <w:p w:rsidR="0011546A" w:rsidRDefault="0011546A" w:rsidP="0011546A">
      <w:pPr>
        <w:pStyle w:val="Bezriadkovania"/>
        <w:jc w:val="both"/>
        <w:rPr>
          <w:rFonts w:ascii="Times New Roman" w:hAnsi="Times New Roman" w:cs="Times New Roman"/>
          <w:b/>
          <w:sz w:val="18"/>
          <w:szCs w:val="18"/>
        </w:rPr>
      </w:pP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Faktory, ktoré sú považované za dôležité pri posudzovaní zníženia hodnoty majetku sú:</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zastaralosť produktov.</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11546A" w:rsidRDefault="0011546A" w:rsidP="00D03709">
      <w:pPr>
        <w:pStyle w:val="Bezriadkovania"/>
        <w:ind w:left="426"/>
        <w:jc w:val="both"/>
        <w:rPr>
          <w:rFonts w:ascii="Times New Roman" w:hAnsi="Times New Roman" w:cs="Times New Roman"/>
          <w:sz w:val="18"/>
          <w:szCs w:val="18"/>
        </w:rPr>
      </w:pPr>
    </w:p>
    <w:p w:rsidR="00D03709" w:rsidRDefault="00D03709"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BC2432" w:rsidRDefault="00F4619A" w:rsidP="004D3B4A">
      <w:pPr>
        <w:pStyle w:val="Zkladntext"/>
      </w:pPr>
      <w:r>
        <w:t>Cenné papiere na obchodovanie sa pri ich obstaraní oceňujú reálnou hodnotou.</w:t>
      </w:r>
    </w:p>
    <w:p w:rsidR="003A6371" w:rsidRDefault="003A6371"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lastRenderedPageBreak/>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xml:space="preserve">) sa vykazuje metódou tzv. nulového zisku, t.j.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11546A" w:rsidRDefault="0011546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11546A" w:rsidRPr="0011546A" w:rsidRDefault="0011546A" w:rsidP="0011546A">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D3B4A" w:rsidRDefault="004D3B4A" w:rsidP="00251BF2">
      <w:pPr>
        <w:pStyle w:val="Pismenka"/>
        <w:numPr>
          <w:ilvl w:val="0"/>
          <w:numId w:val="0"/>
        </w:numPr>
        <w:ind w:left="360"/>
      </w:pPr>
    </w:p>
    <w:p w:rsidR="0011546A" w:rsidRDefault="0011546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BC2432" w:rsidRDefault="00BC2432"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1546A" w:rsidRPr="0011546A" w:rsidRDefault="0011546A" w:rsidP="0011546A">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goodwillu alebo záporného goodwillu.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11546A" w:rsidRDefault="0011546A" w:rsidP="0011546A">
      <w:pPr>
        <w:pStyle w:val="Zkladntext"/>
        <w:ind w:left="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11546A" w:rsidRPr="000F038C" w:rsidRDefault="00AE4AC7" w:rsidP="0011546A">
      <w:pPr>
        <w:pStyle w:val="Zkladntext"/>
      </w:pPr>
      <w:r w:rsidRPr="000F038C">
        <w:t>Nakúpené emisné kvóty sa oceňujú obstarávacou cenou.</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CF2FC7">
        <w:rPr>
          <w:sz w:val="18"/>
        </w:rPr>
        <w:br/>
      </w:r>
      <w:r w:rsidR="004D3B4A" w:rsidRPr="00E92175">
        <w:rPr>
          <w:sz w:val="18"/>
        </w:rPr>
        <w:t xml:space="preserve">z tohto dlhodobého majetku. </w:t>
      </w:r>
    </w:p>
    <w:p w:rsidR="00D4557E"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172D44" w:rsidRPr="002C6EEA">
        <w:t xml:space="preserve">Majetok prenajatý </w:t>
      </w:r>
      <w:r w:rsidR="00172D44">
        <w:t> formou finančného prenájmu vykazuje ako svoj majetok a odpisuje ho jeho nájomca, nie vlastník.</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1546A" w:rsidRPr="0011546A" w:rsidRDefault="0011546A" w:rsidP="0011546A">
      <w:pPr>
        <w:pStyle w:val="Bezriadkovania"/>
        <w:ind w:left="426"/>
        <w:jc w:val="both"/>
        <w:rPr>
          <w:rFonts w:ascii="Times New Roman" w:hAnsi="Times New Roman" w:cs="Times New Roman"/>
          <w:sz w:val="18"/>
          <w:szCs w:val="18"/>
        </w:rPr>
      </w:pPr>
      <w:bookmarkStart w:id="9" w:name="_Toc530739900"/>
      <w:r w:rsidRPr="0011546A">
        <w:rPr>
          <w:rFonts w:ascii="Times New Roman" w:hAnsi="Times New Roman" w:cs="Times New Roman"/>
          <w:sz w:val="18"/>
          <w:szCs w:val="18"/>
        </w:rPr>
        <w:t>Tržby z predaja výrobkov a tovaru sa vykazujú v deň splnenia dodávky podľa Obchodného zákonníka, podľa Incoterms alebo iných podmienok dohodnutých v zmluve.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476D1F"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76D1F" w:rsidRDefault="00476D1F" w:rsidP="0011546A">
      <w:pPr>
        <w:pStyle w:val="Bezriadkovania"/>
        <w:ind w:left="426"/>
        <w:jc w:val="both"/>
        <w:rPr>
          <w:rFonts w:ascii="Times New Roman" w:hAnsi="Times New Roman" w:cs="Times New Roman"/>
          <w:sz w:val="18"/>
          <w:szCs w:val="18"/>
        </w:rPr>
      </w:pPr>
    </w:p>
    <w:p w:rsidR="00476D1F" w:rsidRDefault="00476D1F" w:rsidP="0011546A">
      <w:pPr>
        <w:pStyle w:val="Bezriadkovania"/>
        <w:ind w:left="426"/>
        <w:jc w:val="both"/>
        <w:rPr>
          <w:rFonts w:ascii="Times New Roman" w:hAnsi="Times New Roman" w:cs="Times New Roman"/>
          <w:sz w:val="18"/>
          <w:szCs w:val="18"/>
        </w:rPr>
      </w:pPr>
    </w:p>
    <w:p w:rsidR="00476D1F" w:rsidRDefault="00476D1F"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lastRenderedPageBreak/>
        <w:t>Zníženie hodnoty dlhodobého majetku a zásob</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11546A" w:rsidRPr="0011546A" w:rsidRDefault="0011546A" w:rsidP="0011546A">
      <w:pPr>
        <w:pStyle w:val="Bezriadkovania"/>
        <w:ind w:left="426"/>
        <w:jc w:val="both"/>
        <w:rPr>
          <w:rFonts w:ascii="Times New Roman" w:hAnsi="Times New Roman" w:cs="Times New Roman"/>
          <w:sz w:val="18"/>
          <w:szCs w:val="18"/>
        </w:rPr>
      </w:pPr>
    </w:p>
    <w:p w:rsidR="0011546A" w:rsidRPr="0011546A" w:rsidRDefault="0011546A" w:rsidP="0011546A">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realizuje odpis pohľadávky, ak sa pohľadávka považuje za definitívne nevymožiteľnú.</w:t>
      </w:r>
    </w:p>
    <w:p w:rsidR="00AF55E6" w:rsidRPr="0011546A" w:rsidRDefault="00AF55E6" w:rsidP="0011546A">
      <w:pPr>
        <w:pStyle w:val="Bezriadkovania"/>
        <w:ind w:left="426"/>
        <w:jc w:val="both"/>
        <w:rPr>
          <w:rFonts w:ascii="Times New Roman" w:hAnsi="Times New Roman" w:cs="Times New Roman"/>
          <w:sz w:val="18"/>
          <w:szCs w:val="18"/>
        </w:rPr>
      </w:pPr>
    </w:p>
    <w:p w:rsidR="004D3B4A" w:rsidRDefault="004D3B4A" w:rsidP="004D3B4A">
      <w:pPr>
        <w:pStyle w:val="Nadpis1"/>
        <w:tabs>
          <w:tab w:val="clear" w:pos="450"/>
          <w:tab w:val="num" w:pos="360"/>
        </w:tabs>
        <w:spacing w:before="120" w:after="60"/>
        <w:ind w:left="360"/>
      </w:pPr>
      <w:r>
        <w:t xml:space="preserve">informácie </w:t>
      </w:r>
      <w:bookmarkEnd w:id="9"/>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10" w:name="_Toc530739901"/>
      <w:r>
        <w:t>Charakteristika goodwillu alebo záporného goodwillu</w:t>
      </w:r>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10"/>
    </w:p>
    <w:p w:rsidR="004D3B4A" w:rsidRPr="001D5F78" w:rsidRDefault="004D3B4A" w:rsidP="004D3B4A">
      <w:pPr>
        <w:pStyle w:val="Zkladntext"/>
        <w:rPr>
          <w:szCs w:val="18"/>
        </w:rPr>
      </w:pPr>
    </w:p>
    <w:p w:rsidR="00190013" w:rsidRDefault="00190013" w:rsidP="004D3B4A">
      <w:pPr>
        <w:pStyle w:val="Zkladntext"/>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w:t>
      </w:r>
      <w:r w:rsidR="00AF55E6">
        <w:rPr>
          <w:szCs w:val="18"/>
        </w:rPr>
        <w:t>:</w:t>
      </w:r>
    </w:p>
    <w:p w:rsidR="00AF55E6" w:rsidRPr="00A11A59" w:rsidRDefault="00AF55E6" w:rsidP="00AF55E6">
      <w:pPr>
        <w:ind w:left="360"/>
        <w:rPr>
          <w:sz w:val="18"/>
          <w:szCs w:val="18"/>
        </w:rPr>
      </w:pPr>
      <w:r w:rsidRPr="00A11A59">
        <w:rPr>
          <w:sz w:val="18"/>
          <w:szCs w:val="18"/>
        </w:rPr>
        <w:t>Spoločnosť nemá náplň pre danú položku</w:t>
      </w:r>
    </w:p>
    <w:p w:rsidR="00201219" w:rsidRDefault="00201219" w:rsidP="001139DB">
      <w:pPr>
        <w:pStyle w:val="Zkladntext"/>
        <w:rPr>
          <w:szCs w:val="18"/>
        </w:rPr>
      </w:pPr>
    </w:p>
    <w:p w:rsidR="00201219" w:rsidRDefault="00201219" w:rsidP="00AF55E6">
      <w:pPr>
        <w:pStyle w:val="Zkladntext"/>
        <w:ind w:left="0"/>
        <w:rPr>
          <w:szCs w:val="18"/>
        </w:rPr>
      </w:pPr>
    </w:p>
    <w:p w:rsidR="004D3B4A" w:rsidRDefault="004D3B4A" w:rsidP="004D3B4A">
      <w:pPr>
        <w:pStyle w:val="Nadpis2"/>
        <w:numPr>
          <w:ilvl w:val="0"/>
          <w:numId w:val="2"/>
        </w:numPr>
      </w:pPr>
      <w:r>
        <w:t>Dlhodobý finančný majetok</w:t>
      </w: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Hodnota dlhodobého finančného majetku, s ktorým má Spoločnosť obmedzené právo nakladať v bežnom účtovnom období je</w:t>
      </w:r>
      <w:r w:rsidR="00AF55E6">
        <w:rPr>
          <w:szCs w:val="18"/>
        </w:rPr>
        <w:t>:</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11" w:name="_Toc530739903"/>
    </w:p>
    <w:p w:rsidR="000B5536" w:rsidRPr="000F038C" w:rsidRDefault="000B5536" w:rsidP="009B1E52">
      <w:pPr>
        <w:pStyle w:val="Zkladntext"/>
        <w:ind w:left="0"/>
      </w:pPr>
    </w:p>
    <w:bookmarkEnd w:id="11"/>
    <w:p w:rsidR="00EC5C0B" w:rsidRDefault="00EC5C0B" w:rsidP="00EC5C0B">
      <w:pPr>
        <w:pStyle w:val="Nadpis2"/>
        <w:numPr>
          <w:ilvl w:val="0"/>
          <w:numId w:val="2"/>
        </w:numPr>
      </w:pPr>
      <w:r>
        <w:t>Zásoby</w:t>
      </w:r>
    </w:p>
    <w:p w:rsidR="004D3B4A" w:rsidRDefault="004D3B4A" w:rsidP="004D3B4A">
      <w:pPr>
        <w:pStyle w:val="Zkladntext"/>
      </w:pPr>
    </w:p>
    <w:p w:rsidR="00493E78" w:rsidRPr="00AF55E6" w:rsidRDefault="00872118" w:rsidP="00AF55E6">
      <w:pPr>
        <w:spacing w:after="120"/>
        <w:ind w:right="-471" w:firstLine="426"/>
        <w:jc w:val="both"/>
        <w:rPr>
          <w:sz w:val="18"/>
          <w:szCs w:val="18"/>
        </w:rPr>
      </w:pPr>
      <w:r w:rsidRPr="00A11A59">
        <w:rPr>
          <w:sz w:val="18"/>
          <w:szCs w:val="18"/>
        </w:rPr>
        <w:t>Informácie o zásobách, na ktoré je zriadené záložné právo</w:t>
      </w:r>
      <w:r w:rsidR="00AF55E6">
        <w:rPr>
          <w:sz w:val="18"/>
          <w:szCs w:val="18"/>
        </w:rPr>
        <w:t>:</w:t>
      </w: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2" w:name="_Toc530739904"/>
      <w:r>
        <w:t>Pohľadávky</w:t>
      </w:r>
      <w:bookmarkEnd w:id="12"/>
    </w:p>
    <w:p w:rsidR="00872118" w:rsidRDefault="00872118" w:rsidP="00AF55E6">
      <w:pPr>
        <w:pStyle w:val="Zkladntext"/>
        <w:ind w:left="0"/>
      </w:pPr>
    </w:p>
    <w:p w:rsidR="003A2AE6" w:rsidRPr="00872118" w:rsidRDefault="003A2AE6" w:rsidP="00AF55E6">
      <w:pPr>
        <w:ind w:left="426"/>
        <w:jc w:val="both"/>
        <w:rPr>
          <w:sz w:val="18"/>
          <w:szCs w:val="18"/>
        </w:rPr>
      </w:pPr>
      <w:r w:rsidRPr="008D5C0A">
        <w:rPr>
          <w:sz w:val="18"/>
          <w:szCs w:val="18"/>
        </w:rPr>
        <w:t xml:space="preserve">Hodnota </w:t>
      </w:r>
      <w:r>
        <w:rPr>
          <w:sz w:val="18"/>
          <w:szCs w:val="18"/>
        </w:rPr>
        <w:t>pohľadávok</w:t>
      </w:r>
      <w:r w:rsidRPr="008D5C0A">
        <w:rPr>
          <w:sz w:val="18"/>
          <w:szCs w:val="18"/>
        </w:rPr>
        <w:t>, pri ktorých má účtovná jednotka obm</w:t>
      </w:r>
      <w:r w:rsidR="00AF55E6">
        <w:rPr>
          <w:sz w:val="18"/>
          <w:szCs w:val="18"/>
        </w:rPr>
        <w:t>edzené právo s nimi nakladať je:</w:t>
      </w:r>
    </w:p>
    <w:p w:rsidR="009B1E52" w:rsidRPr="00A11A59" w:rsidRDefault="009B1E52" w:rsidP="009B1E52">
      <w:pPr>
        <w:ind w:left="360"/>
        <w:rPr>
          <w:sz w:val="18"/>
          <w:szCs w:val="18"/>
        </w:rPr>
      </w:pPr>
      <w:bookmarkStart w:id="13" w:name="_Toc530739905"/>
      <w:r w:rsidRPr="00A11A59">
        <w:rPr>
          <w:sz w:val="18"/>
          <w:szCs w:val="18"/>
        </w:rPr>
        <w:t>Spoločnosť nemá náplň pre danú položku</w:t>
      </w:r>
    </w:p>
    <w:p w:rsidR="00B62963" w:rsidRDefault="00B62963" w:rsidP="00271323">
      <w:pPr>
        <w:pStyle w:val="Zkladntext"/>
        <w:ind w:left="0"/>
        <w:rPr>
          <w:b/>
        </w:rPr>
      </w:pPr>
    </w:p>
    <w:bookmarkEnd w:id="13"/>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741BDA" w:rsidRPr="00AF55E6" w:rsidRDefault="00C60BFD" w:rsidP="00AF55E6">
      <w:pPr>
        <w:ind w:left="426"/>
        <w:jc w:val="both"/>
        <w:rPr>
          <w:sz w:val="18"/>
          <w:szCs w:val="18"/>
        </w:rPr>
      </w:pPr>
      <w:bookmarkStart w:id="14" w:name="_Toc530739906"/>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w:t>
      </w:r>
      <w:r w:rsidR="00AF55E6">
        <w:rPr>
          <w:sz w:val="18"/>
          <w:szCs w:val="18"/>
        </w:rPr>
        <w:t>:</w:t>
      </w:r>
      <w:bookmarkEnd w:id="14"/>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AF55E6" w:rsidRDefault="00AF55E6"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5" w:name="_Toc530739909"/>
      <w:r>
        <w:lastRenderedPageBreak/>
        <w:t>Záväzky</w:t>
      </w:r>
      <w:bookmarkEnd w:id="15"/>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933F27"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3F27" w:rsidRPr="00933F27" w:rsidRDefault="00933F27"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c>
          <w:tcPr>
            <w:tcW w:w="1405" w:type="pct"/>
            <w:tcBorders>
              <w:top w:val="single" w:sz="12" w:space="0" w:color="auto"/>
              <w:left w:val="nil"/>
              <w:bottom w:val="single" w:sz="12" w:space="0" w:color="auto"/>
              <w:right w:val="single" w:sz="12" w:space="0" w:color="auto"/>
            </w:tcBorders>
            <w:vAlign w:val="center"/>
          </w:tcPr>
          <w:p w:rsidR="00933F27" w:rsidRPr="00933F27" w:rsidRDefault="00AF55E6" w:rsidP="00AF55E6">
            <w:pPr>
              <w:jc w:val="center"/>
              <w:rPr>
                <w:rFonts w:ascii="Arial" w:hAnsi="Arial" w:cs="Arial"/>
                <w:b/>
                <w:bCs/>
                <w:sz w:val="16"/>
                <w:szCs w:val="16"/>
              </w:rPr>
            </w:pPr>
            <w:r>
              <w:rPr>
                <w:rFonts w:ascii="Arial" w:hAnsi="Arial" w:cs="Arial"/>
                <w:b/>
                <w:bCs/>
                <w:sz w:val="16"/>
                <w:szCs w:val="16"/>
              </w:rPr>
              <w:t>0</w:t>
            </w:r>
          </w:p>
        </w:tc>
      </w:tr>
      <w:tr w:rsidR="00933F27"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933F27"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sz w:val="16"/>
                <w:szCs w:val="16"/>
              </w:rPr>
            </w:pPr>
          </w:p>
        </w:tc>
        <w:tc>
          <w:tcPr>
            <w:tcW w:w="1405" w:type="pct"/>
            <w:tcBorders>
              <w:top w:val="single" w:sz="8" w:space="0" w:color="auto"/>
              <w:left w:val="nil"/>
              <w:bottom w:val="single" w:sz="12" w:space="0" w:color="auto"/>
              <w:right w:val="single" w:sz="12" w:space="0" w:color="auto"/>
            </w:tcBorders>
            <w:noWrap/>
            <w:vAlign w:val="center"/>
            <w:hideMark/>
          </w:tcPr>
          <w:p w:rsidR="00933F27" w:rsidRPr="00933F27" w:rsidRDefault="00933F27" w:rsidP="00AF55E6">
            <w:pPr>
              <w:jc w:val="center"/>
              <w:rPr>
                <w:rFonts w:ascii="Arial" w:hAnsi="Arial" w:cs="Arial"/>
                <w:sz w:val="16"/>
                <w:szCs w:val="16"/>
              </w:rPr>
            </w:pPr>
          </w:p>
        </w:tc>
      </w:tr>
      <w:tr w:rsidR="005A5C1B"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A5C1B" w:rsidRPr="00933F27" w:rsidRDefault="005A5C1B"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A5C1B" w:rsidRPr="00933F27" w:rsidRDefault="00701BE7" w:rsidP="00401579">
            <w:pPr>
              <w:jc w:val="center"/>
              <w:rPr>
                <w:rFonts w:ascii="Arial" w:hAnsi="Arial" w:cs="Arial"/>
                <w:sz w:val="16"/>
                <w:szCs w:val="16"/>
              </w:rPr>
            </w:pPr>
            <w:r>
              <w:rPr>
                <w:rFonts w:ascii="Arial" w:hAnsi="Arial" w:cs="Arial"/>
                <w:sz w:val="16"/>
                <w:szCs w:val="16"/>
              </w:rPr>
              <w:t>283</w:t>
            </w:r>
          </w:p>
        </w:tc>
        <w:tc>
          <w:tcPr>
            <w:tcW w:w="1405" w:type="pct"/>
            <w:tcBorders>
              <w:top w:val="single" w:sz="12" w:space="0" w:color="auto"/>
              <w:left w:val="nil"/>
              <w:bottom w:val="single" w:sz="12" w:space="0" w:color="auto"/>
              <w:right w:val="single" w:sz="12" w:space="0" w:color="auto"/>
            </w:tcBorders>
            <w:noWrap/>
            <w:vAlign w:val="center"/>
            <w:hideMark/>
          </w:tcPr>
          <w:p w:rsidR="005A5C1B" w:rsidRPr="00933F27" w:rsidRDefault="00701BE7" w:rsidP="005E6A76">
            <w:pPr>
              <w:jc w:val="center"/>
              <w:rPr>
                <w:rFonts w:ascii="Arial" w:hAnsi="Arial" w:cs="Arial"/>
                <w:sz w:val="16"/>
                <w:szCs w:val="16"/>
              </w:rPr>
            </w:pPr>
            <w:r>
              <w:rPr>
                <w:rFonts w:ascii="Arial" w:hAnsi="Arial" w:cs="Arial"/>
                <w:sz w:val="16"/>
                <w:szCs w:val="16"/>
              </w:rPr>
              <w:t>5 321</w:t>
            </w:r>
          </w:p>
        </w:tc>
      </w:tr>
      <w:tr w:rsidR="005A5C1B"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A5C1B" w:rsidRPr="00933F27" w:rsidRDefault="005A5C1B"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A5C1B" w:rsidRPr="00933F27" w:rsidRDefault="00701BE7" w:rsidP="00401579">
            <w:pPr>
              <w:jc w:val="center"/>
              <w:rPr>
                <w:rFonts w:ascii="Arial" w:hAnsi="Arial" w:cs="Arial"/>
                <w:b/>
                <w:bCs/>
                <w:sz w:val="16"/>
                <w:szCs w:val="16"/>
              </w:rPr>
            </w:pPr>
            <w:r>
              <w:rPr>
                <w:rFonts w:ascii="Arial" w:hAnsi="Arial" w:cs="Arial"/>
                <w:b/>
                <w:bCs/>
                <w:sz w:val="16"/>
                <w:szCs w:val="16"/>
              </w:rPr>
              <w:t>283</w:t>
            </w:r>
          </w:p>
        </w:tc>
        <w:tc>
          <w:tcPr>
            <w:tcW w:w="1405" w:type="pct"/>
            <w:tcBorders>
              <w:top w:val="single" w:sz="12" w:space="0" w:color="auto"/>
              <w:left w:val="nil"/>
              <w:bottom w:val="single" w:sz="8" w:space="0" w:color="auto"/>
              <w:right w:val="single" w:sz="12" w:space="0" w:color="auto"/>
            </w:tcBorders>
            <w:vAlign w:val="center"/>
            <w:hideMark/>
          </w:tcPr>
          <w:p w:rsidR="005A5C1B" w:rsidRPr="00933F27" w:rsidRDefault="00701BE7" w:rsidP="005E6A76">
            <w:pPr>
              <w:jc w:val="center"/>
              <w:rPr>
                <w:rFonts w:ascii="Arial" w:hAnsi="Arial" w:cs="Arial"/>
                <w:b/>
                <w:bCs/>
                <w:sz w:val="16"/>
                <w:szCs w:val="16"/>
              </w:rPr>
            </w:pPr>
            <w:r>
              <w:rPr>
                <w:rFonts w:ascii="Arial" w:hAnsi="Arial" w:cs="Arial"/>
                <w:b/>
                <w:bCs/>
                <w:sz w:val="16"/>
                <w:szCs w:val="16"/>
              </w:rPr>
              <w:t>5 321</w:t>
            </w:r>
          </w:p>
        </w:tc>
      </w:tr>
      <w:tr w:rsidR="00933F27"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3F27" w:rsidRPr="00933F27" w:rsidRDefault="00933F27"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3F27" w:rsidRPr="00933F27" w:rsidRDefault="00933F27" w:rsidP="00AF55E6">
            <w:pPr>
              <w:jc w:val="center"/>
              <w:rPr>
                <w:rFonts w:ascii="Arial" w:hAnsi="Arial" w:cs="Arial"/>
                <w:b/>
                <w:bCs/>
                <w:sz w:val="16"/>
                <w:szCs w:val="16"/>
              </w:rPr>
            </w:pPr>
          </w:p>
        </w:tc>
        <w:tc>
          <w:tcPr>
            <w:tcW w:w="1405" w:type="pct"/>
            <w:tcBorders>
              <w:top w:val="single" w:sz="8" w:space="0" w:color="auto"/>
              <w:left w:val="nil"/>
              <w:bottom w:val="single" w:sz="12" w:space="0" w:color="auto"/>
              <w:right w:val="single" w:sz="12" w:space="0" w:color="auto"/>
            </w:tcBorders>
            <w:vAlign w:val="center"/>
            <w:hideMark/>
          </w:tcPr>
          <w:p w:rsidR="00933F27" w:rsidRPr="00933F27" w:rsidRDefault="00933F27" w:rsidP="00AF55E6">
            <w:pPr>
              <w:jc w:val="center"/>
              <w:rPr>
                <w:rFonts w:ascii="Arial" w:hAnsi="Arial" w:cs="Arial"/>
                <w:b/>
                <w:bCs/>
                <w:sz w:val="16"/>
                <w:szCs w:val="16"/>
              </w:rPr>
            </w:pP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yzáväzkov</w:t>
      </w:r>
      <w:r>
        <w:t xml:space="preserve"> nie je odložen</w:t>
      </w:r>
      <w:r w:rsidR="00BF425D">
        <w:t>ý</w:t>
      </w:r>
      <w:r>
        <w:t xml:space="preserve"> daňov</w:t>
      </w:r>
      <w:r w:rsidR="00BF425D">
        <w:t>ýzáväzok</w:t>
      </w:r>
      <w:r w:rsidR="000C17C3" w:rsidRPr="000C17C3">
        <w:t>(</w:t>
      </w:r>
      <w:r w:rsidR="001F340D">
        <w:t>účet 481)</w:t>
      </w:r>
      <w:r>
        <w:t xml:space="preserve"> a čistá hodnota zákazky</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6"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bookmarkEnd w:id="16"/>
    <w:p w:rsidR="00B62963" w:rsidRDefault="00B62963">
      <w:pPr>
        <w:pStyle w:val="Nadpis2"/>
        <w:numPr>
          <w:ilvl w:val="0"/>
          <w:numId w:val="0"/>
        </w:numPr>
        <w:ind w:left="426"/>
      </w:pPr>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7" w:name="_Toc530739912"/>
      <w:r>
        <w:t>Bankové úvery</w:t>
      </w:r>
      <w:bookmarkEnd w:id="17"/>
    </w:p>
    <w:p w:rsidR="00E231BA" w:rsidRDefault="00E231BA" w:rsidP="00E231BA">
      <w:pPr>
        <w:pStyle w:val="Zkladntext"/>
      </w:pPr>
    </w:p>
    <w:p w:rsidR="00933F27" w:rsidRPr="00933F27" w:rsidRDefault="00933F27" w:rsidP="00933F27">
      <w:pPr>
        <w:jc w:val="both"/>
        <w:rPr>
          <w:rFonts w:ascii="Arial" w:hAnsi="Arial" w:cs="Arial"/>
          <w:sz w:val="16"/>
          <w:szCs w:val="16"/>
        </w:rPr>
      </w:pPr>
    </w:p>
    <w:p w:rsidR="00933F27" w:rsidRPr="00741BDA" w:rsidRDefault="00933F27" w:rsidP="00E231BA">
      <w:pPr>
        <w:pStyle w:val="Zkladntext"/>
        <w:rPr>
          <w:szCs w:val="18"/>
        </w:rPr>
      </w:pPr>
      <w:r w:rsidRPr="00741BDA">
        <w:rPr>
          <w:szCs w:val="18"/>
        </w:rPr>
        <w:t>Bankové úvery, pôžičky a návratné finančné výpomoci - hodnota v eurách a forma zabezpečenia:</w:t>
      </w:r>
    </w:p>
    <w:p w:rsidR="00933F27" w:rsidRDefault="00933F27" w:rsidP="00E231B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E231BA">
      <w:pPr>
        <w:pStyle w:val="Zkladntext"/>
        <w:ind w:left="0"/>
      </w:pPr>
    </w:p>
    <w:p w:rsidR="00741BDA" w:rsidRDefault="00741BDA"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AF55E6" w:rsidRDefault="00AF55E6" w:rsidP="00E231BA">
      <w:pPr>
        <w:pStyle w:val="Zkladntext"/>
        <w:ind w:left="0"/>
      </w:pPr>
    </w:p>
    <w:p w:rsidR="00741BDA" w:rsidRDefault="00741BDA" w:rsidP="00E231BA">
      <w:pPr>
        <w:pStyle w:val="Nadpis2"/>
        <w:numPr>
          <w:ilvl w:val="0"/>
          <w:numId w:val="2"/>
        </w:numPr>
      </w:pPr>
      <w:bookmarkStart w:id="18" w:name="_Toc530739913"/>
      <w:r>
        <w:lastRenderedPageBreak/>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t>Spoločnosť nemá náplň</w:t>
      </w:r>
      <w:r w:rsidR="000B5536">
        <w:rPr>
          <w:sz w:val="18"/>
          <w:szCs w:val="18"/>
        </w:rPr>
        <w:t>.</w:t>
      </w:r>
    </w:p>
    <w:p w:rsidR="00741BDA" w:rsidRPr="00741BDA" w:rsidRDefault="00741BDA" w:rsidP="00741BDA">
      <w:pPr>
        <w:rPr>
          <w:sz w:val="18"/>
          <w:szCs w:val="18"/>
        </w:rPr>
      </w:pPr>
    </w:p>
    <w:bookmarkEnd w:id="18"/>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9" w:name="_Toc530739914"/>
    </w:p>
    <w:p w:rsidR="00206AD4" w:rsidRPr="00206AD4" w:rsidRDefault="00206AD4" w:rsidP="00206AD4">
      <w:pPr>
        <w:ind w:firstLine="426"/>
        <w:rPr>
          <w:sz w:val="18"/>
          <w:szCs w:val="18"/>
        </w:rPr>
      </w:pPr>
      <w:r w:rsidRPr="00206AD4">
        <w:rPr>
          <w:sz w:val="18"/>
          <w:szCs w:val="18"/>
        </w:rPr>
        <w:t>Spoločnosť nemá náplň.</w:t>
      </w:r>
    </w:p>
    <w:bookmarkEnd w:id="19"/>
    <w:p w:rsidR="007F4D88" w:rsidRDefault="007F4D88" w:rsidP="00486EC6">
      <w:pPr>
        <w:pStyle w:val="Zkladntext"/>
        <w:ind w:left="0"/>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AF55E6" w:rsidRDefault="00206AD4" w:rsidP="007F4D88">
      <w:pPr>
        <w:ind w:left="284" w:right="28"/>
        <w:jc w:val="both"/>
        <w:rPr>
          <w:sz w:val="18"/>
          <w:szCs w:val="18"/>
        </w:rPr>
      </w:pPr>
      <w:r w:rsidRPr="00AF55E6">
        <w:rPr>
          <w:bCs/>
          <w:sz w:val="18"/>
          <w:szCs w:val="18"/>
        </w:rPr>
        <w:t>I</w:t>
      </w:r>
      <w:r w:rsidR="007F4D88" w:rsidRPr="00AF55E6">
        <w:rPr>
          <w:sz w:val="18"/>
          <w:szCs w:val="18"/>
        </w:rPr>
        <w:t>nformácie ovýznamných položkách prenajatého majetku, majetku prijatého do úschovy, o pohľadávkach a záväzkoch z opcií, o odpísaných pohľadávkach a pohľadávkach a záväzkoch z lízingu:</w:t>
      </w:r>
    </w:p>
    <w:p w:rsidR="007F4D88" w:rsidRDefault="007F4D88" w:rsidP="00AF55E6">
      <w:pPr>
        <w:pStyle w:val="Zkladntext"/>
        <w:ind w:left="0"/>
      </w:pPr>
    </w:p>
    <w:p w:rsidR="00AF55E6" w:rsidRPr="00206AD4" w:rsidRDefault="00AF55E6" w:rsidP="00AF55E6">
      <w:pPr>
        <w:ind w:firstLine="426"/>
        <w:rPr>
          <w:sz w:val="18"/>
          <w:szCs w:val="18"/>
        </w:rPr>
      </w:pPr>
      <w:r w:rsidRPr="00206AD4">
        <w:rPr>
          <w:sz w:val="18"/>
          <w:szCs w:val="18"/>
        </w:rPr>
        <w:t>Spoločnosť nemá náplň.</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486EC6" w:rsidRPr="00206AD4" w:rsidRDefault="00486EC6" w:rsidP="00486EC6">
      <w:pPr>
        <w:ind w:firstLine="426"/>
        <w:rPr>
          <w:sz w:val="18"/>
          <w:szCs w:val="18"/>
        </w:rPr>
      </w:pPr>
      <w:r w:rsidRPr="00206AD4">
        <w:rPr>
          <w:sz w:val="18"/>
          <w:szCs w:val="18"/>
        </w:rPr>
        <w:t>Spoločnosť nemá náplň.</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20" w:name="_Toc530739921"/>
      <w:r>
        <w:t>Podmienené záväzk</w:t>
      </w:r>
      <w:r w:rsidR="0000290B">
        <w:t>y</w:t>
      </w:r>
      <w:bookmarkEnd w:id="20"/>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Pr="00522AF0" w:rsidRDefault="009715BA" w:rsidP="00206AD4">
      <w:pPr>
        <w:pStyle w:val="Zkladntext"/>
        <w:rPr>
          <w:szCs w:val="18"/>
        </w:rPr>
      </w:pPr>
      <w:r w:rsidRPr="00522AF0">
        <w:rPr>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9715BA" w:rsidRPr="002F770F" w:rsidRDefault="009715BA" w:rsidP="00486EC6">
      <w:pPr>
        <w:pStyle w:val="Zkladntext"/>
        <w:ind w:left="0"/>
      </w:pPr>
    </w:p>
    <w:p w:rsidR="003E0FA2" w:rsidRDefault="003E0FA2" w:rsidP="003E0FA2">
      <w:pPr>
        <w:pStyle w:val="Nadpis1"/>
        <w:tabs>
          <w:tab w:val="clear" w:pos="450"/>
          <w:tab w:val="num" w:pos="360"/>
        </w:tabs>
        <w:spacing w:before="120" w:after="60"/>
        <w:ind w:left="360"/>
      </w:pPr>
      <w:bookmarkStart w:id="21" w:name="_Toc530739925"/>
      <w:r>
        <w:t>Informácie o skutočnostiach, ktoré nastali po dni, ku ktorému sa zostavuje účtovná závierka, do dňa zostavenia účtovnej závierky</w:t>
      </w:r>
      <w:bookmarkEnd w:id="21"/>
    </w:p>
    <w:p w:rsidR="003E0FA2" w:rsidRDefault="003E0FA2" w:rsidP="003E0FA2">
      <w:pPr>
        <w:pStyle w:val="Zkladntext"/>
      </w:pPr>
    </w:p>
    <w:p w:rsidR="003E0FA2" w:rsidRPr="009715BA" w:rsidRDefault="003E0FA2" w:rsidP="009715BA">
      <w:pPr>
        <w:pStyle w:val="Zkladntext"/>
      </w:pPr>
      <w:r>
        <w:t xml:space="preserve">Po 31. decembri </w:t>
      </w:r>
      <w:r w:rsidR="005E6A76">
        <w:t>202</w:t>
      </w:r>
      <w:r w:rsidR="00701BE7">
        <w:t>5</w:t>
      </w:r>
      <w:r w:rsidR="00476D1F">
        <w:t xml:space="preserve"> </w:t>
      </w:r>
      <w:r w:rsidR="009715BA">
        <w:t>ne</w:t>
      </w:r>
      <w:r>
        <w:t>nastali udalosti majúce významný vplyv na verné zobrazenie skutočností,</w:t>
      </w:r>
      <w:r w:rsidR="009715BA">
        <w:t xml:space="preserve"> ktoré sú predmetom účtovníctva.</w:t>
      </w:r>
    </w:p>
    <w:p w:rsidR="005E6A76" w:rsidRDefault="005E6A76" w:rsidP="005E6A76">
      <w:pPr>
        <w:pStyle w:val="Zkladntext"/>
      </w:pPr>
      <w:r>
        <w:t>Koncom februára 2022 došlo k voj</w:t>
      </w:r>
      <w:r w:rsidR="00081356">
        <w:t>novému</w:t>
      </w:r>
      <w:r>
        <w:t xml:space="preserve"> konfliktu na Ukrajine. </w:t>
      </w:r>
      <w:r w:rsidR="005A5C1B">
        <w:t xml:space="preserve">V čase zostavenia tejto účtovnej závierky vedenie účtovnej jednotky nezaznamenalo významný pokles predaja, </w:t>
      </w:r>
      <w:r w:rsidR="00081356">
        <w:t>z dôvodu vojnového konfliktu na Ukrajine</w:t>
      </w:r>
      <w:r w:rsidR="005A5C1B">
        <w:t xml:space="preserve">,  nakoľko sa však situácia stále mení, nemožno predvídať budúce dopady. </w:t>
      </w:r>
    </w:p>
    <w:p w:rsidR="003E0FA2" w:rsidRDefault="005A5C1B" w:rsidP="003E0FA2">
      <w:pPr>
        <w:pStyle w:val="Zkladntext"/>
        <w:rPr>
          <w:szCs w:val="18"/>
        </w:rPr>
      </w:pPr>
      <w:r>
        <w:t>Manažment bude pokračovať v monitorovaní potenciálneho dopadu</w:t>
      </w:r>
      <w:r w:rsidR="00081356">
        <w:t xml:space="preserve"> vojnového</w:t>
      </w:r>
      <w:r w:rsidR="005E6A76">
        <w:t xml:space="preserve"> konfliktu na Ukrajine</w:t>
      </w:r>
      <w:r>
        <w:t xml:space="preserve"> a podnikne všetky možné kroky na zmiernenie akýchkoľvek negatívnych účinkov na spoločnosť.</w:t>
      </w:r>
    </w:p>
    <w:p w:rsidR="009715BA" w:rsidRPr="00EF5A22" w:rsidRDefault="009715BA" w:rsidP="003E0FA2">
      <w:pPr>
        <w:pStyle w:val="Zkladntext"/>
        <w:rPr>
          <w:szCs w:val="18"/>
        </w:rPr>
      </w:pPr>
    </w:p>
    <w:p w:rsidR="00206AD4" w:rsidRDefault="00206AD4" w:rsidP="00206AD4">
      <w:pPr>
        <w:pStyle w:val="Nadpis1"/>
      </w:pPr>
      <w:bookmarkStart w:id="22"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2"/>
    <w:p w:rsidR="009B1E52" w:rsidRPr="00A11A59" w:rsidRDefault="009B1E52" w:rsidP="009B1E52">
      <w:pPr>
        <w:ind w:left="360"/>
        <w:rPr>
          <w:sz w:val="18"/>
          <w:szCs w:val="18"/>
        </w:rPr>
      </w:pPr>
      <w:r w:rsidRPr="00A11A59">
        <w:rPr>
          <w:sz w:val="18"/>
          <w:szCs w:val="18"/>
        </w:rPr>
        <w:t>Spoločnosť nemá náplň pre danú položku</w:t>
      </w:r>
      <w:r w:rsidR="00125486">
        <w:rPr>
          <w:sz w:val="18"/>
          <w:szCs w:val="18"/>
        </w:rPr>
        <w:t>.</w:t>
      </w:r>
    </w:p>
    <w:p w:rsidR="007D6502" w:rsidRPr="00F70C00" w:rsidRDefault="007D6502" w:rsidP="0058479C">
      <w:pPr>
        <w:pStyle w:val="Zkladntext"/>
      </w:pPr>
    </w:p>
    <w:sectPr w:rsidR="007D6502" w:rsidRPr="00F70C00" w:rsidSect="00474456">
      <w:headerReference w:type="default" r:id="rId14"/>
      <w:foot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35A5" w:rsidRDefault="00CF35A5" w:rsidP="00E95128">
      <w:r>
        <w:separator/>
      </w:r>
    </w:p>
  </w:endnote>
  <w:endnote w:type="continuationSeparator" w:id="1">
    <w:p w:rsidR="00CF35A5" w:rsidRDefault="00CF35A5"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60643"/>
      <w:docPartObj>
        <w:docPartGallery w:val="Page Numbers (Bottom of Page)"/>
        <w:docPartUnique/>
      </w:docPartObj>
    </w:sdtPr>
    <w:sdtContent>
      <w:p w:rsidR="005E6A76" w:rsidRDefault="00B830F8">
        <w:pPr>
          <w:pStyle w:val="Pta"/>
          <w:jc w:val="right"/>
        </w:pPr>
        <w:r>
          <w:fldChar w:fldCharType="begin"/>
        </w:r>
        <w:r w:rsidR="002D32C4">
          <w:instrText xml:space="preserve"> PAGE   \* MERGEFORMAT </w:instrText>
        </w:r>
        <w:r>
          <w:fldChar w:fldCharType="separate"/>
        </w:r>
        <w:r w:rsidR="00701BE7">
          <w:rPr>
            <w:noProof/>
          </w:rPr>
          <w:t>10</w:t>
        </w:r>
        <w:r>
          <w:rPr>
            <w:noProof/>
          </w:rPr>
          <w:fldChar w:fldCharType="end"/>
        </w:r>
      </w:p>
    </w:sdtContent>
  </w:sdt>
  <w:p w:rsidR="005E6A76" w:rsidRDefault="005E6A7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tab/>
    </w:r>
    <w:sdt>
      <w:sdtPr>
        <w:id w:val="1542133"/>
        <w:docPartObj>
          <w:docPartGallery w:val="Page Numbers (Bottom of Page)"/>
          <w:docPartUnique/>
        </w:docPartObj>
      </w:sdtPr>
      <w:sdtContent>
        <w:r w:rsidR="00B830F8" w:rsidRPr="00F70C00">
          <w:rPr>
            <w:b/>
          </w:rPr>
          <w:fldChar w:fldCharType="begin"/>
        </w:r>
        <w:r w:rsidRPr="00F70C00">
          <w:rPr>
            <w:b/>
          </w:rPr>
          <w:instrText xml:space="preserve"> PAGE   \* MERGEFORMAT </w:instrText>
        </w:r>
        <w:r w:rsidR="00B830F8" w:rsidRPr="00F70C00">
          <w:rPr>
            <w:b/>
          </w:rPr>
          <w:fldChar w:fldCharType="separate"/>
        </w:r>
        <w:r>
          <w:rPr>
            <w:b/>
            <w:noProof/>
          </w:rPr>
          <w:t>17</w:t>
        </w:r>
        <w:r w:rsidR="00B830F8" w:rsidRPr="00F70C00">
          <w:rPr>
            <w:b/>
          </w:rPr>
          <w:fldChar w:fldCharType="end"/>
        </w:r>
      </w:sdtContent>
    </w:sdt>
  </w:p>
  <w:p w:rsidR="005E6A76" w:rsidRDefault="005E6A76" w:rsidP="00F70C00">
    <w:pPr>
      <w:pStyle w:val="Pta"/>
      <w:tabs>
        <w:tab w:val="clear" w:pos="9072"/>
        <w:tab w:val="right" w:pos="9214"/>
      </w:tabs>
      <w:rPr>
        <w:sz w:val="16"/>
        <w:szCs w:val="16"/>
      </w:rPr>
    </w:pPr>
  </w:p>
  <w:p w:rsidR="005E6A76" w:rsidRPr="00F70C00" w:rsidRDefault="005E6A7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35A5" w:rsidRDefault="00CF35A5" w:rsidP="00E95128">
      <w:r>
        <w:separator/>
      </w:r>
    </w:p>
  </w:footnote>
  <w:footnote w:type="continuationSeparator" w:id="1">
    <w:p w:rsidR="00CF35A5" w:rsidRDefault="00CF35A5"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6"/>
      <w:gridCol w:w="4111"/>
      <w:gridCol w:w="284"/>
      <w:gridCol w:w="283"/>
      <w:gridCol w:w="284"/>
      <w:gridCol w:w="283"/>
      <w:gridCol w:w="284"/>
      <w:gridCol w:w="283"/>
      <w:gridCol w:w="284"/>
      <w:gridCol w:w="283"/>
      <w:gridCol w:w="284"/>
      <w:gridCol w:w="283"/>
    </w:tblGrid>
    <w:tr w:rsidR="005E6A76" w:rsidRPr="00DD1CC9" w:rsidTr="00DD1CC9">
      <w:trPr>
        <w:trHeight w:val="299"/>
      </w:trPr>
      <w:tc>
        <w:tcPr>
          <w:tcW w:w="2126" w:type="dxa"/>
          <w:vAlign w:val="center"/>
        </w:tcPr>
        <w:p w:rsidR="005E6A76" w:rsidRPr="00DD1CC9" w:rsidRDefault="005E6A76" w:rsidP="00E37E25">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w:t>
          </w:r>
          <w:r>
            <w:rPr>
              <w:rFonts w:cs="Arial"/>
              <w:sz w:val="18"/>
              <w:szCs w:val="18"/>
              <w:lang w:eastAsia="sk-SK"/>
            </w:rPr>
            <w:t>1</w:t>
          </w:r>
        </w:p>
      </w:tc>
      <w:tc>
        <w:tcPr>
          <w:tcW w:w="4111" w:type="dxa"/>
          <w:tcBorders>
            <w:top w:val="nil"/>
            <w:bottom w:val="nil"/>
          </w:tcBorders>
          <w:vAlign w:val="center"/>
        </w:tcPr>
        <w:p w:rsidR="005E6A76" w:rsidRPr="00DD1CC9" w:rsidRDefault="005E6A76"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5E6A76" w:rsidRPr="00F11B5D" w:rsidRDefault="005E6A76"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3</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4</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6</w:t>
          </w:r>
        </w:p>
      </w:tc>
      <w:tc>
        <w:tcPr>
          <w:tcW w:w="284"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5E6A76" w:rsidRPr="00DD1CC9" w:rsidRDefault="005E6A76" w:rsidP="00D34B3E">
          <w:pPr>
            <w:pStyle w:val="Hlavika"/>
            <w:tabs>
              <w:tab w:val="clear" w:pos="4536"/>
              <w:tab w:val="center" w:pos="4253"/>
              <w:tab w:val="right" w:pos="9214"/>
            </w:tabs>
            <w:jc w:val="center"/>
            <w:rPr>
              <w:sz w:val="18"/>
              <w:szCs w:val="18"/>
            </w:rPr>
          </w:pPr>
          <w:r>
            <w:rPr>
              <w:sz w:val="18"/>
              <w:szCs w:val="18"/>
            </w:rPr>
            <w:t>8</w:t>
          </w:r>
        </w:p>
      </w:tc>
    </w:tr>
  </w:tbl>
  <w:p w:rsidR="005E6A76" w:rsidRPr="00E95128" w:rsidRDefault="005E6A7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6A76" w:rsidRDefault="005E6A76" w:rsidP="008A2D79">
    <w:pPr>
      <w:pStyle w:val="Hlavika"/>
      <w:tabs>
        <w:tab w:val="center" w:pos="4820"/>
        <w:tab w:val="right" w:pos="9214"/>
      </w:tabs>
      <w:jc w:val="right"/>
      <w:rPr>
        <w:sz w:val="18"/>
      </w:rPr>
    </w:pPr>
  </w:p>
  <w:p w:rsidR="005E6A76" w:rsidRPr="00E95128" w:rsidRDefault="005E6A76"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rsidR="005E6A76" w:rsidRDefault="005E6A76"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2013</w:t>
    </w:r>
  </w:p>
  <w:p w:rsidR="005E6A76" w:rsidRPr="00E95128" w:rsidRDefault="005E6A76"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5E6A76" w:rsidTr="00D34B3E">
      <w:trPr>
        <w:trHeight w:val="299"/>
      </w:trPr>
      <w:tc>
        <w:tcPr>
          <w:tcW w:w="2251" w:type="dxa"/>
          <w:vAlign w:val="center"/>
        </w:tcPr>
        <w:p w:rsidR="005E6A76" w:rsidRDefault="005E6A76"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5E6A76" w:rsidRDefault="005E6A76" w:rsidP="00D34B3E">
          <w:pPr>
            <w:pStyle w:val="Hlavika"/>
            <w:tabs>
              <w:tab w:val="clear" w:pos="4536"/>
              <w:tab w:val="center" w:pos="4253"/>
              <w:tab w:val="right" w:pos="9214"/>
            </w:tabs>
            <w:jc w:val="right"/>
            <w:rPr>
              <w:sz w:val="22"/>
            </w:rPr>
          </w:pPr>
          <w:r>
            <w:rPr>
              <w:sz w:val="22"/>
            </w:rPr>
            <w:t>DIČ</w:t>
          </w: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c>
        <w:tcPr>
          <w:tcW w:w="284" w:type="dxa"/>
          <w:vAlign w:val="center"/>
        </w:tcPr>
        <w:p w:rsidR="005E6A76" w:rsidRDefault="005E6A76" w:rsidP="00D34B3E">
          <w:pPr>
            <w:pStyle w:val="Hlavika"/>
            <w:tabs>
              <w:tab w:val="clear" w:pos="4536"/>
              <w:tab w:val="center" w:pos="4253"/>
              <w:tab w:val="right" w:pos="9214"/>
            </w:tabs>
            <w:jc w:val="center"/>
            <w:rPr>
              <w:sz w:val="22"/>
            </w:rPr>
          </w:pPr>
        </w:p>
      </w:tc>
      <w:tc>
        <w:tcPr>
          <w:tcW w:w="283" w:type="dxa"/>
          <w:vAlign w:val="center"/>
        </w:tcPr>
        <w:p w:rsidR="005E6A76" w:rsidRDefault="005E6A76" w:rsidP="00D34B3E">
          <w:pPr>
            <w:pStyle w:val="Hlavika"/>
            <w:tabs>
              <w:tab w:val="clear" w:pos="4536"/>
              <w:tab w:val="center" w:pos="4253"/>
              <w:tab w:val="right" w:pos="9214"/>
            </w:tabs>
            <w:jc w:val="center"/>
            <w:rPr>
              <w:sz w:val="22"/>
            </w:rPr>
          </w:pPr>
        </w:p>
      </w:tc>
    </w:tr>
  </w:tbl>
  <w:p w:rsidR="005E6A76" w:rsidRPr="00E95128" w:rsidRDefault="005E6A76"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4570724"/>
    <w:multiLevelType w:val="hybridMultilevel"/>
    <w:tmpl w:val="A18AA188"/>
    <w:lvl w:ilvl="0" w:tplc="B2062AB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1">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2"/>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1"/>
  </w:num>
  <w:num w:numId="62">
    <w:abstractNumId w:val="20"/>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6146"/>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1356"/>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5486"/>
    <w:rsid w:val="00126EB9"/>
    <w:rsid w:val="00127D9C"/>
    <w:rsid w:val="00130684"/>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4C04"/>
    <w:rsid w:val="001C6938"/>
    <w:rsid w:val="001C6A47"/>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225B"/>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573B3"/>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32C4"/>
    <w:rsid w:val="002D4AEE"/>
    <w:rsid w:val="002D6457"/>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0008"/>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579"/>
    <w:rsid w:val="00401912"/>
    <w:rsid w:val="00401F9E"/>
    <w:rsid w:val="004027CF"/>
    <w:rsid w:val="00403FF5"/>
    <w:rsid w:val="0040614D"/>
    <w:rsid w:val="00407243"/>
    <w:rsid w:val="004108AD"/>
    <w:rsid w:val="00411D88"/>
    <w:rsid w:val="00416A0F"/>
    <w:rsid w:val="0041793E"/>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74456"/>
    <w:rsid w:val="00476914"/>
    <w:rsid w:val="00476D1F"/>
    <w:rsid w:val="00483A16"/>
    <w:rsid w:val="00486EC6"/>
    <w:rsid w:val="00490ED4"/>
    <w:rsid w:val="00491AF0"/>
    <w:rsid w:val="00491C69"/>
    <w:rsid w:val="00493E78"/>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4C5F"/>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22AF0"/>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94FB1"/>
    <w:rsid w:val="005A2556"/>
    <w:rsid w:val="005A25EA"/>
    <w:rsid w:val="005A38F9"/>
    <w:rsid w:val="005A5552"/>
    <w:rsid w:val="005A5C1B"/>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6A76"/>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8778D"/>
    <w:rsid w:val="00691205"/>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125"/>
    <w:rsid w:val="006F056A"/>
    <w:rsid w:val="006F188E"/>
    <w:rsid w:val="006F28DA"/>
    <w:rsid w:val="006F5D26"/>
    <w:rsid w:val="007019A7"/>
    <w:rsid w:val="00701BE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343"/>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9F"/>
    <w:rsid w:val="008D48E9"/>
    <w:rsid w:val="008D4A2B"/>
    <w:rsid w:val="008D4EAD"/>
    <w:rsid w:val="008D5C0A"/>
    <w:rsid w:val="008D7145"/>
    <w:rsid w:val="008D763E"/>
    <w:rsid w:val="008E04AE"/>
    <w:rsid w:val="008E3DB7"/>
    <w:rsid w:val="008E518D"/>
    <w:rsid w:val="008E68A4"/>
    <w:rsid w:val="008E7463"/>
    <w:rsid w:val="008E7475"/>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94FD3"/>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3BB4"/>
    <w:rsid w:val="00AC63EC"/>
    <w:rsid w:val="00AD26D8"/>
    <w:rsid w:val="00AD43BD"/>
    <w:rsid w:val="00AD4FCA"/>
    <w:rsid w:val="00AD6758"/>
    <w:rsid w:val="00AD7880"/>
    <w:rsid w:val="00AE07E3"/>
    <w:rsid w:val="00AE0C13"/>
    <w:rsid w:val="00AE4AC7"/>
    <w:rsid w:val="00AE5250"/>
    <w:rsid w:val="00AF29D2"/>
    <w:rsid w:val="00AF55E6"/>
    <w:rsid w:val="00B03577"/>
    <w:rsid w:val="00B0368E"/>
    <w:rsid w:val="00B12204"/>
    <w:rsid w:val="00B12629"/>
    <w:rsid w:val="00B12F56"/>
    <w:rsid w:val="00B13F93"/>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30F8"/>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2432"/>
    <w:rsid w:val="00BC28F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2623"/>
    <w:rsid w:val="00CE44AF"/>
    <w:rsid w:val="00CE612B"/>
    <w:rsid w:val="00CF2329"/>
    <w:rsid w:val="00CF2FC7"/>
    <w:rsid w:val="00CF35A5"/>
    <w:rsid w:val="00CF414F"/>
    <w:rsid w:val="00CF7C4C"/>
    <w:rsid w:val="00D00810"/>
    <w:rsid w:val="00D02B99"/>
    <w:rsid w:val="00D03709"/>
    <w:rsid w:val="00D04670"/>
    <w:rsid w:val="00D04D91"/>
    <w:rsid w:val="00D1180C"/>
    <w:rsid w:val="00D1786B"/>
    <w:rsid w:val="00D21626"/>
    <w:rsid w:val="00D22B03"/>
    <w:rsid w:val="00D247C0"/>
    <w:rsid w:val="00D24870"/>
    <w:rsid w:val="00D254D4"/>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0F89"/>
    <w:rsid w:val="00DC2A64"/>
    <w:rsid w:val="00DC68C3"/>
    <w:rsid w:val="00DD1CC9"/>
    <w:rsid w:val="00DD23C0"/>
    <w:rsid w:val="00DD5774"/>
    <w:rsid w:val="00DE16DE"/>
    <w:rsid w:val="00DE1D1A"/>
    <w:rsid w:val="00DE358C"/>
    <w:rsid w:val="00DE5898"/>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4EFB"/>
    <w:rsid w:val="00F07829"/>
    <w:rsid w:val="00F10E0E"/>
    <w:rsid w:val="00F11B5D"/>
    <w:rsid w:val="00F12594"/>
    <w:rsid w:val="00F12BF1"/>
    <w:rsid w:val="00F12EFB"/>
    <w:rsid w:val="00F150F1"/>
    <w:rsid w:val="00F16237"/>
    <w:rsid w:val="00F16F26"/>
    <w:rsid w:val="00F17012"/>
    <w:rsid w:val="00F20205"/>
    <w:rsid w:val="00F26B99"/>
    <w:rsid w:val="00F27004"/>
    <w:rsid w:val="00F37AF6"/>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96564"/>
    <w:rsid w:val="00FA01BC"/>
    <w:rsid w:val="00FA1EF8"/>
    <w:rsid w:val="00FA2A9D"/>
    <w:rsid w:val="00FA44BB"/>
    <w:rsid w:val="00FA6ADD"/>
    <w:rsid w:val="00FA6B26"/>
    <w:rsid w:val="00FA6C5D"/>
    <w:rsid w:val="00FA6D0F"/>
    <w:rsid w:val="00FA704F"/>
    <w:rsid w:val="00FB0C8B"/>
    <w:rsid w:val="00FB1326"/>
    <w:rsid w:val="00FB2525"/>
    <w:rsid w:val="00FB5521"/>
    <w:rsid w:val="00FC156B"/>
    <w:rsid w:val="00FC1D72"/>
    <w:rsid w:val="00FC4E3E"/>
    <w:rsid w:val="00FD085E"/>
    <w:rsid w:val="00FD0E89"/>
    <w:rsid w:val="00FD3B9D"/>
    <w:rsid w:val="00FD44E7"/>
    <w:rsid w:val="00FD4736"/>
    <w:rsid w:val="00FE0172"/>
    <w:rsid w:val="00FE057E"/>
    <w:rsid w:val="00FE2CC6"/>
    <w:rsid w:val="00FE3AB4"/>
    <w:rsid w:val="00FF0E24"/>
    <w:rsid w:val="00FF3376"/>
    <w:rsid w:val="00FF46DB"/>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Pracovn__h_rok_programu_Microsoft_Office_Excel1.xlsx"/><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B142CAB7-44BF-4A22-ADD7-E0824A622981}">
  <ds:schemaRefs>
    <ds:schemaRef ds:uri="http://schemas.openxmlformats.org/officeDocument/2006/bibliography"/>
  </ds:schemaRefs>
</ds:datastoreItem>
</file>

<file path=customXml/itemProps5.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Pages>
  <Words>4375</Words>
  <Characters>24940</Characters>
  <Application>Microsoft Office Word</Application>
  <DocSecurity>0</DocSecurity>
  <Lines>207</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29257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Admin</cp:lastModifiedBy>
  <cp:revision>33</cp:revision>
  <cp:lastPrinted>2013-12-16T11:37:00Z</cp:lastPrinted>
  <dcterms:created xsi:type="dcterms:W3CDTF">2016-03-25T07:46:00Z</dcterms:created>
  <dcterms:modified xsi:type="dcterms:W3CDTF">2026-03-28T13:31:00Z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