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tabs>
          <w:tab w:val="clear" w:pos="708"/>
          <w:tab w:val="center" w:pos="4786" w:leader="none"/>
        </w:tabs>
        <w:spacing w:lineRule="auto" w:line="259" w:before="0" w:after="254"/>
        <w:ind w:left="-15" w:hanging="0"/>
        <w:jc w:val="left"/>
        <w:rPr/>
      </w:pPr>
      <w:r>
        <w:rPr>
          <w:vertAlign w:val="superscript"/>
        </w:rPr>
        <w:t xml:space="preserve">  </w:t>
      </w:r>
      <w:r>
        <w:rPr>
          <w:vertAlign w:val="superscript"/>
        </w:rPr>
        <w:tab/>
      </w:r>
      <w:r>
        <w:rPr>
          <w:b/>
        </w:rPr>
        <w:t xml:space="preserve">Poznámky k mikro účtovnej závierke za rok </w:t>
      </w:r>
      <w:r>
        <w:rPr>
          <w:b/>
        </w:rPr>
        <w:t>2025</w:t>
      </w:r>
    </w:p>
    <w:p>
      <w:pPr>
        <w:pStyle w:val="Normal"/>
        <w:spacing w:before="0" w:after="8"/>
        <w:jc w:val="center"/>
        <w:rPr/>
      </w:pPr>
      <w:r>
        <w:rPr/>
        <w:t>zostavené pod</w:t>
      </w:r>
      <w:r>
        <w:rPr>
          <w:rFonts w:eastAsia="MS Gothic" w:cs="MS Gothic" w:ascii="MS Gothic" w:hAnsi="MS Gothic"/>
        </w:rPr>
        <w:t>ľ</w:t>
      </w:r>
      <w:r>
        <w:rPr/>
        <w:t xml:space="preserve">a Opatrenia Ministerstva financií SR </w:t>
      </w:r>
      <w:r>
        <w:rPr>
          <w:rFonts w:eastAsia="MS Gothic" w:cs="MS Gothic" w:ascii="MS Gothic" w:hAnsi="MS Gothic"/>
        </w:rPr>
        <w:t>č</w:t>
      </w:r>
      <w:r>
        <w:rPr/>
        <w:t xml:space="preserve">.MF/15464/2013-74, ktorým sa ustanovujú podrobnosti   </w:t>
      </w:r>
    </w:p>
    <w:p>
      <w:pPr>
        <w:pStyle w:val="Normal"/>
        <w:ind w:left="206" w:right="67" w:hanging="10"/>
        <w:rPr/>
      </w:pPr>
      <w:r>
        <w:rPr/>
        <w:t>o usporiadaní, ozna</w:t>
      </w:r>
      <w:r>
        <w:rPr>
          <w:rFonts w:eastAsia="MS Gothic" w:cs="MS Gothic" w:ascii="MS Gothic" w:hAnsi="MS Gothic"/>
        </w:rPr>
        <w:t>č</w:t>
      </w:r>
      <w:r>
        <w:rPr/>
        <w:t>ovaní a obsahovom vymedzení polo</w:t>
      </w:r>
      <w:r>
        <w:rPr>
          <w:rFonts w:eastAsia="MS Gothic" w:cs="MS Gothic" w:ascii="MS Gothic" w:hAnsi="MS Gothic"/>
        </w:rPr>
        <w:t>ž</w:t>
      </w:r>
      <w:r>
        <w:rPr/>
        <w:t>iek individuálnej ú</w:t>
      </w:r>
      <w:r>
        <w:rPr>
          <w:rFonts w:eastAsia="MS Gothic" w:cs="MS Gothic" w:ascii="MS Gothic" w:hAnsi="MS Gothic"/>
        </w:rPr>
        <w:t>č</w:t>
      </w:r>
      <w:r>
        <w:rPr/>
        <w:t xml:space="preserve">tovnej závierky a  </w:t>
      </w:r>
    </w:p>
    <w:p>
      <w:pPr>
        <w:pStyle w:val="Normal"/>
        <w:spacing w:before="0" w:after="8"/>
        <w:jc w:val="center"/>
        <w:rPr/>
      </w:pPr>
      <w:r>
        <mc:AlternateContent>
          <mc:Choice Requires="wpg">
            <w:drawing>
              <wp:anchor behindDoc="0" distT="0" distB="0" distL="0" distR="0" simplePos="0" locked="0" layoutInCell="0" allowOverlap="1" relativeHeight="2">
                <wp:simplePos x="0" y="0"/>
                <wp:positionH relativeFrom="column">
                  <wp:posOffset>5478145</wp:posOffset>
                </wp:positionH>
                <wp:positionV relativeFrom="paragraph">
                  <wp:posOffset>-33655</wp:posOffset>
                </wp:positionV>
                <wp:extent cx="64135" cy="102235"/>
                <wp:effectExtent l="0" t="0" r="0" b="0"/>
                <wp:wrapNone/>
                <wp:docPr id="1" name="Group 5436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080" cy="102240"/>
                          <a:chOff x="0" y="0"/>
                          <a:chExt cx="64080" cy="102240"/>
                        </a:xfrm>
                      </wpg:grpSpPr>
                      <wps:wsp>
                        <wps:cNvSpPr/>
                        <wps:spPr>
                          <a:xfrm>
                            <a:off x="0" y="0"/>
                            <a:ext cx="64080" cy="10224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64135" h="102235">
                                <a:moveTo>
                                  <a:pt x="0" y="0"/>
                                </a:moveTo>
                                <a:lnTo>
                                  <a:pt x="18288" y="0"/>
                                </a:lnTo>
                                <a:lnTo>
                                  <a:pt x="32131" y="10160"/>
                                </a:lnTo>
                                <a:lnTo>
                                  <a:pt x="45847" y="0"/>
                                </a:lnTo>
                                <a:lnTo>
                                  <a:pt x="64135" y="0"/>
                                </a:lnTo>
                                <a:lnTo>
                                  <a:pt x="39751" y="24257"/>
                                </a:lnTo>
                                <a:lnTo>
                                  <a:pt x="52705" y="29083"/>
                                </a:lnTo>
                                <a:cubicBezTo>
                                  <a:pt x="57912" y="34417"/>
                                  <a:pt x="60833" y="42418"/>
                                  <a:pt x="61214" y="53086"/>
                                </a:cubicBezTo>
                                <a:lnTo>
                                  <a:pt x="43688" y="53086"/>
                                </a:lnTo>
                                <a:cubicBezTo>
                                  <a:pt x="42799" y="46227"/>
                                  <a:pt x="41402" y="41783"/>
                                  <a:pt x="39243" y="39751"/>
                                </a:cubicBezTo>
                                <a:cubicBezTo>
                                  <a:pt x="37719" y="38100"/>
                                  <a:pt x="35687" y="37338"/>
                                  <a:pt x="33147" y="37338"/>
                                </a:cubicBezTo>
                                <a:cubicBezTo>
                                  <a:pt x="29972" y="37338"/>
                                  <a:pt x="27051" y="38735"/>
                                  <a:pt x="24257" y="41402"/>
                                </a:cubicBezTo>
                                <a:cubicBezTo>
                                  <a:pt x="20447" y="45212"/>
                                  <a:pt x="18669" y="52705"/>
                                  <a:pt x="18669" y="63881"/>
                                </a:cubicBezTo>
                                <a:cubicBezTo>
                                  <a:pt x="18669" y="72898"/>
                                  <a:pt x="20320" y="79121"/>
                                  <a:pt x="23749" y="82550"/>
                                </a:cubicBezTo>
                                <a:cubicBezTo>
                                  <a:pt x="26416" y="85217"/>
                                  <a:pt x="29464" y="86614"/>
                                  <a:pt x="32639" y="86614"/>
                                </a:cubicBezTo>
                                <a:cubicBezTo>
                                  <a:pt x="35433" y="86614"/>
                                  <a:pt x="38100" y="85471"/>
                                  <a:pt x="40386" y="83058"/>
                                </a:cubicBezTo>
                                <a:cubicBezTo>
                                  <a:pt x="43434" y="80010"/>
                                  <a:pt x="44704" y="73914"/>
                                  <a:pt x="44323" y="64770"/>
                                </a:cubicBezTo>
                                <a:lnTo>
                                  <a:pt x="62611" y="64770"/>
                                </a:lnTo>
                                <a:cubicBezTo>
                                  <a:pt x="63119" y="77597"/>
                                  <a:pt x="60198" y="87249"/>
                                  <a:pt x="53721" y="93726"/>
                                </a:cubicBezTo>
                                <a:cubicBezTo>
                                  <a:pt x="48133" y="99314"/>
                                  <a:pt x="41021" y="102235"/>
                                  <a:pt x="32639" y="102235"/>
                                </a:cubicBezTo>
                                <a:cubicBezTo>
                                  <a:pt x="24130" y="102235"/>
                                  <a:pt x="16764" y="98933"/>
                                  <a:pt x="10414" y="92583"/>
                                </a:cubicBezTo>
                                <a:cubicBezTo>
                                  <a:pt x="3683" y="85852"/>
                                  <a:pt x="254" y="76327"/>
                                  <a:pt x="254" y="63881"/>
                                </a:cubicBezTo>
                                <a:cubicBezTo>
                                  <a:pt x="254" y="49657"/>
                                  <a:pt x="4064" y="38735"/>
                                  <a:pt x="11430" y="31369"/>
                                </a:cubicBezTo>
                                <a:cubicBezTo>
                                  <a:pt x="14732" y="28067"/>
                                  <a:pt x="18034" y="25781"/>
                                  <a:pt x="21717" y="24130"/>
                                </a:cubicBezTo>
                                <a:lnTo>
                                  <a:pt x="23749" y="2374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Group 5436" style="position:absolute;margin-left:431.35pt;margin-top:-2.65pt;width:5.05pt;height:8.05pt" coordorigin="8627,-53" coordsize="101,161"/>
            </w:pict>
          </mc:Fallback>
        </mc:AlternateContent>
      </w:r>
      <w:r>
        <w:rPr/>
        <w:t>rozsahu údajov ur</w:t>
      </w:r>
      <w:r>
        <w:rPr>
          <w:rFonts w:eastAsia="MS Gothic" w:cs="MS Gothic" w:ascii="MS Gothic" w:hAnsi="MS Gothic"/>
        </w:rPr>
        <w:t>č</w:t>
      </w:r>
      <w:r>
        <w:rPr/>
        <w:t>ených z individuálnej ú</w:t>
      </w:r>
      <w:r>
        <w:rPr>
          <w:rFonts w:eastAsia="MS Gothic" w:cs="MS Gothic" w:ascii="MS Gothic" w:hAnsi="MS Gothic"/>
        </w:rPr>
        <w:t>č</w:t>
      </w:r>
      <w:r>
        <w:rPr/>
        <w:t xml:space="preserve">tovnej závierky na zverejnenie pre podnikateľov v PÚ – pre </w:t>
      </w:r>
      <w:r>
        <w:rPr>
          <w:b/>
        </w:rPr>
        <w:t>mikro účtovnej jednotky</w:t>
      </w:r>
      <w:r>
        <w:rPr/>
        <w:t xml:space="preserve"> v znení neskor </w:t>
      </w:r>
      <w:r>
        <w:rPr>
          <w:rFonts w:eastAsia="MS Gothic" w:cs="MS Gothic" w:ascii="MS Gothic" w:hAnsi="MS Gothic"/>
        </w:rPr>
        <w:t>š</w:t>
      </w:r>
      <w:r>
        <w:rPr/>
        <w:t xml:space="preserve">ích predpisov (ostatná novela </w:t>
      </w:r>
      <w:r>
        <w:rPr>
          <w:rFonts w:eastAsia="MS Gothic" w:cs="MS Gothic" w:ascii="MS Gothic" w:hAnsi="MS Gothic"/>
        </w:rPr>
        <w:t>č</w:t>
      </w:r>
      <w:r>
        <w:rPr/>
        <w:t xml:space="preserve">.MF/18008/2014-74 – FS </w:t>
      </w:r>
      <w:r>
        <w:rPr>
          <w:rFonts w:eastAsia="MS Gothic" w:cs="MS Gothic" w:ascii="MS Gothic" w:hAnsi="MS Gothic"/>
        </w:rPr>
        <w:t>č</w:t>
      </w:r>
      <w:r>
        <w:rPr/>
        <w:t xml:space="preserve">.10/2014)   </w:t>
      </w:r>
    </w:p>
    <w:p>
      <w:pPr>
        <w:pStyle w:val="Normal"/>
        <w:spacing w:lineRule="auto" w:line="259" w:before="0" w:after="133"/>
        <w:ind w:left="16" w:hanging="0"/>
        <w:jc w:val="left"/>
        <w:rPr/>
      </w:pPr>
      <w:r>
        <w:rPr/>
        <w:t xml:space="preserve">   </w:t>
      </w:r>
    </w:p>
    <w:p>
      <w:pPr>
        <w:pStyle w:val="Nadpis1"/>
        <w:ind w:left="10" w:right="820" w:hanging="10"/>
        <w:rPr/>
      </w:pPr>
      <w:r>
        <w:rPr/>
        <w:t>Článok I</w:t>
      </w:r>
      <w:r>
        <w:rPr>
          <w:sz w:val="24"/>
        </w:rPr>
        <w:t xml:space="preserve"> </w:t>
      </w:r>
      <w:r>
        <w:rPr/>
        <w:t>Všeobecné údaje</w:t>
      </w:r>
      <w:r>
        <w:rPr>
          <w:b w:val="false"/>
        </w:rPr>
        <w:t xml:space="preserve"> </w:t>
      </w:r>
      <w:r>
        <w:rPr/>
        <w:t xml:space="preserve">  </w:t>
      </w:r>
    </w:p>
    <w:p>
      <w:pPr>
        <w:pStyle w:val="Normal"/>
        <w:spacing w:lineRule="auto" w:line="259" w:before="0" w:after="37"/>
        <w:ind w:left="16" w:hanging="0"/>
        <w:jc w:val="left"/>
        <w:rPr/>
      </w:pPr>
      <w:r>
        <w:rPr/>
        <w:t xml:space="preserve">   </w:t>
      </w:r>
    </w:p>
    <w:p>
      <w:pPr>
        <w:pStyle w:val="Normal"/>
        <w:numPr>
          <w:ilvl w:val="0"/>
          <w:numId w:val="1"/>
        </w:numPr>
        <w:spacing w:lineRule="auto" w:line="259" w:before="0" w:after="1"/>
        <w:ind w:left="216" w:right="67" w:hanging="216"/>
        <w:jc w:val="left"/>
        <w:rPr/>
      </w:pPr>
      <w:r>
        <w:rPr>
          <w:u w:val="single" w:color="000000"/>
        </w:rPr>
        <w:t>Identifikácia účtovnej jednotky (názov, IČO, sídlo):</w:t>
      </w:r>
      <w:r>
        <w:rPr>
          <w:sz w:val="24"/>
        </w:rPr>
        <w:t xml:space="preserve"> </w:t>
      </w:r>
      <w:r>
        <w:rPr/>
        <w:t xml:space="preserve">  </w:t>
      </w:r>
    </w:p>
    <w:p>
      <w:pPr>
        <w:pStyle w:val="Normal"/>
        <w:spacing w:lineRule="auto" w:line="259" w:before="0" w:after="0"/>
        <w:ind w:left="16" w:hanging="0"/>
        <w:jc w:val="left"/>
        <w:rPr/>
      </w:pPr>
      <w:r>
        <w:rPr/>
        <w:t xml:space="preserve">   </w:t>
      </w:r>
    </w:p>
    <w:tbl>
      <w:tblPr>
        <w:tblStyle w:val="7"/>
        <w:tblW w:w="9715" w:type="dxa"/>
        <w:jc w:val="left"/>
        <w:tblInd w:w="-146" w:type="dxa"/>
        <w:tblLayout w:type="fixed"/>
        <w:tblCellMar>
          <w:top w:w="125" w:type="dxa"/>
          <w:left w:w="78" w:type="dxa"/>
          <w:bottom w:w="0" w:type="dxa"/>
          <w:right w:w="115" w:type="dxa"/>
        </w:tblCellMar>
      </w:tblPr>
      <w:tblGrid>
        <w:gridCol w:w="3093"/>
        <w:gridCol w:w="6621"/>
      </w:tblGrid>
      <w:tr>
        <w:trPr>
          <w:trHeight w:val="575" w:hRule="atLeast"/>
        </w:trPr>
        <w:tc>
          <w:tcPr>
            <w:tcW w:w="3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59" w:before="0" w:after="0"/>
              <w:ind w:left="0" w:hanging="0"/>
              <w:jc w:val="left"/>
              <w:rPr>
                <w:kern w:val="0"/>
              </w:rPr>
            </w:pPr>
            <w:r>
              <w:rPr>
                <w:kern w:val="0"/>
              </w:rPr>
              <w:t xml:space="preserve">Názov:   </w:t>
            </w:r>
          </w:p>
        </w:tc>
        <w:tc>
          <w:tcPr>
            <w:tcW w:w="6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59" w:before="0" w:after="0"/>
              <w:ind w:left="0" w:hanging="0"/>
              <w:jc w:val="left"/>
              <w:rPr>
                <w:lang w:val="sk-SK"/>
              </w:rPr>
            </w:pPr>
            <w:r>
              <w:rPr>
                <w:kern w:val="0"/>
                <w:lang w:val="sk-SK"/>
              </w:rPr>
              <w:t>True Self SK s.r.o.</w:t>
            </w:r>
          </w:p>
        </w:tc>
      </w:tr>
      <w:tr>
        <w:trPr>
          <w:trHeight w:val="404" w:hRule="atLeast"/>
        </w:trPr>
        <w:tc>
          <w:tcPr>
            <w:tcW w:w="3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59" w:before="0" w:after="0"/>
              <w:ind w:left="0" w:hanging="0"/>
              <w:jc w:val="left"/>
              <w:rPr>
                <w:kern w:val="0"/>
              </w:rPr>
            </w:pPr>
            <w:r>
              <w:rPr>
                <w:kern w:val="0"/>
              </w:rPr>
              <w:t xml:space="preserve">IČO:   </w:t>
            </w:r>
          </w:p>
        </w:tc>
        <w:tc>
          <w:tcPr>
            <w:tcW w:w="6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59" w:before="0" w:after="0"/>
              <w:ind w:left="0" w:hanging="0"/>
              <w:jc w:val="left"/>
              <w:rPr>
                <w:lang w:val="sk-SK"/>
              </w:rPr>
            </w:pPr>
            <w:r>
              <w:rPr>
                <w:kern w:val="0"/>
                <w:lang w:val="sk-SK"/>
              </w:rPr>
              <w:t>55438822</w:t>
            </w:r>
          </w:p>
        </w:tc>
      </w:tr>
      <w:tr>
        <w:trPr>
          <w:trHeight w:val="404" w:hRule="atLeast"/>
        </w:trPr>
        <w:tc>
          <w:tcPr>
            <w:tcW w:w="3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59" w:before="0" w:after="0"/>
              <w:ind w:left="0" w:hanging="0"/>
              <w:jc w:val="left"/>
              <w:rPr>
                <w:kern w:val="0"/>
              </w:rPr>
            </w:pPr>
            <w:r>
              <w:rPr>
                <w:kern w:val="0"/>
              </w:rPr>
              <w:t xml:space="preserve">Sídlo:   </w:t>
            </w:r>
          </w:p>
        </w:tc>
        <w:tc>
          <w:tcPr>
            <w:tcW w:w="6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59" w:before="0" w:after="0"/>
              <w:ind w:left="0" w:hanging="0"/>
              <w:jc w:val="left"/>
              <w:rPr>
                <w:lang w:val="sk-SK"/>
              </w:rPr>
            </w:pPr>
            <w:r>
              <w:rPr>
                <w:kern w:val="0"/>
                <w:lang w:val="sk-SK"/>
              </w:rPr>
              <w:t>Bartókova 34 94301 Štúrovo</w:t>
            </w:r>
          </w:p>
        </w:tc>
      </w:tr>
    </w:tbl>
    <w:p>
      <w:pPr>
        <w:pStyle w:val="Normal"/>
        <w:spacing w:lineRule="auto" w:line="259" w:before="0" w:after="2"/>
        <w:ind w:left="16" w:hanging="0"/>
        <w:jc w:val="left"/>
        <w:rPr/>
      </w:pPr>
      <w:r>
        <w:rPr/>
        <w:t xml:space="preserve">   </w:t>
      </w:r>
    </w:p>
    <w:p>
      <w:pPr>
        <w:pStyle w:val="Normal"/>
        <w:spacing w:lineRule="auto" w:line="259" w:before="0" w:after="0"/>
        <w:ind w:left="16" w:hanging="0"/>
        <w:jc w:val="left"/>
        <w:rPr/>
      </w:pPr>
      <w:r>
        <w:rPr/>
        <w:t xml:space="preserve">   </w:t>
      </w:r>
    </w:p>
    <w:p>
      <w:pPr>
        <w:pStyle w:val="Normal"/>
        <w:numPr>
          <w:ilvl w:val="0"/>
          <w:numId w:val="1"/>
        </w:numPr>
        <w:ind w:left="216" w:right="67" w:hanging="216"/>
        <w:jc w:val="left"/>
        <w:rPr/>
      </w:pPr>
      <w:r>
        <w:rPr>
          <w:u w:val="single" w:color="000000"/>
        </w:rPr>
        <w:t>Údaje o konsolidovanom celku</w:t>
      </w:r>
      <w:r>
        <w:rPr/>
        <w:t xml:space="preserve"> - obchodné meno a sídlo konsolidujúcej účtovnej jednotky:</w:t>
      </w:r>
      <w:r>
        <w:rPr>
          <w:b/>
        </w:rPr>
        <w:t xml:space="preserve"> </w:t>
      </w:r>
      <w:r>
        <w:rPr/>
        <w:t xml:space="preserve">  </w:t>
      </w:r>
    </w:p>
    <w:p>
      <w:pPr>
        <w:pStyle w:val="Normal"/>
        <w:spacing w:lineRule="auto" w:line="259" w:before="0" w:after="0"/>
        <w:ind w:left="-5" w:hanging="10"/>
        <w:jc w:val="left"/>
        <w:rPr/>
      </w:pPr>
      <w:r>
        <w:rPr>
          <w:b/>
        </w:rPr>
        <w:t xml:space="preserve">   </w:t>
      </w:r>
      <w:r>
        <w:rPr>
          <w:b/>
        </w:rPr>
        <w:t>- nie je</w:t>
      </w:r>
      <w:r>
        <w:rPr/>
        <w:t xml:space="preserve">   </w:t>
      </w:r>
    </w:p>
    <w:p>
      <w:pPr>
        <w:pStyle w:val="Normal"/>
        <w:spacing w:lineRule="auto" w:line="259" w:before="0" w:after="2"/>
        <w:ind w:left="16" w:hanging="0"/>
        <w:jc w:val="left"/>
        <w:rPr/>
      </w:pPr>
      <w:r>
        <w:rPr/>
        <w:t xml:space="preserve">   </w:t>
      </w:r>
    </w:p>
    <w:p>
      <w:pPr>
        <w:pStyle w:val="Normal"/>
        <w:spacing w:lineRule="auto" w:line="259" w:before="0" w:after="1"/>
        <w:ind w:left="-5" w:hanging="10"/>
        <w:jc w:val="left"/>
        <w:rPr/>
      </w:pPr>
      <w:r>
        <w:rPr/>
        <w:t xml:space="preserve">3. </w:t>
      </w:r>
      <w:r>
        <w:rPr>
          <w:u w:val="single" w:color="000000"/>
        </w:rPr>
        <w:t>Priemerný prepočítaný počet zamestnancov</w:t>
      </w:r>
      <w:r>
        <w:rPr/>
        <w:t xml:space="preserve">:   </w:t>
      </w:r>
    </w:p>
    <w:p>
      <w:pPr>
        <w:pStyle w:val="Normal"/>
        <w:spacing w:lineRule="auto" w:line="259" w:before="0" w:after="0"/>
        <w:ind w:left="16" w:hanging="0"/>
        <w:jc w:val="left"/>
        <w:rPr/>
      </w:pPr>
      <w:r>
        <w:rPr/>
        <w:t xml:space="preserve">   </w:t>
      </w:r>
    </w:p>
    <w:tbl>
      <w:tblPr>
        <w:tblStyle w:val="7"/>
        <w:tblW w:w="9699" w:type="dxa"/>
        <w:jc w:val="left"/>
        <w:tblInd w:w="-146" w:type="dxa"/>
        <w:tblLayout w:type="fixed"/>
        <w:tblCellMar>
          <w:top w:w="122" w:type="dxa"/>
          <w:left w:w="78" w:type="dxa"/>
          <w:bottom w:w="0" w:type="dxa"/>
          <w:right w:w="52" w:type="dxa"/>
        </w:tblCellMar>
      </w:tblPr>
      <w:tblGrid>
        <w:gridCol w:w="4217"/>
        <w:gridCol w:w="2132"/>
        <w:gridCol w:w="3350"/>
      </w:tblGrid>
      <w:tr>
        <w:trPr>
          <w:trHeight w:val="976" w:hRule="atLeast"/>
        </w:trPr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59" w:before="0" w:after="0"/>
              <w:ind w:left="0" w:right="138" w:hanging="0"/>
              <w:jc w:val="center"/>
              <w:rPr>
                <w:kern w:val="0"/>
              </w:rPr>
            </w:pPr>
            <w:r>
              <w:rPr>
                <w:b/>
                <w:kern w:val="0"/>
              </w:rPr>
              <w:t xml:space="preserve">Názov </w:t>
            </w:r>
            <w:r>
              <w:rPr>
                <w:kern w:val="0"/>
              </w:rPr>
              <w:t xml:space="preserve">  </w:t>
            </w:r>
          </w:p>
        </w:tc>
        <w:tc>
          <w:tcPr>
            <w:tcW w:w="2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59" w:before="0" w:after="0"/>
              <w:ind w:left="528" w:hanging="344"/>
              <w:jc w:val="left"/>
              <w:rPr>
                <w:kern w:val="0"/>
              </w:rPr>
            </w:pPr>
            <w:r>
              <w:rPr>
                <w:b/>
                <w:kern w:val="0"/>
              </w:rPr>
              <w:t xml:space="preserve">Bežné účtovné obdobie </w:t>
            </w:r>
            <w:r>
              <w:rPr>
                <w:kern w:val="0"/>
              </w:rPr>
              <w:t xml:space="preserve">  </w:t>
            </w:r>
          </w:p>
        </w:tc>
        <w:tc>
          <w:tcPr>
            <w:tcW w:w="3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52" w:before="0" w:after="8"/>
              <w:ind w:left="276" w:firstLine="524"/>
              <w:jc w:val="left"/>
              <w:rPr>
                <w:kern w:val="0"/>
              </w:rPr>
            </w:pPr>
            <w:r>
              <w:rPr>
                <w:b/>
                <w:kern w:val="0"/>
              </w:rPr>
              <w:t xml:space="preserve">Bezprostredne predchádzajúce účtovné </w:t>
            </w:r>
            <w:r>
              <w:rPr>
                <w:kern w:val="0"/>
              </w:rPr>
              <w:t xml:space="preserve">  </w:t>
            </w:r>
          </w:p>
          <w:p>
            <w:pPr>
              <w:pStyle w:val="Normal"/>
              <w:widowControl/>
              <w:spacing w:lineRule="auto" w:line="259" w:before="0" w:after="0"/>
              <w:ind w:left="0" w:right="76" w:hanging="0"/>
              <w:jc w:val="center"/>
              <w:rPr>
                <w:kern w:val="0"/>
              </w:rPr>
            </w:pPr>
            <w:r>
              <w:rPr>
                <w:b/>
                <w:kern w:val="0"/>
              </w:rPr>
              <w:t>obdobie</w:t>
            </w:r>
            <w:r>
              <w:rPr>
                <w:kern w:val="0"/>
              </w:rPr>
              <w:t xml:space="preserve">   </w:t>
            </w:r>
          </w:p>
        </w:tc>
      </w:tr>
      <w:tr>
        <w:trPr>
          <w:trHeight w:val="689" w:hRule="atLeast"/>
        </w:trPr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59" w:before="0" w:after="0"/>
              <w:ind w:left="0" w:hanging="0"/>
              <w:rPr>
                <w:kern w:val="0"/>
              </w:rPr>
            </w:pPr>
            <w:r>
              <w:rPr>
                <w:kern w:val="0"/>
              </w:rPr>
              <w:t xml:space="preserve">Priemerný prepočítaný počet zamestnancov   </w:t>
            </w:r>
          </w:p>
        </w:tc>
        <w:tc>
          <w:tcPr>
            <w:tcW w:w="2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59" w:before="0" w:after="0"/>
              <w:ind w:left="4" w:hanging="0"/>
              <w:jc w:val="left"/>
              <w:rPr>
                <w:lang w:val="sk-SK"/>
              </w:rPr>
            </w:pPr>
            <w:r>
              <w:rPr>
                <w:kern w:val="0"/>
                <w:lang w:val="sk-SK"/>
              </w:rPr>
              <w:t>0</w:t>
            </w:r>
          </w:p>
        </w:tc>
        <w:tc>
          <w:tcPr>
            <w:tcW w:w="3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59" w:before="0" w:after="0"/>
              <w:ind w:left="4" w:hanging="0"/>
              <w:jc w:val="left"/>
              <w:rPr>
                <w:lang w:val="sk-SK"/>
              </w:rPr>
            </w:pPr>
            <w:r>
              <w:rPr>
                <w:kern w:val="0"/>
                <w:lang w:val="sk-SK"/>
              </w:rPr>
              <w:t>0</w:t>
            </w:r>
          </w:p>
        </w:tc>
      </w:tr>
    </w:tbl>
    <w:p>
      <w:pPr>
        <w:pStyle w:val="Normal"/>
        <w:spacing w:lineRule="auto" w:line="259" w:before="0" w:after="0"/>
        <w:ind w:left="16" w:hanging="0"/>
        <w:jc w:val="left"/>
        <w:rPr/>
      </w:pPr>
      <w:r>
        <w:rPr/>
        <w:t xml:space="preserve">   </w:t>
      </w:r>
    </w:p>
    <w:p>
      <w:pPr>
        <w:pStyle w:val="Normal"/>
        <w:spacing w:lineRule="auto" w:line="259" w:before="0" w:after="73"/>
        <w:ind w:left="16" w:hanging="0"/>
        <w:jc w:val="left"/>
        <w:rPr/>
      </w:pPr>
      <w:r>
        <w:rPr/>
        <w:t xml:space="preserve">   </w:t>
      </w:r>
    </w:p>
    <w:p>
      <w:pPr>
        <w:pStyle w:val="Nadpis1"/>
        <w:ind w:left="10" w:right="829" w:hanging="10"/>
        <w:rPr/>
      </w:pPr>
      <w:r>
        <w:rPr/>
        <w:t>Článok II</w:t>
      </w:r>
      <w:r>
        <w:rPr>
          <w:sz w:val="24"/>
        </w:rPr>
        <w:t xml:space="preserve"> </w:t>
      </w:r>
      <w:r>
        <w:rPr/>
        <w:t xml:space="preserve"> Informácie o prijatých postupoch</w:t>
      </w:r>
      <w:r>
        <w:rPr>
          <w:b w:val="false"/>
        </w:rPr>
        <w:t xml:space="preserve">  </w:t>
      </w:r>
      <w:r>
        <w:rPr/>
        <w:t xml:space="preserve"> </w:t>
      </w:r>
    </w:p>
    <w:p>
      <w:pPr>
        <w:pStyle w:val="Normal"/>
        <w:spacing w:lineRule="auto" w:line="259" w:before="0" w:after="52"/>
        <w:ind w:left="16" w:hanging="0"/>
        <w:jc w:val="left"/>
        <w:rPr/>
      </w:pPr>
      <w:r>
        <w:rPr/>
        <w:t xml:space="preserve">   </w:t>
      </w:r>
    </w:p>
    <w:p>
      <w:pPr>
        <w:pStyle w:val="Normal"/>
        <w:numPr>
          <w:ilvl w:val="0"/>
          <w:numId w:val="2"/>
        </w:numPr>
        <w:ind w:left="720" w:right="67" w:hanging="720"/>
        <w:rPr/>
      </w:pPr>
      <w:r>
        <w:rPr/>
        <w:t xml:space="preserve">Informácia, či je účtovná závierka zostavená za splnenia predpokladu, že účtovná  jednotka bude </w:t>
      </w:r>
      <w:r>
        <w:rPr>
          <w:u w:val="single" w:color="000000"/>
        </w:rPr>
        <w:t>nepretržite pokračovať</w:t>
      </w:r>
      <w:r>
        <w:rPr/>
        <w:t xml:space="preserve">  vo svojej činnosti: </w:t>
      </w:r>
      <w:r>
        <w:rPr>
          <w:b/>
        </w:rPr>
        <w:t xml:space="preserve">         áno, predpokladá sa nepretržité pokračovanie </w:t>
      </w:r>
      <w:r>
        <w:rPr/>
        <w:t xml:space="preserve"> </w:t>
      </w:r>
      <w:r>
        <w:rPr>
          <w:b/>
        </w:rPr>
        <w:t>činnosti.</w:t>
      </w:r>
      <w:r>
        <w:rPr/>
        <w:t xml:space="preserve">   </w:t>
      </w:r>
    </w:p>
    <w:p>
      <w:pPr>
        <w:pStyle w:val="Normal"/>
        <w:spacing w:lineRule="auto" w:line="259" w:before="0" w:after="52"/>
        <w:ind w:left="16" w:hanging="0"/>
        <w:jc w:val="left"/>
        <w:rPr/>
      </w:pPr>
      <w:r>
        <w:rPr/>
        <w:t xml:space="preserve">   </w:t>
      </w:r>
    </w:p>
    <w:p>
      <w:pPr>
        <w:pStyle w:val="Normal"/>
        <w:numPr>
          <w:ilvl w:val="0"/>
          <w:numId w:val="2"/>
        </w:numPr>
        <w:ind w:left="720" w:right="67" w:hanging="720"/>
        <w:rPr/>
      </w:pPr>
      <w:r>
        <w:rPr>
          <w:u w:val="single" w:color="000000"/>
        </w:rPr>
        <w:t>Spôsob oceňovania</w:t>
      </w:r>
      <w:r>
        <w:rPr/>
        <w:t xml:space="preserve"> </w:t>
        <w:tab/>
        <w:t xml:space="preserve"> jednotlivých položiek majetku a záväzkov, a to:   </w:t>
      </w:r>
    </w:p>
    <w:p>
      <w:pPr>
        <w:pStyle w:val="Normal"/>
        <w:spacing w:lineRule="auto" w:line="259" w:before="0" w:after="0"/>
        <w:ind w:left="16" w:hanging="0"/>
        <w:jc w:val="left"/>
        <w:rPr/>
      </w:pPr>
      <w:r>
        <w:rPr/>
        <w:t xml:space="preserve">   </w:t>
      </w:r>
    </w:p>
    <w:tbl>
      <w:tblPr>
        <w:tblStyle w:val="7"/>
        <w:tblW w:w="9715" w:type="dxa"/>
        <w:jc w:val="left"/>
        <w:tblInd w:w="-146" w:type="dxa"/>
        <w:tblLayout w:type="fixed"/>
        <w:tblCellMar>
          <w:top w:w="123" w:type="dxa"/>
          <w:left w:w="78" w:type="dxa"/>
          <w:bottom w:w="0" w:type="dxa"/>
          <w:right w:w="115" w:type="dxa"/>
        </w:tblCellMar>
      </w:tblPr>
      <w:tblGrid>
        <w:gridCol w:w="4848"/>
        <w:gridCol w:w="4866"/>
      </w:tblGrid>
      <w:tr>
        <w:trPr>
          <w:trHeight w:val="432" w:hRule="atLeast"/>
        </w:trPr>
        <w:tc>
          <w:tcPr>
            <w:tcW w:w="4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59" w:before="0" w:after="0"/>
              <w:ind w:left="0" w:right="40" w:hanging="0"/>
              <w:jc w:val="center"/>
              <w:rPr>
                <w:kern w:val="0"/>
              </w:rPr>
            </w:pPr>
            <w:r>
              <w:rPr>
                <w:b/>
                <w:kern w:val="0"/>
              </w:rPr>
              <w:t xml:space="preserve">Názov položky </w:t>
            </w:r>
            <w:r>
              <w:rPr>
                <w:kern w:val="0"/>
              </w:rPr>
              <w:t xml:space="preserve">  </w:t>
            </w:r>
          </w:p>
        </w:tc>
        <w:tc>
          <w:tcPr>
            <w:tcW w:w="4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59" w:before="0" w:after="0"/>
              <w:ind w:left="0" w:right="73" w:hanging="0"/>
              <w:jc w:val="center"/>
              <w:rPr>
                <w:kern w:val="0"/>
              </w:rPr>
            </w:pPr>
            <w:r>
              <w:rPr>
                <w:b/>
                <w:kern w:val="0"/>
              </w:rPr>
              <w:t>Spôsob oceňovania</w:t>
            </w:r>
            <w:r>
              <w:rPr>
                <w:rFonts w:eastAsia="Times New Roman" w:cs="Times New Roman" w:ascii="Times New Roman" w:hAnsi="Times New Roman"/>
                <w:kern w:val="0"/>
                <w:sz w:val="24"/>
              </w:rPr>
              <w:t xml:space="preserve"> </w:t>
            </w:r>
            <w:r>
              <w:rPr>
                <w:kern w:val="0"/>
              </w:rPr>
              <w:t xml:space="preserve">  </w:t>
            </w:r>
          </w:p>
        </w:tc>
      </w:tr>
      <w:tr>
        <w:trPr>
          <w:trHeight w:val="433" w:hRule="atLeast"/>
        </w:trPr>
        <w:tc>
          <w:tcPr>
            <w:tcW w:w="4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59" w:before="0" w:after="0"/>
              <w:ind w:left="0" w:hanging="0"/>
              <w:jc w:val="left"/>
              <w:rPr>
                <w:kern w:val="0"/>
              </w:rPr>
            </w:pPr>
            <w:r>
              <w:rPr>
                <w:kern w:val="0"/>
              </w:rPr>
              <w:t xml:space="preserve">Dlhodobý nehmotný majetok:   </w:t>
            </w:r>
          </w:p>
        </w:tc>
        <w:tc>
          <w:tcPr>
            <w:tcW w:w="4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59" w:before="0" w:after="0"/>
              <w:ind w:left="0" w:hanging="0"/>
              <w:jc w:val="left"/>
              <w:rPr>
                <w:kern w:val="0"/>
              </w:rPr>
            </w:pPr>
            <w:r>
              <w:rPr>
                <w:kern w:val="0"/>
              </w:rPr>
              <w:t>Obstarávacia cena</w:t>
            </w:r>
            <w:r>
              <w:rPr>
                <w:rFonts w:eastAsia="Times New Roman" w:cs="Times New Roman" w:ascii="Times New Roman" w:hAnsi="Times New Roman"/>
                <w:kern w:val="0"/>
                <w:sz w:val="24"/>
              </w:rPr>
              <w:t xml:space="preserve"> </w:t>
            </w:r>
            <w:r>
              <w:rPr>
                <w:kern w:val="0"/>
              </w:rPr>
              <w:t xml:space="preserve">  </w:t>
            </w:r>
          </w:p>
        </w:tc>
      </w:tr>
      <w:tr>
        <w:trPr>
          <w:trHeight w:val="432" w:hRule="atLeast"/>
        </w:trPr>
        <w:tc>
          <w:tcPr>
            <w:tcW w:w="4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59" w:before="0" w:after="0"/>
              <w:ind w:left="0" w:hanging="0"/>
              <w:jc w:val="left"/>
              <w:rPr>
                <w:kern w:val="0"/>
              </w:rPr>
            </w:pPr>
            <w:r>
              <w:rPr>
                <w:kern w:val="0"/>
              </w:rPr>
              <w:t xml:space="preserve">Dlhodobý hmotný majetok:   </w:t>
            </w:r>
          </w:p>
        </w:tc>
        <w:tc>
          <w:tcPr>
            <w:tcW w:w="4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59" w:before="0" w:after="0"/>
              <w:ind w:left="0" w:hanging="0"/>
              <w:jc w:val="left"/>
              <w:rPr>
                <w:kern w:val="0"/>
              </w:rPr>
            </w:pPr>
            <w:r>
              <w:rPr>
                <w:kern w:val="0"/>
              </w:rPr>
              <w:t>Obstarávacia cena</w:t>
            </w:r>
            <w:r>
              <w:rPr>
                <w:rFonts w:eastAsia="Times New Roman" w:cs="Times New Roman" w:ascii="Times New Roman" w:hAnsi="Times New Roman"/>
                <w:kern w:val="0"/>
                <w:sz w:val="24"/>
              </w:rPr>
              <w:t xml:space="preserve"> </w:t>
            </w:r>
            <w:r>
              <w:rPr>
                <w:kern w:val="0"/>
              </w:rPr>
              <w:t xml:space="preserve">  </w:t>
            </w:r>
          </w:p>
        </w:tc>
      </w:tr>
      <w:tr>
        <w:trPr>
          <w:trHeight w:val="432" w:hRule="atLeast"/>
        </w:trPr>
        <w:tc>
          <w:tcPr>
            <w:tcW w:w="4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59" w:before="0" w:after="0"/>
              <w:ind w:left="0" w:hanging="0"/>
              <w:jc w:val="left"/>
              <w:rPr>
                <w:kern w:val="0"/>
              </w:rPr>
            </w:pPr>
            <w:r>
              <w:rPr>
                <w:kern w:val="0"/>
              </w:rPr>
              <w:t xml:space="preserve">Dlhodobý finančný majetok:   </w:t>
            </w:r>
          </w:p>
        </w:tc>
        <w:tc>
          <w:tcPr>
            <w:tcW w:w="4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59" w:before="0" w:after="0"/>
              <w:ind w:left="0" w:hanging="0"/>
              <w:jc w:val="left"/>
              <w:rPr>
                <w:kern w:val="0"/>
              </w:rPr>
            </w:pPr>
            <w:r>
              <w:rPr>
                <w:kern w:val="0"/>
              </w:rPr>
              <w:t>Obstarávacia cena</w:t>
            </w:r>
            <w:r>
              <w:rPr>
                <w:rFonts w:eastAsia="Times New Roman" w:cs="Times New Roman" w:ascii="Times New Roman" w:hAnsi="Times New Roman"/>
                <w:kern w:val="0"/>
                <w:sz w:val="24"/>
              </w:rPr>
              <w:t xml:space="preserve"> </w:t>
            </w:r>
            <w:r>
              <w:rPr>
                <w:kern w:val="0"/>
              </w:rPr>
              <w:t xml:space="preserve">  </w:t>
            </w:r>
          </w:p>
        </w:tc>
      </w:tr>
      <w:tr>
        <w:trPr>
          <w:trHeight w:val="436" w:hRule="atLeast"/>
        </w:trPr>
        <w:tc>
          <w:tcPr>
            <w:tcW w:w="4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59" w:before="0" w:after="0"/>
              <w:ind w:left="0" w:hanging="0"/>
              <w:jc w:val="left"/>
              <w:rPr>
                <w:kern w:val="0"/>
              </w:rPr>
            </w:pPr>
            <w:r>
              <w:rPr>
                <w:kern w:val="0"/>
              </w:rPr>
              <w:t xml:space="preserve">Zásoby obstarané kúpou:   </w:t>
            </w:r>
          </w:p>
        </w:tc>
        <w:tc>
          <w:tcPr>
            <w:tcW w:w="4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59" w:before="0" w:after="0"/>
              <w:ind w:left="0" w:hanging="0"/>
              <w:jc w:val="left"/>
              <w:rPr>
                <w:kern w:val="0"/>
              </w:rPr>
            </w:pPr>
            <w:r>
              <w:rPr>
                <w:kern w:val="0"/>
              </w:rPr>
              <w:t>Obstarávacia cena</w:t>
            </w:r>
            <w:r>
              <w:rPr>
                <w:rFonts w:eastAsia="Times New Roman" w:cs="Times New Roman" w:ascii="Times New Roman" w:hAnsi="Times New Roman"/>
                <w:kern w:val="0"/>
                <w:sz w:val="24"/>
              </w:rPr>
              <w:t xml:space="preserve"> </w:t>
            </w:r>
            <w:r>
              <w:rPr>
                <w:kern w:val="0"/>
              </w:rPr>
              <w:t xml:space="preserve">  </w:t>
            </w:r>
          </w:p>
        </w:tc>
      </w:tr>
      <w:tr>
        <w:trPr>
          <w:trHeight w:val="432" w:hRule="atLeast"/>
        </w:trPr>
        <w:tc>
          <w:tcPr>
            <w:tcW w:w="4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59" w:before="0" w:after="0"/>
              <w:ind w:left="0" w:hanging="0"/>
              <w:jc w:val="left"/>
              <w:rPr>
                <w:kern w:val="0"/>
              </w:rPr>
            </w:pPr>
            <w:r>
              <w:rPr>
                <w:kern w:val="0"/>
              </w:rPr>
              <w:t xml:space="preserve">Zásoby vytvorené vlastnou činnosťou:   </w:t>
            </w:r>
          </w:p>
        </w:tc>
        <w:tc>
          <w:tcPr>
            <w:tcW w:w="4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59" w:before="0" w:after="0"/>
              <w:ind w:left="0" w:hanging="0"/>
              <w:jc w:val="left"/>
              <w:rPr>
                <w:kern w:val="0"/>
              </w:rPr>
            </w:pPr>
            <w:r>
              <w:rPr>
                <w:kern w:val="0"/>
              </w:rPr>
              <w:t>Vlastné náklady</w:t>
            </w:r>
            <w:r>
              <w:rPr>
                <w:rFonts w:eastAsia="Times New Roman" w:cs="Times New Roman" w:ascii="Times New Roman" w:hAnsi="Times New Roman"/>
                <w:kern w:val="0"/>
                <w:sz w:val="24"/>
              </w:rPr>
              <w:t xml:space="preserve"> </w:t>
            </w:r>
            <w:r>
              <w:rPr>
                <w:kern w:val="0"/>
              </w:rPr>
              <w:t xml:space="preserve">  </w:t>
            </w:r>
          </w:p>
        </w:tc>
      </w:tr>
      <w:tr>
        <w:trPr>
          <w:trHeight w:val="432" w:hRule="atLeast"/>
        </w:trPr>
        <w:tc>
          <w:tcPr>
            <w:tcW w:w="4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59" w:before="0" w:after="0"/>
              <w:ind w:left="0" w:hanging="0"/>
              <w:jc w:val="left"/>
              <w:rPr>
                <w:kern w:val="0"/>
              </w:rPr>
            </w:pPr>
            <w:r>
              <w:rPr>
                <w:kern w:val="0"/>
              </w:rPr>
              <w:t xml:space="preserve">Vlastné pohľadávky:   </w:t>
            </w:r>
          </w:p>
        </w:tc>
        <w:tc>
          <w:tcPr>
            <w:tcW w:w="4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59" w:before="0" w:after="0"/>
              <w:ind w:left="0" w:hanging="0"/>
              <w:jc w:val="left"/>
              <w:rPr>
                <w:kern w:val="0"/>
              </w:rPr>
            </w:pPr>
            <w:r>
              <w:rPr>
                <w:kern w:val="0"/>
              </w:rPr>
              <w:t>Menovitá hodnota</w:t>
            </w:r>
            <w:r>
              <w:rPr>
                <w:rFonts w:eastAsia="Times New Roman" w:cs="Times New Roman" w:ascii="Times New Roman" w:hAnsi="Times New Roman"/>
                <w:kern w:val="0"/>
                <w:sz w:val="24"/>
              </w:rPr>
              <w:t xml:space="preserve"> </w:t>
            </w:r>
            <w:r>
              <w:rPr>
                <w:kern w:val="0"/>
              </w:rPr>
              <w:t xml:space="preserve">  </w:t>
            </w:r>
          </w:p>
        </w:tc>
      </w:tr>
      <w:tr>
        <w:trPr>
          <w:trHeight w:val="432" w:hRule="atLeast"/>
        </w:trPr>
        <w:tc>
          <w:tcPr>
            <w:tcW w:w="4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59" w:before="0" w:after="0"/>
              <w:ind w:left="0" w:hanging="0"/>
              <w:jc w:val="left"/>
              <w:rPr>
                <w:kern w:val="0"/>
              </w:rPr>
            </w:pPr>
            <w:r>
              <w:rPr>
                <w:kern w:val="0"/>
              </w:rPr>
              <w:t xml:space="preserve">Kúpené pohľadávky:   </w:t>
            </w:r>
          </w:p>
        </w:tc>
        <w:tc>
          <w:tcPr>
            <w:tcW w:w="4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59" w:before="0" w:after="0"/>
              <w:ind w:left="0" w:hanging="0"/>
              <w:jc w:val="left"/>
              <w:rPr>
                <w:kern w:val="0"/>
              </w:rPr>
            </w:pPr>
            <w:r>
              <w:rPr>
                <w:kern w:val="0"/>
              </w:rPr>
              <w:t>Obstarávacia cena</w:t>
            </w:r>
            <w:r>
              <w:rPr>
                <w:rFonts w:eastAsia="Times New Roman" w:cs="Times New Roman" w:ascii="Times New Roman" w:hAnsi="Times New Roman"/>
                <w:kern w:val="0"/>
                <w:sz w:val="24"/>
              </w:rPr>
              <w:t xml:space="preserve"> </w:t>
            </w:r>
            <w:r>
              <w:rPr>
                <w:kern w:val="0"/>
              </w:rPr>
              <w:t xml:space="preserve">  </w:t>
            </w:r>
          </w:p>
        </w:tc>
      </w:tr>
      <w:tr>
        <w:trPr>
          <w:trHeight w:val="433" w:hRule="atLeast"/>
        </w:trPr>
        <w:tc>
          <w:tcPr>
            <w:tcW w:w="4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59" w:before="0" w:after="0"/>
              <w:ind w:left="0" w:hanging="0"/>
              <w:jc w:val="left"/>
              <w:rPr>
                <w:kern w:val="0"/>
              </w:rPr>
            </w:pPr>
            <w:r>
              <w:rPr>
                <w:kern w:val="0"/>
              </w:rPr>
              <w:t xml:space="preserve">Krátkodobý finančný majetok:   </w:t>
            </w:r>
          </w:p>
        </w:tc>
        <w:tc>
          <w:tcPr>
            <w:tcW w:w="4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59" w:before="0" w:after="0"/>
              <w:ind w:left="0" w:hanging="0"/>
              <w:jc w:val="left"/>
              <w:rPr>
                <w:kern w:val="0"/>
              </w:rPr>
            </w:pPr>
            <w:r>
              <w:rPr>
                <w:kern w:val="0"/>
              </w:rPr>
              <w:t>Obstarávacia cena</w:t>
            </w:r>
            <w:r>
              <w:rPr>
                <w:rFonts w:eastAsia="Times New Roman" w:cs="Times New Roman" w:ascii="Times New Roman" w:hAnsi="Times New Roman"/>
                <w:kern w:val="0"/>
                <w:sz w:val="24"/>
              </w:rPr>
              <w:t xml:space="preserve"> </w:t>
            </w:r>
            <w:r>
              <w:rPr>
                <w:kern w:val="0"/>
              </w:rPr>
              <w:t xml:space="preserve">  </w:t>
            </w:r>
          </w:p>
        </w:tc>
      </w:tr>
      <w:tr>
        <w:trPr>
          <w:trHeight w:val="432" w:hRule="atLeast"/>
        </w:trPr>
        <w:tc>
          <w:tcPr>
            <w:tcW w:w="4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59" w:before="0" w:after="0"/>
              <w:ind w:left="0" w:hanging="0"/>
              <w:jc w:val="left"/>
              <w:rPr>
                <w:kern w:val="0"/>
              </w:rPr>
            </w:pPr>
            <w:r>
              <w:rPr>
                <w:kern w:val="0"/>
              </w:rPr>
              <w:t xml:space="preserve">Záväzky vrátane rezerv:   </w:t>
            </w:r>
          </w:p>
        </w:tc>
        <w:tc>
          <w:tcPr>
            <w:tcW w:w="4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59" w:before="0" w:after="0"/>
              <w:ind w:left="0" w:hanging="0"/>
              <w:jc w:val="left"/>
              <w:rPr>
                <w:kern w:val="0"/>
              </w:rPr>
            </w:pPr>
            <w:r>
              <w:rPr>
                <w:kern w:val="0"/>
              </w:rPr>
              <w:t>Menovitá hodnota</w:t>
            </w:r>
            <w:r>
              <w:rPr>
                <w:rFonts w:eastAsia="Times New Roman" w:cs="Times New Roman" w:ascii="Times New Roman" w:hAnsi="Times New Roman"/>
                <w:kern w:val="0"/>
                <w:sz w:val="24"/>
              </w:rPr>
              <w:t xml:space="preserve"> </w:t>
            </w:r>
            <w:r>
              <w:rPr>
                <w:kern w:val="0"/>
              </w:rPr>
              <w:t xml:space="preserve">  </w:t>
            </w:r>
          </w:p>
        </w:tc>
      </w:tr>
      <w:tr>
        <w:trPr>
          <w:trHeight w:val="432" w:hRule="atLeast"/>
        </w:trPr>
        <w:tc>
          <w:tcPr>
            <w:tcW w:w="4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59" w:before="0" w:after="0"/>
              <w:ind w:left="0" w:hanging="0"/>
              <w:jc w:val="left"/>
              <w:rPr>
                <w:kern w:val="0"/>
              </w:rPr>
            </w:pPr>
            <w:r>
              <w:rPr>
                <w:kern w:val="0"/>
              </w:rPr>
              <w:t xml:space="preserve">Dlhopisy:   </w:t>
            </w:r>
          </w:p>
        </w:tc>
        <w:tc>
          <w:tcPr>
            <w:tcW w:w="4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59" w:before="0" w:after="0"/>
              <w:ind w:left="0" w:hanging="0"/>
              <w:jc w:val="left"/>
              <w:rPr>
                <w:kern w:val="0"/>
              </w:rPr>
            </w:pPr>
            <w:r>
              <w:rPr>
                <w:kern w:val="0"/>
              </w:rPr>
              <w:t>Menovitá hodnota</w:t>
            </w:r>
            <w:r>
              <w:rPr>
                <w:rFonts w:eastAsia="Times New Roman" w:cs="Times New Roman" w:ascii="Times New Roman" w:hAnsi="Times New Roman"/>
                <w:kern w:val="0"/>
                <w:sz w:val="24"/>
              </w:rPr>
              <w:t xml:space="preserve"> </w:t>
            </w:r>
            <w:r>
              <w:rPr>
                <w:kern w:val="0"/>
              </w:rPr>
              <w:t xml:space="preserve">  </w:t>
            </w:r>
          </w:p>
        </w:tc>
      </w:tr>
      <w:tr>
        <w:trPr>
          <w:trHeight w:val="432" w:hRule="atLeast"/>
        </w:trPr>
        <w:tc>
          <w:tcPr>
            <w:tcW w:w="4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59" w:before="0" w:after="0"/>
              <w:ind w:left="0" w:hanging="0"/>
              <w:jc w:val="left"/>
              <w:rPr>
                <w:kern w:val="0"/>
              </w:rPr>
            </w:pPr>
            <w:r>
              <w:rPr>
                <w:kern w:val="0"/>
              </w:rPr>
              <w:t xml:space="preserve">Pôžičky a úvery:   </w:t>
            </w:r>
          </w:p>
        </w:tc>
        <w:tc>
          <w:tcPr>
            <w:tcW w:w="4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59" w:before="0" w:after="0"/>
              <w:ind w:left="0" w:hanging="0"/>
              <w:jc w:val="left"/>
              <w:rPr>
                <w:kern w:val="0"/>
              </w:rPr>
            </w:pPr>
            <w:r>
              <w:rPr>
                <w:kern w:val="0"/>
              </w:rPr>
              <w:t>Menovitá hodnota</w:t>
            </w:r>
            <w:r>
              <w:rPr>
                <w:rFonts w:eastAsia="Times New Roman" w:cs="Times New Roman" w:ascii="Times New Roman" w:hAnsi="Times New Roman"/>
                <w:kern w:val="0"/>
                <w:sz w:val="24"/>
              </w:rPr>
              <w:t xml:space="preserve"> </w:t>
            </w:r>
            <w:r>
              <w:rPr>
                <w:kern w:val="0"/>
              </w:rPr>
              <w:t xml:space="preserve">  </w:t>
            </w:r>
          </w:p>
        </w:tc>
      </w:tr>
      <w:tr>
        <w:trPr>
          <w:trHeight w:val="436" w:hRule="atLeast"/>
        </w:trPr>
        <w:tc>
          <w:tcPr>
            <w:tcW w:w="4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59" w:before="0" w:after="0"/>
              <w:ind w:left="0" w:hanging="0"/>
              <w:jc w:val="left"/>
              <w:rPr>
                <w:kern w:val="0"/>
              </w:rPr>
            </w:pPr>
            <w:r>
              <w:rPr>
                <w:kern w:val="0"/>
              </w:rPr>
              <w:t xml:space="preserve">Derivátové operácie:   </w:t>
            </w:r>
          </w:p>
        </w:tc>
        <w:tc>
          <w:tcPr>
            <w:tcW w:w="4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/>
              <w:spacing w:lineRule="auto" w:line="259" w:before="0" w:after="0"/>
              <w:ind w:left="0" w:hanging="0"/>
              <w:jc w:val="left"/>
              <w:rPr>
                <w:kern w:val="0"/>
              </w:rPr>
            </w:pPr>
            <w:r>
              <w:rPr>
                <w:kern w:val="0"/>
              </w:rPr>
              <w:t>Menovitá hodnota</w:t>
            </w:r>
            <w:r>
              <w:rPr>
                <w:rFonts w:eastAsia="Times New Roman" w:cs="Times New Roman" w:ascii="Times New Roman" w:hAnsi="Times New Roman"/>
                <w:kern w:val="0"/>
                <w:sz w:val="24"/>
              </w:rPr>
              <w:t xml:space="preserve"> </w:t>
            </w:r>
            <w:r>
              <w:rPr>
                <w:kern w:val="0"/>
              </w:rPr>
              <w:t xml:space="preserve">  </w:t>
            </w:r>
          </w:p>
        </w:tc>
      </w:tr>
    </w:tbl>
    <w:p>
      <w:pPr>
        <w:pStyle w:val="Normal"/>
        <w:spacing w:lineRule="auto" w:line="259" w:before="0" w:after="0"/>
        <w:ind w:left="16" w:hanging="0"/>
        <w:jc w:val="left"/>
        <w:rPr/>
      </w:pPr>
      <w:r>
        <w:rPr/>
        <w:t xml:space="preserve">   </w:t>
      </w:r>
    </w:p>
    <w:p>
      <w:pPr>
        <w:pStyle w:val="Normal"/>
        <w:spacing w:lineRule="auto" w:line="259" w:before="0" w:after="52"/>
        <w:ind w:left="16" w:hanging="0"/>
        <w:jc w:val="left"/>
        <w:rPr/>
      </w:pPr>
      <w:r>
        <w:rPr/>
        <w:t xml:space="preserve">   </w:t>
      </w:r>
    </w:p>
    <w:p>
      <w:pPr>
        <w:pStyle w:val="Normal"/>
        <w:numPr>
          <w:ilvl w:val="0"/>
          <w:numId w:val="2"/>
        </w:numPr>
        <w:ind w:left="720" w:right="67" w:hanging="720"/>
        <w:rPr/>
      </w:pPr>
      <w:r>
        <w:rPr/>
        <w:t xml:space="preserve">Spôsob zostavenia </w:t>
      </w:r>
      <w:r>
        <w:rPr>
          <w:u w:val="single" w:color="000000"/>
        </w:rPr>
        <w:t>odpisového</w:t>
      </w:r>
      <w:r>
        <w:rPr/>
        <w:t xml:space="preserve"> </w:t>
      </w:r>
      <w:r>
        <w:rPr>
          <w:u w:val="single" w:color="000000"/>
        </w:rPr>
        <w:t>plánu</w:t>
      </w:r>
      <w:r>
        <w:rPr/>
        <w:t xml:space="preserve"> pre jednotlivé druhy dlhodobého hmotného majetku a dlhodobého nehmotného majetku, pričom sa uvádza doba odpisovania, použité sadzby odpisov a odpisové metódy pri určení odpisov:</w:t>
      </w:r>
      <w:r>
        <w:rPr>
          <w:b/>
        </w:rPr>
        <w:t xml:space="preserve"> </w:t>
      </w:r>
      <w:r>
        <w:rPr/>
        <w:t xml:space="preserve">  </w:t>
      </w:r>
    </w:p>
    <w:p>
      <w:pPr>
        <w:pStyle w:val="Normal"/>
        <w:spacing w:lineRule="auto" w:line="259" w:before="0" w:after="0"/>
        <w:ind w:left="-5" w:hanging="10"/>
        <w:jc w:val="left"/>
        <w:rPr/>
      </w:pPr>
      <w:r>
        <w:rPr>
          <w:b/>
        </w:rPr>
        <w:t xml:space="preserve">     </w:t>
      </w:r>
      <w:r>
        <w:rPr>
          <w:b/>
        </w:rPr>
        <w:t>Odpisuje sa sadzbami rovnakými ako daňové odpisy určené zákonom o dani z príjmov.</w:t>
      </w:r>
      <w:r>
        <w:rPr/>
        <w:t xml:space="preserve">   </w:t>
      </w:r>
    </w:p>
    <w:p>
      <w:pPr>
        <w:pStyle w:val="Normal"/>
        <w:spacing w:lineRule="auto" w:line="259" w:before="0" w:after="52"/>
        <w:ind w:left="16" w:hanging="0"/>
        <w:jc w:val="left"/>
        <w:rPr/>
      </w:pPr>
      <w:r>
        <w:rPr/>
        <w:t xml:space="preserve">   </w:t>
      </w:r>
    </w:p>
    <w:p>
      <w:pPr>
        <w:pStyle w:val="Normal"/>
        <w:numPr>
          <w:ilvl w:val="0"/>
          <w:numId w:val="2"/>
        </w:numPr>
        <w:spacing w:before="0" w:after="53"/>
        <w:ind w:left="720" w:right="67" w:hanging="720"/>
        <w:rPr/>
      </w:pPr>
      <w:r>
        <w:rPr>
          <w:u w:val="single" w:color="000000"/>
        </w:rPr>
        <w:t>Zmeny</w:t>
      </w:r>
      <w:r>
        <w:rPr/>
        <w:t xml:space="preserve"> </w:t>
      </w:r>
      <w:r>
        <w:rPr>
          <w:u w:val="single" w:color="000000"/>
        </w:rPr>
        <w:t>účtovných</w:t>
      </w:r>
      <w:r>
        <w:rPr/>
        <w:t xml:space="preserve"> </w:t>
      </w:r>
      <w:r>
        <w:rPr>
          <w:u w:val="single" w:color="000000"/>
        </w:rPr>
        <w:t>zásad a</w:t>
      </w:r>
      <w:r>
        <w:rPr/>
        <w:t xml:space="preserve"> </w:t>
      </w:r>
      <w:r>
        <w:rPr>
          <w:u w:val="single" w:color="000000"/>
        </w:rPr>
        <w:t>zmeny</w:t>
      </w:r>
      <w:r>
        <w:rPr/>
        <w:t xml:space="preserve"> </w:t>
      </w:r>
      <w:r>
        <w:rPr>
          <w:u w:val="single" w:color="000000"/>
        </w:rPr>
        <w:t>účtovných</w:t>
      </w:r>
      <w:r>
        <w:rPr/>
        <w:t xml:space="preserve"> </w:t>
      </w:r>
      <w:r>
        <w:rPr>
          <w:u w:val="single" w:color="000000"/>
        </w:rPr>
        <w:t>metód</w:t>
      </w:r>
      <w:r>
        <w:rPr/>
        <w:t xml:space="preserve"> s uvedením dôvodu týchto zmien a vyčíslením ich vplyvu na finančnú hodnotu majetku, záväzkov, základného imania a výsledku hospodárenia účtovnej jednotky:</w:t>
      </w:r>
      <w:r>
        <w:rPr>
          <w:b/>
        </w:rPr>
        <w:t xml:space="preserve">             nie sú</w:t>
      </w:r>
      <w:r>
        <w:rPr/>
        <w:t xml:space="preserve">   </w:t>
      </w:r>
    </w:p>
    <w:p>
      <w:pPr>
        <w:pStyle w:val="Normal"/>
        <w:numPr>
          <w:ilvl w:val="0"/>
          <w:numId w:val="2"/>
        </w:numPr>
        <w:ind w:left="720" w:right="67" w:hanging="720"/>
        <w:rPr/>
      </w:pPr>
      <w:r>
        <w:rPr>
          <w:u w:val="single" w:color="000000"/>
        </w:rPr>
        <w:t>Informácie o dotáciách</w:t>
      </w:r>
      <w:r>
        <w:rPr/>
        <w:t xml:space="preserve">  a ich oceňovanie v účtovníctve:   </w:t>
        <w:tab/>
      </w:r>
      <w:r>
        <w:rPr>
          <w:b/>
        </w:rPr>
        <w:t>- dotácie nie sú</w:t>
      </w:r>
      <w:r>
        <w:rPr/>
        <w:t xml:space="preserve">   </w:t>
      </w:r>
    </w:p>
    <w:p>
      <w:pPr>
        <w:pStyle w:val="Normal"/>
        <w:spacing w:lineRule="auto" w:line="259" w:before="0" w:after="52"/>
        <w:ind w:left="16" w:hanging="0"/>
        <w:jc w:val="left"/>
        <w:rPr/>
      </w:pPr>
      <w:r>
        <w:rPr/>
        <w:t xml:space="preserve">   </w:t>
      </w:r>
    </w:p>
    <w:p>
      <w:pPr>
        <w:pStyle w:val="Normal"/>
        <w:numPr>
          <w:ilvl w:val="0"/>
          <w:numId w:val="2"/>
        </w:numPr>
        <w:ind w:left="720" w:right="67" w:hanging="720"/>
        <w:rPr/>
      </w:pPr>
      <w:r>
        <w:rPr/>
        <w:t xml:space="preserve">Informácie o účtovaní </w:t>
      </w:r>
      <w:r>
        <w:rPr>
          <w:u w:val="single" w:color="000000"/>
        </w:rPr>
        <w:t>významných</w:t>
      </w:r>
      <w:r>
        <w:rPr/>
        <w:t xml:space="preserve">  </w:t>
      </w:r>
      <w:r>
        <w:rPr>
          <w:u w:val="single" w:color="000000"/>
        </w:rPr>
        <w:t>opráv</w:t>
      </w:r>
      <w:r>
        <w:rPr/>
        <w:t xml:space="preserve"> </w:t>
      </w:r>
      <w:r>
        <w:rPr>
          <w:u w:val="single" w:color="000000"/>
        </w:rPr>
        <w:t>chýb</w:t>
      </w:r>
      <w:r>
        <w:rPr/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  <w:r>
        <w:rPr>
          <w:b/>
        </w:rPr>
        <w:t>-  neboli vykonané významné opravy chýb</w:t>
      </w:r>
      <w:r>
        <w:rPr>
          <w:sz w:val="24"/>
        </w:rPr>
        <w:t xml:space="preserve"> </w:t>
      </w:r>
      <w:r>
        <w:rPr/>
        <w:t xml:space="preserve">  </w:t>
      </w:r>
    </w:p>
    <w:p>
      <w:pPr>
        <w:pStyle w:val="Normal"/>
        <w:spacing w:lineRule="auto" w:line="259" w:before="0" w:after="73"/>
        <w:ind w:left="16" w:hanging="0"/>
        <w:jc w:val="left"/>
        <w:rPr/>
      </w:pPr>
      <w:r>
        <w:rPr/>
        <w:t xml:space="preserve">   </w:t>
      </w:r>
    </w:p>
    <w:p>
      <w:pPr>
        <w:pStyle w:val="Nadpis1"/>
        <w:ind w:left="10" w:right="111" w:hanging="10"/>
        <w:rPr/>
      </w:pPr>
      <w:r>
        <w:rPr/>
        <w:t>Článok III</w:t>
      </w:r>
      <w:r>
        <w:rPr>
          <w:sz w:val="24"/>
        </w:rPr>
        <w:t xml:space="preserve"> </w:t>
      </w:r>
      <w:r>
        <w:rPr/>
        <w:t>Informácie, ktoré vysvetľujú a dopĺňajú súvahu a výkaz ziskov a strát</w:t>
      </w:r>
      <w:r>
        <w:rPr>
          <w:b w:val="false"/>
        </w:rPr>
        <w:t xml:space="preserve"> </w:t>
      </w:r>
      <w:r>
        <w:rPr/>
        <w:t xml:space="preserve">  </w:t>
      </w:r>
    </w:p>
    <w:p>
      <w:pPr>
        <w:pStyle w:val="Normal"/>
        <w:spacing w:lineRule="auto" w:line="259" w:before="0" w:after="0"/>
        <w:ind w:left="16" w:hanging="0"/>
        <w:jc w:val="left"/>
        <w:rPr/>
      </w:pPr>
      <w:r>
        <w:rPr/>
        <w:t xml:space="preserve">   </w:t>
      </w:r>
    </w:p>
    <w:p>
      <w:pPr>
        <w:pStyle w:val="Normal"/>
        <w:numPr>
          <w:ilvl w:val="0"/>
          <w:numId w:val="3"/>
        </w:numPr>
        <w:ind w:left="216" w:hanging="216"/>
        <w:jc w:val="left"/>
        <w:rPr/>
      </w:pPr>
      <w:r>
        <w:rPr/>
        <w:t xml:space="preserve">Informácia o sume a dôvodoch vzniku jednotlivých položiek </w:t>
      </w:r>
      <w:r>
        <w:rPr>
          <w:b/>
        </w:rPr>
        <w:t>nákladov alebo výnosov</w:t>
      </w:r>
      <w:r>
        <w:rPr/>
        <w:t xml:space="preserve">, ktoré majú </w:t>
      </w:r>
      <w:r>
        <w:rPr>
          <w:u w:val="single" w:color="000000"/>
        </w:rPr>
        <w:t>výnimočný</w:t>
      </w:r>
      <w:r>
        <w:rPr/>
        <w:t xml:space="preserve"> </w:t>
      </w:r>
      <w:r>
        <w:rPr>
          <w:u w:val="single" w:color="000000"/>
        </w:rPr>
        <w:t>rozsah</w:t>
      </w:r>
      <w:r>
        <w:rPr/>
        <w:t xml:space="preserve"> </w:t>
      </w:r>
      <w:r>
        <w:rPr>
          <w:u w:val="single" w:color="000000"/>
        </w:rPr>
        <w:t>alebo</w:t>
      </w:r>
      <w:r>
        <w:rPr/>
        <w:t xml:space="preserve"> </w:t>
      </w:r>
      <w:r>
        <w:rPr>
          <w:u w:val="single" w:color="000000"/>
        </w:rPr>
        <w:t>výskyt</w:t>
      </w:r>
      <w:r>
        <w:rPr/>
        <w:t xml:space="preserve"> , napríklad výnosy z predaja podniku alebo časti podniku, náklady z dôvodu predaja podniku alebo časti podniku, škody z dôvodu živelných pohrôm: -</w:t>
      </w:r>
      <w:r>
        <w:rPr>
          <w:b/>
        </w:rPr>
        <w:t xml:space="preserve"> nie sú takéto položky</w:t>
      </w:r>
      <w:r>
        <w:rPr/>
        <w:t xml:space="preserve">   </w:t>
      </w:r>
    </w:p>
    <w:p>
      <w:pPr>
        <w:pStyle w:val="Normal"/>
        <w:spacing w:lineRule="auto" w:line="259" w:before="0" w:after="32"/>
        <w:ind w:left="120" w:hanging="0"/>
        <w:jc w:val="left"/>
        <w:rPr/>
      </w:pPr>
      <w:r>
        <w:rPr/>
        <w:t xml:space="preserve">   </w:t>
      </w:r>
    </w:p>
    <w:p>
      <w:pPr>
        <w:pStyle w:val="Normal"/>
        <w:numPr>
          <w:ilvl w:val="0"/>
          <w:numId w:val="3"/>
        </w:numPr>
        <w:spacing w:lineRule="auto" w:line="259" w:before="0" w:after="1"/>
        <w:ind w:left="216" w:hanging="216"/>
        <w:jc w:val="left"/>
        <w:rPr/>
      </w:pPr>
      <w:r>
        <w:rPr>
          <w:u w:val="single" w:color="000000"/>
        </w:rPr>
        <w:t xml:space="preserve">Informácie o záväzkoch </w:t>
      </w:r>
      <w:r>
        <w:rPr/>
        <w:t xml:space="preserve">, a to: </w:t>
        <w:tab/>
        <w:t xml:space="preserve">   </w:t>
      </w:r>
    </w:p>
    <w:p>
      <w:pPr>
        <w:pStyle w:val="Normal"/>
        <w:spacing w:lineRule="auto" w:line="259" w:before="0" w:after="14"/>
        <w:ind w:left="120" w:hanging="0"/>
        <w:jc w:val="left"/>
        <w:rPr/>
      </w:pPr>
      <w:r>
        <w:rPr/>
        <w:t xml:space="preserve">   </w:t>
      </w:r>
    </w:p>
    <w:p>
      <w:pPr>
        <w:pStyle w:val="Normal"/>
        <w:ind w:left="89" w:right="67" w:hanging="104"/>
        <w:rPr/>
      </w:pPr>
      <w:r>
        <w:rPr>
          <w:b/>
        </w:rPr>
        <w:t xml:space="preserve">− </w:t>
      </w:r>
      <w:r>
        <w:rPr/>
        <w:t>celkovej sume záväzkov so zostatkovou dobou splatnosti dlhšou ako päť rokov:</w:t>
      </w:r>
      <w:r>
        <w:rPr>
          <w:b/>
        </w:rPr>
        <w:t xml:space="preserve"> </w:t>
      </w:r>
      <w:r>
        <w:rPr/>
        <w:t xml:space="preserve"> </w:t>
      </w:r>
      <w:r>
        <w:rPr>
          <w:b/>
        </w:rPr>
        <w:t>- spoločnosť nemá záväzky so splatnosťou dlhšou ako päť rokov</w:t>
      </w:r>
      <w:r>
        <w:rPr/>
        <w:t xml:space="preserve">   </w:t>
      </w:r>
    </w:p>
    <w:p>
      <w:pPr>
        <w:pStyle w:val="Normal"/>
        <w:spacing w:lineRule="auto" w:line="259" w:before="0" w:after="18"/>
        <w:ind w:left="120" w:hanging="0"/>
        <w:jc w:val="left"/>
        <w:rPr/>
      </w:pPr>
      <w:r>
        <w:rPr/>
        <w:t xml:space="preserve">   </w:t>
      </w:r>
    </w:p>
    <w:p>
      <w:pPr>
        <w:pStyle w:val="Normal"/>
        <w:ind w:left="89" w:right="67" w:hanging="104"/>
        <w:rPr/>
      </w:pPr>
      <w:r>
        <w:rPr>
          <w:b/>
        </w:rPr>
        <w:t xml:space="preserve">− </w:t>
      </w:r>
      <w:r>
        <w:rPr/>
        <w:t>celkovej sume zabezpečených záväzkov, opis a spôsoby zabezpečenia záväzkov:</w:t>
      </w:r>
      <w:r>
        <w:rPr>
          <w:b/>
        </w:rPr>
        <w:t xml:space="preserve"> </w:t>
      </w:r>
      <w:r>
        <w:rPr/>
        <w:t xml:space="preserve"> </w:t>
      </w:r>
      <w:r>
        <w:rPr>
          <w:b/>
        </w:rPr>
        <w:t>- spoločnosť nemá zabezpečené záväzky</w:t>
      </w:r>
      <w:r>
        <w:rPr/>
        <w:t xml:space="preserve">   </w:t>
      </w:r>
    </w:p>
    <w:p>
      <w:pPr>
        <w:pStyle w:val="Normal"/>
        <w:spacing w:lineRule="auto" w:line="259" w:before="0" w:after="0"/>
        <w:ind w:left="120" w:hanging="0"/>
        <w:jc w:val="left"/>
        <w:rPr/>
      </w:pPr>
      <w:r>
        <w:rPr/>
        <w:t xml:space="preserve">   </w:t>
      </w:r>
    </w:p>
    <w:p>
      <w:pPr>
        <w:pStyle w:val="Normal"/>
        <w:numPr>
          <w:ilvl w:val="0"/>
          <w:numId w:val="3"/>
        </w:numPr>
        <w:spacing w:lineRule="auto" w:line="259" w:before="0" w:after="0"/>
        <w:ind w:left="216" w:hanging="216"/>
        <w:jc w:val="left"/>
        <w:rPr/>
      </w:pPr>
      <w:r>
        <w:rPr>
          <w:u w:val="single" w:color="000000"/>
        </w:rPr>
        <w:t>Informácie o vlastných akciách:</w:t>
      </w:r>
      <w:r>
        <w:rPr/>
        <w:t xml:space="preserve"> </w:t>
      </w:r>
      <w:r>
        <w:rPr>
          <w:b/>
        </w:rPr>
        <w:t>- spoločnosť nevlastní vlastné akcie</w:t>
      </w:r>
      <w:r>
        <w:rPr/>
        <w:t xml:space="preserve">   </w:t>
      </w:r>
    </w:p>
    <w:p>
      <w:pPr>
        <w:pStyle w:val="Normal"/>
        <w:spacing w:lineRule="auto" w:line="259" w:before="0" w:after="32"/>
        <w:ind w:left="120" w:hanging="0"/>
        <w:jc w:val="left"/>
        <w:rPr/>
      </w:pPr>
      <w:r>
        <w:rPr/>
        <w:t xml:space="preserve">   </w:t>
      </w:r>
    </w:p>
    <w:p>
      <w:pPr>
        <w:pStyle w:val="Normal"/>
        <w:numPr>
          <w:ilvl w:val="0"/>
          <w:numId w:val="3"/>
        </w:numPr>
        <w:spacing w:lineRule="auto" w:line="259" w:before="0" w:after="1"/>
        <w:ind w:left="216" w:hanging="216"/>
        <w:jc w:val="left"/>
        <w:rPr/>
      </w:pPr>
      <w:r>
        <w:rPr>
          <w:u w:val="single" w:color="000000"/>
        </w:rPr>
        <w:t>Informácie o orgánoch účtovnej jednotky</w:t>
      </w:r>
      <w:r>
        <w:rPr/>
        <w:t xml:space="preserve"> , a to: </w:t>
        <w:tab/>
        <w:t xml:space="preserve">   </w:t>
      </w:r>
    </w:p>
    <w:p>
      <w:pPr>
        <w:pStyle w:val="Normal"/>
        <w:spacing w:lineRule="auto" w:line="259" w:before="0" w:after="0"/>
        <w:ind w:left="120" w:hanging="0"/>
        <w:jc w:val="left"/>
        <w:rPr/>
      </w:pPr>
      <w:r>
        <w:rPr/>
        <w:t xml:space="preserve">   </w:t>
      </w:r>
    </w:p>
    <w:p>
      <w:pPr>
        <w:pStyle w:val="Normal"/>
        <w:numPr>
          <w:ilvl w:val="0"/>
          <w:numId w:val="4"/>
        </w:numPr>
        <w:ind w:left="720" w:right="67" w:hanging="720"/>
        <w:rPr/>
      </w:pPr>
      <w:r>
        <w:rPr/>
        <w:t xml:space="preserve">výške jednotlivých druhov záruk alebo iných zabezpečení poskytnutých pre členov štatutárneho orgánu, dozorného orgánu a iného orgánu účtovnej jednotky, a to v členení za jednotlivé orgány:  </w:t>
      </w:r>
      <w:r>
        <w:rPr>
          <w:b/>
        </w:rPr>
        <w:t>- neboli poskytnuté záruky</w:t>
      </w:r>
      <w:r>
        <w:rPr/>
        <w:t xml:space="preserve">   </w:t>
      </w:r>
    </w:p>
    <w:p>
      <w:pPr>
        <w:pStyle w:val="Normal"/>
        <w:spacing w:lineRule="auto" w:line="259" w:before="0" w:after="32"/>
        <w:ind w:left="120" w:hanging="0"/>
        <w:jc w:val="left"/>
        <w:rPr/>
      </w:pPr>
      <w:r>
        <w:rPr/>
        <w:t xml:space="preserve">   </w:t>
      </w:r>
    </w:p>
    <w:p>
      <w:pPr>
        <w:pStyle w:val="Normal"/>
        <w:numPr>
          <w:ilvl w:val="0"/>
          <w:numId w:val="4"/>
        </w:numPr>
        <w:ind w:left="720" w:right="67" w:hanging="720"/>
        <w:rPr/>
      </w:pPr>
      <w:r>
        <w:rPr/>
        <w:t xml:space="preserve">pôžičkách poskytnutých členom štatutárneho orgánu, dozorného orgánu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a odpísaných pôžičiek k poslednému dňu účtovného obdobia v členení za jednotlivé orgány: </w:t>
      </w:r>
      <w:r>
        <w:rPr>
          <w:b/>
        </w:rPr>
        <w:t>-  neboli im poskytnuté pôžičky</w:t>
      </w:r>
      <w:r>
        <w:rPr/>
        <w:t xml:space="preserve">   </w:t>
      </w:r>
    </w:p>
    <w:p>
      <w:pPr>
        <w:pStyle w:val="Normal"/>
        <w:spacing w:lineRule="auto" w:line="259" w:before="0" w:after="52"/>
        <w:ind w:left="120" w:hanging="0"/>
        <w:jc w:val="left"/>
        <w:rPr/>
      </w:pPr>
      <w:r>
        <w:rPr/>
        <w:t xml:space="preserve">   </w:t>
      </w:r>
    </w:p>
    <w:p>
      <w:pPr>
        <w:pStyle w:val="Normal"/>
        <w:numPr>
          <w:ilvl w:val="0"/>
          <w:numId w:val="4"/>
        </w:numPr>
        <w:ind w:left="720" w:right="67" w:hanging="720"/>
        <w:rPr/>
      </w:pPr>
      <w:r>
        <w:rPr/>
        <w:t xml:space="preserve">hlavných podmienkach, na základe ktorých im boli záruky alebo iné zabezpečenie a  </w:t>
      </w:r>
    </w:p>
    <w:p>
      <w:pPr>
        <w:pStyle w:val="Normal"/>
        <w:ind w:left="130" w:right="67" w:hanging="10"/>
        <w:rPr/>
      </w:pPr>
      <w:r>
        <w:rPr/>
        <w:t xml:space="preserve">pôžičky poskytnuté; pri pôžičkách sa uvádzajú úrokové sadzby: </w:t>
      </w:r>
      <w:r>
        <w:rPr>
          <w:b/>
        </w:rPr>
        <w:t>- nie sú</w:t>
      </w:r>
      <w:r>
        <w:rPr/>
        <w:t xml:space="preserve">   </w:t>
      </w:r>
    </w:p>
    <w:p>
      <w:pPr>
        <w:pStyle w:val="Normal"/>
        <w:spacing w:lineRule="auto" w:line="259" w:before="0" w:after="52"/>
        <w:ind w:left="120" w:hanging="0"/>
        <w:jc w:val="left"/>
        <w:rPr/>
      </w:pPr>
      <w:r>
        <w:rPr/>
        <w:t xml:space="preserve">   </w:t>
      </w:r>
    </w:p>
    <w:p>
      <w:pPr>
        <w:pStyle w:val="Normal"/>
        <w:numPr>
          <w:ilvl w:val="0"/>
          <w:numId w:val="4"/>
        </w:numPr>
        <w:ind w:left="720" w:right="67" w:hanging="720"/>
        <w:rPr/>
      </w:pPr>
      <w:r>
        <w:rPr/>
        <w:t xml:space="preserve">celkovej sume použitých finančných prostriedkov alebo iného plnenia na súkromné účely členmi štatutárneho orgánu, dozorného orgánu a iného orgánu účtovnej jednotky, ktoré je potrebné vyúčtovať: </w:t>
      </w:r>
      <w:r>
        <w:rPr>
          <w:b/>
        </w:rPr>
        <w:t>- neboli poskytnuté prostriedky na tento účel</w:t>
      </w:r>
      <w:r>
        <w:rPr/>
        <w:t xml:space="preserve">   </w:t>
      </w:r>
    </w:p>
    <w:p>
      <w:pPr>
        <w:pStyle w:val="Normal"/>
        <w:spacing w:lineRule="auto" w:line="259" w:before="0" w:after="0"/>
        <w:ind w:left="120" w:hanging="0"/>
        <w:jc w:val="left"/>
        <w:rPr/>
      </w:pPr>
      <w:r>
        <w:rPr/>
        <w:t xml:space="preserve">   </w:t>
      </w:r>
    </w:p>
    <w:p>
      <w:pPr>
        <w:pStyle w:val="Normal"/>
        <w:ind w:left="-5" w:right="67" w:hanging="10"/>
        <w:rPr/>
      </w:pPr>
      <w:r>
        <w:rPr/>
        <w:t xml:space="preserve">5. </w:t>
      </w:r>
      <w:r>
        <w:rPr>
          <w:u w:val="single" w:color="000000"/>
        </w:rPr>
        <w:t>Informácie o povinnostiach</w:t>
      </w:r>
      <w:r>
        <w:rPr/>
        <w:t xml:space="preserve"> účtovnej jednotky, a to:   </w:t>
      </w:r>
    </w:p>
    <w:p>
      <w:pPr>
        <w:pStyle w:val="Normal"/>
        <w:spacing w:lineRule="auto" w:line="259" w:before="0" w:after="52"/>
        <w:ind w:left="120" w:hanging="0"/>
        <w:jc w:val="left"/>
        <w:rPr/>
      </w:pPr>
      <w:r>
        <w:rPr/>
        <w:t xml:space="preserve">   </w:t>
      </w:r>
    </w:p>
    <w:p>
      <w:pPr>
        <w:pStyle w:val="Normal"/>
        <w:numPr>
          <w:ilvl w:val="0"/>
          <w:numId w:val="5"/>
        </w:numPr>
        <w:ind w:left="104" w:right="67" w:hanging="104"/>
        <w:rPr/>
      </w:pPr>
      <w:r>
        <w:rPr/>
        <w:t xml:space="preserve">celkovej sume </w:t>
      </w:r>
      <w:r>
        <w:rPr>
          <w:u w:val="single" w:color="000000"/>
        </w:rPr>
        <w:t>finančných</w:t>
      </w:r>
      <w:r>
        <w:rPr/>
        <w:t xml:space="preserve"> </w:t>
      </w:r>
      <w:r>
        <w:rPr>
          <w:u w:val="single" w:color="000000"/>
        </w:rPr>
        <w:t>povinností</w:t>
      </w:r>
      <w:r>
        <w:rPr/>
        <w:t xml:space="preserve"> 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  </w:t>
      </w:r>
    </w:p>
    <w:p>
      <w:pPr>
        <w:pStyle w:val="Normal"/>
        <w:spacing w:lineRule="auto" w:line="259" w:before="0" w:after="0"/>
        <w:ind w:left="718" w:hanging="10"/>
        <w:jc w:val="left"/>
        <w:rPr/>
      </w:pPr>
      <w:r>
        <w:rPr>
          <w:b/>
        </w:rPr>
        <w:t>- spoločnosť nemá finančné povinnosti nevykazované v súvahe</w:t>
      </w:r>
      <w:r>
        <w:rPr/>
        <w:t xml:space="preserve">   </w:t>
      </w:r>
    </w:p>
    <w:p>
      <w:pPr>
        <w:pStyle w:val="Normal"/>
        <w:spacing w:lineRule="auto" w:line="259" w:before="0" w:after="48"/>
        <w:ind w:left="120" w:hanging="0"/>
        <w:jc w:val="left"/>
        <w:rPr/>
      </w:pPr>
      <w:r>
        <w:rPr/>
        <w:t xml:space="preserve">   </w:t>
      </w:r>
    </w:p>
    <w:p>
      <w:pPr>
        <w:pStyle w:val="Normal"/>
        <w:numPr>
          <w:ilvl w:val="0"/>
          <w:numId w:val="5"/>
        </w:numPr>
        <w:ind w:left="104" w:right="67" w:hanging="104"/>
        <w:rPr/>
      </w:pPr>
      <w:r>
        <w:rPr/>
        <w:t xml:space="preserve">celkovej sume významných </w:t>
      </w:r>
      <w:r>
        <w:rPr>
          <w:u w:val="single" w:color="000000"/>
        </w:rPr>
        <w:t>podmienených</w:t>
      </w:r>
      <w:r>
        <w:rPr/>
        <w:t xml:space="preserve"> </w:t>
      </w:r>
      <w:r>
        <w:rPr>
          <w:u w:val="single" w:color="000000"/>
        </w:rPr>
        <w:t>záväzkov</w:t>
      </w:r>
      <w:r>
        <w:rPr/>
        <w:t xml:space="preserve"> 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  <w:r>
        <w:rPr>
          <w:b/>
        </w:rPr>
        <w:t>- spoločnosť nemá podmienené záväzky</w:t>
      </w:r>
      <w:r>
        <w:rPr/>
        <w:t xml:space="preserve">   </w:t>
      </w:r>
    </w:p>
    <w:p>
      <w:pPr>
        <w:pStyle w:val="Normal"/>
        <w:spacing w:lineRule="auto" w:line="259" w:before="0" w:after="52"/>
        <w:ind w:left="120" w:hanging="0"/>
        <w:jc w:val="left"/>
        <w:rPr/>
      </w:pPr>
      <w:r>
        <w:rPr/>
        <w:t xml:space="preserve">   </w:t>
      </w:r>
    </w:p>
    <w:p>
      <w:pPr>
        <w:pStyle w:val="Normal"/>
        <w:numPr>
          <w:ilvl w:val="0"/>
          <w:numId w:val="5"/>
        </w:numPr>
        <w:ind w:left="104" w:right="67" w:hanging="104"/>
        <w:rPr/>
      </w:pPr>
      <w:r>
        <w:rPr>
          <w:u w:val="single" w:color="000000"/>
        </w:rPr>
        <w:t>opise</w:t>
      </w:r>
      <w:r>
        <w:rPr/>
        <w:t xml:space="preserve"> </w:t>
      </w:r>
      <w:r>
        <w:rPr>
          <w:u w:val="single" w:color="000000"/>
        </w:rPr>
        <w:t>významných</w:t>
      </w:r>
      <w:r>
        <w:rPr/>
        <w:t xml:space="preserve"> </w:t>
      </w:r>
      <w:r>
        <w:rPr>
          <w:u w:val="single" w:color="000000"/>
        </w:rPr>
        <w:t>finančných</w:t>
      </w:r>
      <w:r>
        <w:rPr/>
        <w:t xml:space="preserve"> </w:t>
      </w:r>
      <w:r>
        <w:rPr>
          <w:u w:val="single" w:color="000000"/>
        </w:rPr>
        <w:t>povinností</w:t>
      </w:r>
      <w:r>
        <w:rPr/>
        <w:t xml:space="preserve"> a významných podmienených záväzkov, a to celkovej sume významných finančných povinností a významných podmienených záväzkoch voči dcérskej účtovnej jednotke a účtovnej jednotke s podstatným vplyvom:</w:t>
      </w:r>
      <w:r>
        <w:rPr>
          <w:b/>
        </w:rPr>
        <w:t xml:space="preserve"> - spoločnosť nemá takéto povinnosti</w:t>
      </w:r>
      <w:r>
        <w:rPr/>
        <w:t xml:space="preserve">   </w:t>
      </w:r>
    </w:p>
    <w:p>
      <w:pPr>
        <w:pStyle w:val="Normal"/>
        <w:spacing w:lineRule="auto" w:line="259" w:before="0" w:after="18"/>
        <w:ind w:left="120" w:hanging="0"/>
        <w:jc w:val="left"/>
        <w:rPr/>
      </w:pPr>
      <w:r>
        <w:rPr/>
        <w:t xml:space="preserve">   </w:t>
      </w:r>
    </w:p>
    <w:p>
      <w:pPr>
        <w:pStyle w:val="Normal"/>
        <w:numPr>
          <w:ilvl w:val="0"/>
          <w:numId w:val="5"/>
        </w:numPr>
        <w:ind w:left="104" w:right="67" w:hanging="104"/>
        <w:rPr/>
      </w:pPr>
      <w:r>
        <w:rPr>
          <w:u w:val="single" w:color="000000"/>
        </w:rPr>
        <w:t>opise</w:t>
      </w:r>
      <w:r>
        <w:rPr/>
        <w:t xml:space="preserve"> </w:t>
      </w:r>
      <w:r>
        <w:rPr>
          <w:u w:val="single" w:color="000000"/>
        </w:rPr>
        <w:t>významných</w:t>
      </w:r>
      <w:r>
        <w:rPr/>
        <w:t xml:space="preserve">  </w:t>
      </w:r>
      <w:r>
        <w:rPr>
          <w:u w:val="single" w:color="000000"/>
        </w:rPr>
        <w:t>povinností</w:t>
      </w:r>
      <w:r>
        <w:rPr/>
        <w:t xml:space="preserve"> účtovnej jednotky vyplývajúcich </w:t>
      </w:r>
      <w:r>
        <w:rPr>
          <w:u w:val="single" w:color="000000"/>
        </w:rPr>
        <w:t>z dôchodkových</w:t>
      </w:r>
      <w:r>
        <w:rPr/>
        <w:t xml:space="preserve">  </w:t>
      </w:r>
      <w:r>
        <w:rPr>
          <w:u w:val="single" w:color="000000"/>
        </w:rPr>
        <w:t>programov</w:t>
      </w:r>
      <w:r>
        <w:rPr/>
        <w:t xml:space="preserve"> pre zamestnancov: </w:t>
      </w:r>
      <w:r>
        <w:rPr>
          <w:b/>
        </w:rPr>
        <w:t xml:space="preserve">        - spoločnosť nemá takéto povinnosti </w:t>
      </w:r>
      <w:r>
        <w:rPr/>
        <w:t xml:space="preserve">   </w:t>
      </w:r>
    </w:p>
    <w:p>
      <w:pPr>
        <w:pStyle w:val="Normal"/>
        <w:spacing w:lineRule="auto" w:line="259" w:before="0" w:after="0"/>
        <w:ind w:left="120" w:hanging="0"/>
        <w:jc w:val="left"/>
        <w:rPr/>
      </w:pPr>
      <w:r>
        <w:rPr/>
        <w:t xml:space="preserve">   </w:t>
      </w:r>
    </w:p>
    <w:p>
      <w:pPr>
        <w:pStyle w:val="Normal"/>
        <w:spacing w:before="0" w:after="5"/>
        <w:ind w:left="130" w:right="67" w:hanging="10"/>
        <w:rPr/>
      </w:pPr>
      <w:r>
        <w:rPr/>
        <w:t xml:space="preserve">6. Informácie o udelení výlučného práva alebo osobitného práva, ktorým sa udelilo právo poskytovať </w:t>
      </w:r>
      <w:r>
        <w:rPr>
          <w:b/>
          <w:u w:val="single" w:color="000000"/>
        </w:rPr>
        <w:t>služby</w:t>
      </w:r>
      <w:r>
        <w:rPr>
          <w:b/>
        </w:rPr>
        <w:t xml:space="preserve"> </w:t>
      </w:r>
      <w:r>
        <w:rPr>
          <w:b/>
          <w:u w:val="single" w:color="000000"/>
        </w:rPr>
        <w:t>vo</w:t>
      </w:r>
      <w:r>
        <w:rPr>
          <w:b/>
        </w:rPr>
        <w:t xml:space="preserve"> </w:t>
      </w:r>
      <w:r>
        <w:rPr>
          <w:b/>
          <w:u w:val="single" w:color="000000"/>
        </w:rPr>
        <w:t>verejnom</w:t>
      </w:r>
      <w:r>
        <w:rPr>
          <w:b/>
        </w:rPr>
        <w:t xml:space="preserve"> </w:t>
      </w:r>
      <w:r>
        <w:rPr>
          <w:b/>
          <w:u w:val="single" w:color="000000"/>
        </w:rPr>
        <w:t>záujme</w:t>
      </w:r>
      <w:r>
        <w:rPr/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 </w:t>
      </w:r>
      <w:r>
        <w:rPr>
          <w:b/>
        </w:rPr>
        <w:t>- spoločnosť nemá</w:t>
      </w:r>
      <w:r>
        <w:rPr>
          <w:rFonts w:eastAsia="Times New Roman" w:cs="Times New Roman" w:ascii="Times New Roman" w:hAnsi="Times New Roman"/>
          <w:sz w:val="24"/>
        </w:rPr>
        <w:t xml:space="preserve"> </w:t>
      </w:r>
      <w:r>
        <w:rPr/>
        <w:t xml:space="preserve">  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20" w:h="16860"/>
      <w:pgMar w:left="1049" w:right="1358" w:gutter="0" w:header="239" w:top="1590" w:footer="708" w:bottom="1309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MS Gothic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59" w:before="0" w:after="2"/>
      <w:ind w:left="16" w:hanging="0"/>
      <w:jc w:val="left"/>
      <w:rPr/>
    </w:pPr>
    <w:r>
      <w:rPr/>
      <w:t xml:space="preserve">   </w:t>
    </w:r>
  </w:p>
  <w:p>
    <w:pPr>
      <w:pStyle w:val="Normal"/>
      <w:spacing w:lineRule="auto" w:line="259" w:before="0" w:after="2"/>
      <w:ind w:left="16" w:hanging="0"/>
      <w:jc w:val="left"/>
      <w:rPr/>
    </w:pPr>
    <w:r>
      <w:rPr/>
      <w:t xml:space="preserve">   </w:t>
    </w:r>
  </w:p>
  <w:p>
    <w:pPr>
      <w:pStyle w:val="Normal"/>
      <w:spacing w:lineRule="auto" w:line="259" w:before="0" w:after="6"/>
      <w:ind w:left="16" w:hanging="0"/>
      <w:jc w:val="left"/>
      <w:rPr/>
    </w:pPr>
    <w:r>
      <w:rPr/>
      <w:t xml:space="preserve">   </w:t>
    </w:r>
  </w:p>
  <w:p>
    <w:pPr>
      <w:pStyle w:val="Normal"/>
      <w:spacing w:lineRule="auto" w:line="259" w:before="0" w:after="0"/>
      <w:ind w:left="676" w:hanging="0"/>
      <w:jc w:val="left"/>
      <w:rPr>
        <w:lang w:val="sk-SK"/>
      </w:rPr>
    </w:pPr>
    <w:r>
      <w:rPr/>
      <w:t xml:space="preserve">Poznámky Úč MÚJ 3 – 01                           IČO: </w:t>
    </w:r>
    <w:r>
      <w:rPr>
        <w:lang w:val="sk-SK"/>
      </w:rPr>
      <w:t>51216175</w:t>
    </w:r>
    <w:r>
      <w:rPr/>
      <w:t xml:space="preserve">    DIČ: </w:t>
    </w:r>
    <w:r>
      <w:rPr>
        <w:lang w:val="sk-SK"/>
      </w:rPr>
      <w:t>2120630787</w:t>
    </w:r>
  </w:p>
  <w:p>
    <w:pPr>
      <w:pStyle w:val="Normal"/>
      <w:spacing w:lineRule="auto" w:line="259" w:before="0" w:after="2"/>
      <w:ind w:left="16" w:hanging="0"/>
      <w:jc w:val="left"/>
      <w:rPr/>
    </w:pPr>
    <w:r>
      <w:rPr/>
      <w:t xml:space="preserve">   </w:t>
    </w:r>
  </w:p>
  <w:p>
    <w:pPr>
      <w:pStyle w:val="Normal"/>
      <w:spacing w:lineRule="auto" w:line="259" w:before="0" w:after="2"/>
      <w:ind w:left="16" w:hanging="0"/>
      <w:jc w:val="left"/>
      <w:rPr/>
    </w:pPr>
    <w:r>
      <w:rPr/>
      <w:t xml:space="preserve">   </w:t>
    </w:r>
  </w:p>
  <w:p>
    <w:pPr>
      <w:pStyle w:val="Normal"/>
      <w:spacing w:lineRule="auto" w:line="259" w:before="0" w:after="6"/>
      <w:ind w:left="16" w:hanging="0"/>
      <w:jc w:val="left"/>
      <w:rPr/>
    </w:pPr>
    <w:r>
      <w:rPr/>
      <w:t xml:space="preserve">   </w:t>
    </w:r>
  </w:p>
  <w:p>
    <w:pPr>
      <w:pStyle w:val="Normal"/>
      <w:spacing w:lineRule="auto" w:line="259" w:before="0" w:after="0"/>
      <w:ind w:left="676" w:hanging="0"/>
      <w:jc w:val="left"/>
      <w:rPr/>
    </w:pPr>
    <w:r>
      <w:rPr/>
      <w:t xml:space="preserve">Poznámky Úč MÚJ 3 – 01                           IČO: 52199967     DIČ: 2120926951  </w:t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59" w:before="0" w:after="2"/>
      <w:ind w:left="16" w:hanging="0"/>
      <w:jc w:val="left"/>
      <w:rPr/>
    </w:pPr>
    <w:r>
      <w:rPr/>
      <w:t xml:space="preserve">   </w:t>
    </w:r>
  </w:p>
  <w:p>
    <w:pPr>
      <w:pStyle w:val="Normal"/>
      <w:spacing w:lineRule="auto" w:line="259" w:before="0" w:after="2"/>
      <w:ind w:left="16" w:hanging="0"/>
      <w:jc w:val="left"/>
      <w:rPr/>
    </w:pPr>
    <w:r>
      <w:rPr/>
      <w:t xml:space="preserve">   </w:t>
    </w:r>
  </w:p>
  <w:p>
    <w:pPr>
      <w:pStyle w:val="Normal"/>
      <w:spacing w:lineRule="auto" w:line="259" w:before="0" w:after="6"/>
      <w:ind w:left="16" w:hanging="0"/>
      <w:jc w:val="left"/>
      <w:rPr/>
    </w:pPr>
    <w:r>
      <w:rPr/>
      <w:t xml:space="preserve">   </w:t>
    </w:r>
  </w:p>
  <w:p>
    <w:pPr>
      <w:pStyle w:val="Normal"/>
      <w:spacing w:lineRule="auto" w:line="259" w:before="0" w:after="0"/>
      <w:ind w:left="676" w:hanging="0"/>
      <w:jc w:val="left"/>
      <w:rPr>
        <w:lang w:val="sk-SK"/>
      </w:rPr>
    </w:pPr>
    <w:r>
      <w:rPr/>
      <w:t xml:space="preserve">Poznámky Úč MÚJ 3 – 01                           IČO: </w:t>
    </w:r>
    <w:r>
      <w:rPr>
        <w:lang w:val="sk-SK"/>
      </w:rPr>
      <w:t>55438822</w:t>
    </w:r>
    <w:r>
      <w:rPr/>
      <w:t xml:space="preserve">    DIČ: </w:t>
    </w:r>
    <w:r>
      <w:rPr>
        <w:lang w:val="sk-SK"/>
      </w:rPr>
      <w:t>2121989826</w:t>
    </w:r>
  </w:p>
  <w:p>
    <w:pPr>
      <w:pStyle w:val="Normal"/>
      <w:spacing w:lineRule="auto" w:line="259" w:before="0" w:after="0"/>
      <w:jc w:val="left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59" w:before="0" w:after="2"/>
      <w:ind w:left="16" w:hanging="0"/>
      <w:jc w:val="left"/>
      <w:rPr/>
    </w:pPr>
    <w:r>
      <w:rPr/>
      <w:t xml:space="preserve">   </w:t>
    </w:r>
  </w:p>
  <w:p>
    <w:pPr>
      <w:pStyle w:val="Normal"/>
      <w:spacing w:lineRule="auto" w:line="259" w:before="0" w:after="2"/>
      <w:ind w:left="16" w:hanging="0"/>
      <w:jc w:val="left"/>
      <w:rPr/>
    </w:pPr>
    <w:r>
      <w:rPr/>
      <w:t xml:space="preserve">   </w:t>
    </w:r>
  </w:p>
  <w:p>
    <w:pPr>
      <w:pStyle w:val="Normal"/>
      <w:spacing w:lineRule="auto" w:line="259" w:before="0" w:after="6"/>
      <w:ind w:left="16" w:hanging="0"/>
      <w:jc w:val="left"/>
      <w:rPr/>
    </w:pPr>
    <w:r>
      <w:rPr/>
      <w:t xml:space="preserve">   </w:t>
    </w:r>
  </w:p>
  <w:p>
    <w:pPr>
      <w:pStyle w:val="Normal"/>
      <w:spacing w:lineRule="auto" w:line="259" w:before="0" w:after="0"/>
      <w:ind w:left="676" w:hanging="0"/>
      <w:jc w:val="left"/>
      <w:rPr>
        <w:lang w:val="sk-SK"/>
      </w:rPr>
    </w:pPr>
    <w:r>
      <w:rPr/>
      <w:t xml:space="preserve">Poznámky Úč MÚJ 3 – 01                           IČO: </w:t>
    </w:r>
    <w:r>
      <w:rPr>
        <w:lang w:val="sk-SK"/>
      </w:rPr>
      <w:t>55438822</w:t>
    </w:r>
    <w:r>
      <w:rPr/>
      <w:t xml:space="preserve">    DIČ: </w:t>
    </w:r>
    <w:r>
      <w:rPr>
        <w:lang w:val="sk-SK"/>
      </w:rPr>
      <w:t>2121989826</w:t>
    </w:r>
  </w:p>
  <w:p>
    <w:pPr>
      <w:pStyle w:val="Normal"/>
      <w:spacing w:lineRule="auto" w:line="259" w:before="0" w:after="0"/>
      <w:jc w:val="left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216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72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/>
        <w:shd w:fill="auto" w:val="clear"/>
        <w:szCs w:val="22"/>
        <w:bCs/>
        <w:rFonts w:ascii="Calibri" w:hAnsi="Calibri" w:eastAsia="Calibri" w:cs="Calibri"/>
        <w:color w:val="000000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/>
        <w:shd w:fill="auto" w:val="clear"/>
        <w:szCs w:val="22"/>
        <w:bCs/>
        <w:rFonts w:ascii="Calibri" w:hAnsi="Calibri" w:eastAsia="Calibri" w:cs="Calibri"/>
        <w:color w:val="000000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/>
        <w:shd w:fill="auto" w:val="clear"/>
        <w:szCs w:val="22"/>
        <w:bCs/>
        <w:rFonts w:ascii="Calibri" w:hAnsi="Calibri" w:eastAsia="Calibri" w:cs="Calibri"/>
        <w:color w:val="000000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/>
        <w:shd w:fill="auto" w:val="clear"/>
        <w:szCs w:val="22"/>
        <w:bCs/>
        <w:rFonts w:ascii="Calibri" w:hAnsi="Calibri" w:eastAsia="Calibri" w:cs="Calibri"/>
        <w:color w:val="000000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/>
        <w:shd w:fill="auto" w:val="clear"/>
        <w:szCs w:val="22"/>
        <w:bCs/>
        <w:rFonts w:ascii="Calibri" w:hAnsi="Calibri" w:eastAsia="Calibri" w:cs="Calibri"/>
        <w:color w:val="000000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/>
        <w:shd w:fill="auto" w:val="clear"/>
        <w:szCs w:val="22"/>
        <w:bCs/>
        <w:rFonts w:ascii="Calibri" w:hAnsi="Calibri" w:eastAsia="Calibri" w:cs="Calibri"/>
        <w:color w:val="000000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/>
        <w:shd w:fill="auto" w:val="clear"/>
        <w:szCs w:val="22"/>
        <w:bCs/>
        <w:rFonts w:ascii="Calibri" w:hAnsi="Calibri" w:eastAsia="Calibri" w:cs="Calibri"/>
        <w:color w:val="000000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/>
        <w:shd w:fill="auto" w:val="clear"/>
        <w:szCs w:val="22"/>
        <w:bCs/>
        <w:rFonts w:ascii="Calibri" w:hAnsi="Calibri" w:eastAsia="Calibri" w:cs="Calibri"/>
        <w:color w:val="000000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/>
        <w:shd w:fill="auto" w:val="clear"/>
        <w:szCs w:val="22"/>
        <w:bCs/>
        <w:rFonts w:ascii="Calibri" w:hAnsi="Calibri" w:eastAsia="Calibri" w:cs="Calibri"/>
        <w:color w:val="000000"/>
      </w:rPr>
    </w:lvl>
  </w:abstractNum>
  <w:abstractNum w:abstractNumId="3">
    <w:lvl w:ilvl="0">
      <w:start w:val="1"/>
      <w:numFmt w:val="decimal"/>
      <w:lvlText w:val="%1."/>
      <w:lvlJc w:val="left"/>
      <w:pPr>
        <w:tabs>
          <w:tab w:val="num" w:pos="0"/>
        </w:tabs>
        <w:ind w:left="216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11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3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5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7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9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71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3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5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</w:abstractNum>
  <w:abstractNum w:abstractNumId="4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</w:abstractNum>
  <w:abstractNum w:abstractNumId="5">
    <w:lvl w:ilvl="0">
      <w:start w:val="1"/>
      <w:numFmt w:val="lowerLetter"/>
      <w:lvlText w:val="%1)"/>
      <w:lvlJc w:val="left"/>
      <w:pPr>
        <w:tabs>
          <w:tab w:val="num" w:pos="0"/>
        </w:tabs>
        <w:ind w:left="104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hanging="0"/>
      </w:pPr>
      <w:rPr>
        <w:dstrike w:val="false"/>
        <w:strike w:val="false"/>
        <w:vertAlign w:val="baseline"/>
        <w:position w:val="0"/>
        <w:sz w:val="22"/>
        <w:sz w:val="22"/>
        <w:i w:val="false"/>
        <w:u w:val="none" w:color="000000"/>
        <w:b w:val="false"/>
        <w:shd w:fill="auto" w:val="clear"/>
        <w:szCs w:val="22"/>
        <w:rFonts w:ascii="Calibri" w:hAnsi="Calibri" w:eastAsia="Calibri" w:cs="Calibri"/>
        <w:color w:val="000000"/>
      </w:rPr>
    </w:lvl>
  </w:abstractNum>
  <w:abstractNum w:abstractNumId="6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hyphenationZone w:val="425"/>
  <w:themeFontLang w:val="sk-SK" w:eastAsia="zh-CN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SimSun" w:cs="Times New Roman"/>
        <w:lang w:val="sk-SK" w:eastAsia="zh-CN" w:bidi="hi-IN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0">
    <w:lsdException w:name="Normal" w:uiPriority="0" w:semiHidden="0" w:unhideWhenUsed="0" w:qFormat="1"/>
    <w:lsdException w:name="heading 1" w:uiPriority="9" w:semiHidden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uiPriority="99"/>
    <w:lsdException w:name="index 2" w:uiPriority="99"/>
    <w:lsdException w:name="index 3" w:uiPriority="99"/>
    <w:lsdException w:name="index 4" w:uiPriority="99"/>
    <w:lsdException w:name="index 5" w:uiPriority="99"/>
    <w:lsdException w:name="index 6" w:uiPriority="99"/>
    <w:lsdException w:name="index 7" w:uiPriority="99"/>
    <w:lsdException w:name="index 8" w:uiPriority="99"/>
    <w:lsdException w:name="index 9" w:uiPriority="9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99"/>
    <w:lsdException w:name="footnote text" w:uiPriority="99"/>
    <w:lsdException w:name="annotation text" w:uiPriority="99"/>
    <w:lsdException w:name="header" w:uiPriority="99"/>
    <w:lsdException w:name="footer" w:uiPriority="99" w:semiHidden="0" w:qFormat="1"/>
    <w:lsdException w:name="index heading" w:uiPriority="99"/>
    <w:lsdException w:name="caption" w:uiPriority="35" w:qFormat="1"/>
    <w:lsdException w:name="table of figures" w:uiPriority="99"/>
    <w:lsdException w:name="envelope address" w:uiPriority="99"/>
    <w:lsdException w:name="envelope return" w:uiPriority="99"/>
    <w:lsdException w:name="footnote reference" w:uiPriority="99"/>
    <w:lsdException w:name="annotation reference" w:uiPriority="99"/>
    <w:lsdException w:name="line number" w:uiPriority="99"/>
    <w:lsdException w:name="page number" w:uiPriority="99"/>
    <w:lsdException w:name="endnote reference" w:uiPriority="99"/>
    <w:lsdException w:name="endnote text" w:uiPriority="99"/>
    <w:lsdException w:name="table of authorities" w:uiPriority="99"/>
    <w:lsdException w:name="macro" w:uiPriority="99"/>
    <w:lsdException w:name="toa heading" w:uiPriority="99"/>
    <w:lsdException w:name="List" w:uiPriority="99"/>
    <w:lsdException w:name="List Bullet" w:uiPriority="99"/>
    <w:lsdException w:name="List Number" w:uiPriority="99"/>
    <w:lsdException w:name="List 2" w:uiPriority="99"/>
    <w:lsdException w:name="List 3" w:uiPriority="99"/>
    <w:lsdException w:name="List 4" w:uiPriority="99"/>
    <w:lsdException w:name="List 5" w:uiPriority="99"/>
    <w:lsdException w:name="List Bullet 2" w:uiPriority="99"/>
    <w:lsdException w:name="List Bullet 3" w:uiPriority="99"/>
    <w:lsdException w:name="List Bullet 4" w:uiPriority="99"/>
    <w:lsdException w:name="List Bullet 5" w:uiPriority="99"/>
    <w:lsdException w:name="List Number 2" w:uiPriority="99"/>
    <w:lsdException w:name="List Number 3" w:uiPriority="99"/>
    <w:lsdException w:name="List Number 4" w:uiPriority="99"/>
    <w:lsdException w:name="List Number 5" w:uiPriority="99"/>
    <w:lsdException w:name="Title" w:uiPriority="10" w:semiHidden="0" w:unhideWhenUsed="0" w:qFormat="1"/>
    <w:lsdException w:name="Closing" w:uiPriority="99"/>
    <w:lsdException w:name="Signature" w:uiPriority="99"/>
    <w:lsdException w:name="Default Paragraph Font" w:uiPriority="1"/>
    <w:lsdException w:name="Body Text" w:uiPriority="99"/>
    <w:lsdException w:name="Body Text Indent" w:uiPriority="99"/>
    <w:lsdException w:name="List Continue" w:uiPriority="99"/>
    <w:lsdException w:name="List Continue 2" w:uiPriority="99"/>
    <w:lsdException w:name="List Continue 3" w:uiPriority="99"/>
    <w:lsdException w:name="List Continue 4" w:uiPriority="99"/>
    <w:lsdException w:name="List Continue 5" w:uiPriority="99"/>
    <w:lsdException w:name="Message Header" w:uiPriority="99"/>
    <w:lsdException w:name="Subtitle" w:uiPriority="11" w:semiHidden="0" w:unhideWhenUsed="0" w:qFormat="1"/>
    <w:lsdException w:name="Salutation" w:uiPriority="99"/>
    <w:lsdException w:name="Date" w:uiPriority="99"/>
    <w:lsdException w:name="Body Text First Indent" w:uiPriority="99"/>
    <w:lsdException w:name="Body Text First Indent 2" w:uiPriority="99"/>
    <w:lsdException w:name="Note Heading" w:uiPriority="99"/>
    <w:lsdException w:name="Body Text 2" w:uiPriority="99"/>
    <w:lsdException w:name="Body Text 3" w:uiPriority="99"/>
    <w:lsdException w:name="Body Text Indent 2" w:uiPriority="99"/>
    <w:lsdException w:name="Body Text Indent 3" w:uiPriority="99"/>
    <w:lsdException w:name="Block Text" w:uiPriority="99"/>
    <w:lsdException w:name="Hyperlink" w:uiPriority="99"/>
    <w:lsdException w:name="FollowedHyperlink" w:uiPriority="99"/>
    <w:lsdException w:name="Strong" w:uiPriority="22" w:semiHidden="0" w:unhideWhenUsed="0" w:qFormat="1"/>
    <w:lsdException w:name="Emphasis" w:uiPriority="20" w:semiHidden="0" w:unhideWhenUsed="0" w:qFormat="1"/>
    <w:lsdException w:name="Document Map" w:uiPriority="99"/>
    <w:lsdException w:name="Plain Text" w:uiPriority="99"/>
    <w:lsdException w:name="E-mail Signature" w:uiPriority="99"/>
    <w:lsdException w:name="Normal (Web)" w:uiPriority="99"/>
    <w:lsdException w:name="HTML Acronym" w:uiPriority="99"/>
    <w:lsdException w:name="HTML Address" w:uiPriority="99"/>
    <w:lsdException w:name="HTML Cite" w:uiPriority="99"/>
    <w:lsdException w:name="HTML Code" w:uiPriority="99"/>
    <w:lsdException w:name="HTML Definition" w:uiPriority="99"/>
    <w:lsdException w:name="HTML Keyboard" w:uiPriority="99"/>
    <w:lsdException w:name="HTML Preformatted" w:uiPriority="99"/>
    <w:lsdException w:name="HTML Sample" w:uiPriority="99"/>
    <w:lsdException w:name="HTML Typewriter" w:uiPriority="99"/>
    <w:lsdException w:name="HTML Variable" w:uiPriority="99"/>
    <w:lsdException w:name="Normal Table" w:uiPriority="99" w:qFormat="1"/>
    <w:lsdException w:name="annotation subject" w:uiPriority="99"/>
    <w:lsdException w:name="Table Simple 1" w:uiPriority="99"/>
    <w:lsdException w:name="Table Simple 2" w:uiPriority="99"/>
    <w:lsdException w:name="Table Simple 3" w:uiPriority="99"/>
    <w:lsdException w:name="Table Classic 1" w:uiPriority="99"/>
    <w:lsdException w:name="Table Classic 2" w:uiPriority="99"/>
    <w:lsdException w:name="Table Classic 3" w:uiPriority="99"/>
    <w:lsdException w:name="Table Classic 4" w:uiPriority="99"/>
    <w:lsdException w:name="Table Colorful 1" w:uiPriority="99"/>
    <w:lsdException w:name="Table Colorful 2" w:uiPriority="99"/>
    <w:lsdException w:name="Table Colorful 3" w:uiPriority="99"/>
    <w:lsdException w:name="Table Columns 1" w:uiPriority="99"/>
    <w:lsdException w:name="Table Columns 2" w:uiPriority="99"/>
    <w:lsdException w:name="Table Columns 3" w:uiPriority="99"/>
    <w:lsdException w:name="Table Columns 4" w:uiPriority="99"/>
    <w:lsdException w:name="Table Columns 5" w:uiPriority="99"/>
    <w:lsdException w:name="Table Grid 1" w:uiPriority="99"/>
    <w:lsdException w:name="Table Grid 2" w:uiPriority="99"/>
    <w:lsdException w:name="Table Grid 3" w:uiPriority="99"/>
    <w:lsdException w:name="Table Grid 4" w:uiPriority="99"/>
    <w:lsdException w:name="Table Grid 5" w:uiPriority="99"/>
    <w:lsdException w:name="Table Grid 6" w:uiPriority="99"/>
    <w:lsdException w:name="Table Grid 7" w:uiPriority="99"/>
    <w:lsdException w:name="Table Grid 8" w:uiPriority="99"/>
    <w:lsdException w:name="Table List 1" w:uiPriority="99"/>
    <w:lsdException w:name="Table List 2" w:uiPriority="99"/>
    <w:lsdException w:name="Table List 3" w:uiPriority="99"/>
    <w:lsdException w:name="Table List 4" w:uiPriority="99"/>
    <w:lsdException w:name="Table List 5" w:uiPriority="99"/>
    <w:lsdException w:name="Table List 6" w:uiPriority="99"/>
    <w:lsdException w:name="Table List 7" w:uiPriority="99"/>
    <w:lsdException w:name="Table List 8" w:uiPriority="99"/>
    <w:lsdException w:name="Table 3D effects 1" w:uiPriority="99"/>
    <w:lsdException w:name="Table 3D effects 2" w:uiPriority="99"/>
    <w:lsdException w:name="Table 3D effects 3" w:uiPriority="99"/>
    <w:lsdException w:name="Table Contemporary" w:uiPriority="99"/>
    <w:lsdException w:name="Table Elegant" w:uiPriority="99"/>
    <w:lsdException w:name="Table Professional" w:uiPriority="99"/>
    <w:lsdException w:name="Table Subtle 1" w:uiPriority="99"/>
    <w:lsdException w:name="Table Subtle 2" w:uiPriority="99"/>
    <w:lsdException w:name="Table Web 1" w:uiPriority="99"/>
    <w:lsdException w:name="Table Web 2" w:uiPriority="99"/>
    <w:lsdException w:name="Table Web 3" w:uiPriority="99"/>
    <w:lsdException w:name="Balloon Text" w:uiPriority="99"/>
    <w:lsdException w:name="Table Grid" w:uiPriority="39" w:semiHidden="0" w:unhideWhenUsed="0"/>
    <w:lsdException w:name="Table Theme" w:uiPriority="99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</w:latentStyles>
  <w:style w:type="paragraph" w:styleId="Normal" w:default="1">
    <w:name w:val="Normal"/>
    <w:uiPriority w:val="0"/>
    <w:qFormat/>
    <w:pPr>
      <w:widowControl/>
      <w:bidi w:val="0"/>
      <w:spacing w:lineRule="auto" w:line="259" w:before="0" w:after="5"/>
      <w:ind w:left="10" w:hanging="10"/>
      <w:jc w:val="both"/>
    </w:pPr>
    <w:rPr>
      <w:rFonts w:ascii="Calibri" w:hAnsi="Calibri" w:eastAsia="Calibri" w:cs="Calibri"/>
      <w:color w:val="000000"/>
      <w:kern w:val="0"/>
      <w:sz w:val="22"/>
      <w:szCs w:val="22"/>
      <w:lang w:val="sk-SK" w:eastAsia="sk-SK" w:bidi="ar-SA"/>
    </w:rPr>
  </w:style>
  <w:style w:type="paragraph" w:styleId="Nadpis1">
    <w:name w:val="Heading 1"/>
    <w:next w:val="Normal"/>
    <w:link w:val="Nadpis1Char"/>
    <w:uiPriority w:val="9"/>
    <w:unhideWhenUsed/>
    <w:qFormat/>
    <w:pPr>
      <w:keepNext w:val="true"/>
      <w:keepLines/>
      <w:widowControl/>
      <w:bidi w:val="0"/>
      <w:spacing w:lineRule="auto" w:line="259" w:before="0" w:after="0"/>
      <w:ind w:left="10" w:hanging="10"/>
      <w:jc w:val="center"/>
      <w:outlineLvl w:val="0"/>
    </w:pPr>
    <w:rPr>
      <w:rFonts w:ascii="Calibri" w:hAnsi="Calibri" w:eastAsia="Calibri" w:cs="Calibri"/>
      <w:b/>
      <w:color w:val="000000"/>
      <w:kern w:val="0"/>
      <w:sz w:val="22"/>
      <w:szCs w:val="22"/>
      <w:lang w:val="sk-SK" w:eastAsia="sk-SK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uiPriority w:val="0"/>
    <w:qFormat/>
    <w:rPr>
      <w:rFonts w:ascii="Calibri" w:hAnsi="Calibri" w:eastAsia="Calibri" w:cs="Calibri"/>
      <w:b/>
      <w:color w:val="000000"/>
      <w:sz w:val="22"/>
    </w:rPr>
  </w:style>
  <w:style w:type="character" w:styleId="PtaChar" w:customStyle="1">
    <w:name w:val="Päta Char"/>
    <w:basedOn w:val="DefaultParagraphFont"/>
    <w:uiPriority w:val="99"/>
    <w:qFormat/>
    <w:rPr>
      <w:rFonts w:ascii="Calibri" w:hAnsi="Calibri" w:eastAsia="Calibri" w:cs="Calibri"/>
      <w:color w:val="000000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  <w:lang w:val="zxx" w:eastAsia="zxx" w:bidi="zxx"/>
    </w:rPr>
  </w:style>
  <w:style w:type="paragraph" w:styleId="Hlavikaapta">
    <w:name w:val="Hlavička a päta"/>
    <w:basedOn w:val="Normal"/>
    <w:qFormat/>
    <w:pPr/>
    <w:rPr/>
  </w:style>
  <w:style w:type="paragraph" w:styleId="Pta">
    <w:name w:val="Footer"/>
    <w:basedOn w:val="Normal"/>
    <w:link w:val="PtaChar"/>
    <w:uiPriority w:val="99"/>
    <w:unhideWhenUsed/>
    <w:qFormat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Zhlavie">
    <w:name w:val="Header"/>
    <w:basedOn w:val="Hlavikaapta"/>
    <w:pPr/>
    <w:rPr/>
  </w:style>
  <w:style w:type="table" w:default="1" w:styleId="4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7">
    <w:name w:val="TableGrid"/>
    <w:uiPriority w:val="0"/>
    <w:qFormat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<Relationship Id="rId12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Application>LibreOffice/7.3.3.2$Windows_X86_64 LibreOffice_project/d1d0ea68f081ee2800a922cac8f79445e4603348</Application>
  <AppVersion>15.0000</AppVersion>
  <Pages>4</Pages>
  <Words>941</Words>
  <Characters>5806</Characters>
  <CharactersWithSpaces>7180</CharactersWithSpaces>
  <Paragraphs>124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2024-03-01T11:42:00Z</dcterms:created>
  <dc:creator>Janka</dc:creator>
  <dc:description/>
  <dc:language>sk-SK</dc:language>
  <cp:lastModifiedBy/>
  <cp:lastPrinted>2022-06-30T09:27:00Z</cp:lastPrinted>
  <dcterms:modified xsi:type="dcterms:W3CDTF">2026-03-31T11:26:57Z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94883157E7BF43DE86140C6F616E278A_12</vt:lpwstr>
  </property>
  <property fmtid="{D5CDD505-2E9C-101B-9397-08002B2CF9AE}" pid="3" name="KSOProductBuildVer">
    <vt:lpwstr>1033-12.2.0.21546</vt:lpwstr>
  </property>
</Properties>
</file>