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footer3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  <Override PartName="/_rels/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tbl>
      <w:tblPr>
        <w:tblStyle w:val="Mriekatabuky"/>
        <w:tblW w:w="10157" w:type="dxa"/>
        <w:jc w:val="left"/>
        <w:tblInd w:w="3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966"/>
        <w:gridCol w:w="2569"/>
        <w:gridCol w:w="339"/>
        <w:gridCol w:w="342"/>
        <w:gridCol w:w="338"/>
        <w:gridCol w:w="337"/>
        <w:gridCol w:w="339"/>
        <w:gridCol w:w="342"/>
        <w:gridCol w:w="338"/>
        <w:gridCol w:w="338"/>
        <w:gridCol w:w="569"/>
        <w:gridCol w:w="334"/>
        <w:gridCol w:w="333"/>
        <w:gridCol w:w="335"/>
        <w:gridCol w:w="338"/>
      </w:tblGrid>
      <w:tr>
        <w:trPr/>
        <w:tc>
          <w:tcPr>
            <w:tcW w:w="2966" w:type="dxa"/>
            <w:tcBorders/>
            <w:vAlign w:val="center"/>
          </w:tcPr>
          <w:p>
            <w:pPr>
              <w:pStyle w:val="Normal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120"/>
              <w:ind w:left="0" w:hanging="0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rFonts w:eastAsia="Times New Roman"/>
                <w:kern w:val="0"/>
                <w:sz w:val="22"/>
                <w:szCs w:val="22"/>
                <w:lang w:val="sk-SK" w:eastAsia="sk-SK" w:bidi="ar-SA"/>
              </w:rPr>
              <w:t>Poznámky (Úč  NUJ 3 – 01)</w:t>
            </w:r>
          </w:p>
        </w:tc>
        <w:tc>
          <w:tcPr>
            <w:tcW w:w="2569" w:type="dxa"/>
            <w:tcBorders>
              <w:top w:val="nil"/>
              <w:bottom w:val="nil"/>
            </w:tcBorders>
            <w:vAlign w:val="center"/>
          </w:tcPr>
          <w:p>
            <w:pPr>
              <w:pStyle w:val="Normal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120"/>
              <w:ind w:left="0" w:hanging="0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kern w:val="0"/>
                <w:sz w:val="22"/>
                <w:szCs w:val="22"/>
                <w:lang w:val="sk-SK" w:bidi="ar-SA"/>
              </w:rPr>
              <w:t xml:space="preserve">IČO </w:t>
            </w:r>
          </w:p>
        </w:tc>
        <w:tc>
          <w:tcPr>
            <w:tcW w:w="339" w:type="dxa"/>
            <w:tcBorders/>
          </w:tcPr>
          <w:p>
            <w:pPr>
              <w:pStyle w:val="Normal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120"/>
              <w:ind w:left="0" w:hanging="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kern w:val="0"/>
                <w:sz w:val="22"/>
                <w:szCs w:val="22"/>
                <w:lang w:val="sk-SK" w:bidi="ar-SA"/>
              </w:rPr>
              <w:t>3</w:t>
            </w:r>
          </w:p>
        </w:tc>
        <w:tc>
          <w:tcPr>
            <w:tcW w:w="342" w:type="dxa"/>
            <w:tcBorders/>
          </w:tcPr>
          <w:p>
            <w:pPr>
              <w:pStyle w:val="Normal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120"/>
              <w:ind w:left="0" w:hanging="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kern w:val="0"/>
                <w:sz w:val="22"/>
                <w:szCs w:val="22"/>
                <w:lang w:val="sk-SK" w:bidi="ar-SA"/>
              </w:rPr>
              <w:t>0</w:t>
            </w:r>
          </w:p>
        </w:tc>
        <w:tc>
          <w:tcPr>
            <w:tcW w:w="338" w:type="dxa"/>
            <w:tcBorders/>
          </w:tcPr>
          <w:p>
            <w:pPr>
              <w:pStyle w:val="Normal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120"/>
              <w:ind w:left="0" w:hanging="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kern w:val="0"/>
                <w:sz w:val="22"/>
                <w:szCs w:val="22"/>
                <w:lang w:val="sk-SK" w:bidi="ar-SA"/>
              </w:rPr>
              <w:t>2</w:t>
            </w:r>
          </w:p>
        </w:tc>
        <w:tc>
          <w:tcPr>
            <w:tcW w:w="337" w:type="dxa"/>
            <w:tcBorders/>
          </w:tcPr>
          <w:p>
            <w:pPr>
              <w:pStyle w:val="Normal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120"/>
              <w:ind w:left="0" w:hanging="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kern w:val="0"/>
                <w:sz w:val="22"/>
                <w:szCs w:val="22"/>
                <w:lang w:val="sk-SK" w:bidi="ar-SA"/>
              </w:rPr>
              <w:t>3</w:t>
            </w:r>
          </w:p>
        </w:tc>
        <w:tc>
          <w:tcPr>
            <w:tcW w:w="339" w:type="dxa"/>
            <w:tcBorders/>
          </w:tcPr>
          <w:p>
            <w:pPr>
              <w:pStyle w:val="Normal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120"/>
              <w:ind w:left="0" w:hanging="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kern w:val="0"/>
                <w:sz w:val="22"/>
                <w:szCs w:val="22"/>
                <w:lang w:val="sk-SK" w:bidi="ar-SA"/>
              </w:rPr>
              <w:t>1</w:t>
            </w:r>
          </w:p>
        </w:tc>
        <w:tc>
          <w:tcPr>
            <w:tcW w:w="342" w:type="dxa"/>
            <w:tcBorders/>
          </w:tcPr>
          <w:p>
            <w:pPr>
              <w:pStyle w:val="Normal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120"/>
              <w:ind w:left="0" w:hanging="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kern w:val="0"/>
                <w:sz w:val="22"/>
                <w:szCs w:val="22"/>
                <w:lang w:val="sk-SK" w:bidi="ar-SA"/>
              </w:rPr>
              <w:t>2</w:t>
            </w:r>
          </w:p>
        </w:tc>
        <w:tc>
          <w:tcPr>
            <w:tcW w:w="338" w:type="dxa"/>
            <w:tcBorders/>
          </w:tcPr>
          <w:p>
            <w:pPr>
              <w:pStyle w:val="Normal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120"/>
              <w:ind w:left="0" w:hanging="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kern w:val="0"/>
                <w:sz w:val="22"/>
                <w:szCs w:val="22"/>
                <w:lang w:val="sk-SK" w:bidi="ar-SA"/>
              </w:rPr>
              <w:t>2</w:t>
            </w:r>
          </w:p>
        </w:tc>
        <w:tc>
          <w:tcPr>
            <w:tcW w:w="338" w:type="dxa"/>
            <w:tcBorders/>
          </w:tcPr>
          <w:p>
            <w:pPr>
              <w:pStyle w:val="Normal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120"/>
              <w:ind w:left="0" w:hanging="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kern w:val="0"/>
                <w:sz w:val="22"/>
                <w:szCs w:val="22"/>
                <w:lang w:val="sk-SK" w:bidi="ar-SA"/>
              </w:rPr>
              <w:t>1</w:t>
            </w:r>
          </w:p>
        </w:tc>
        <w:tc>
          <w:tcPr>
            <w:tcW w:w="569" w:type="dxa"/>
            <w:tcBorders>
              <w:top w:val="nil"/>
              <w:bottom w:val="nil"/>
            </w:tcBorders>
          </w:tcPr>
          <w:p>
            <w:pPr>
              <w:pStyle w:val="Normal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120"/>
              <w:ind w:left="0" w:hanging="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rFonts w:eastAsia="Times New Roman"/>
                <w:b/>
                <w:bCs/>
                <w:kern w:val="0"/>
                <w:sz w:val="22"/>
                <w:szCs w:val="22"/>
                <w:lang w:val="sk-SK" w:bidi="ar-SA"/>
              </w:rPr>
              <w:t>/SID</w:t>
            </w:r>
          </w:p>
        </w:tc>
        <w:tc>
          <w:tcPr>
            <w:tcW w:w="334" w:type="dxa"/>
            <w:tcBorders/>
          </w:tcPr>
          <w:p>
            <w:pPr>
              <w:pStyle w:val="Normal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120"/>
              <w:ind w:left="0" w:hanging="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33" w:type="dxa"/>
            <w:tcBorders/>
          </w:tcPr>
          <w:p>
            <w:pPr>
              <w:pStyle w:val="Normal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120"/>
              <w:ind w:left="0" w:hanging="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35" w:type="dxa"/>
            <w:tcBorders/>
          </w:tcPr>
          <w:p>
            <w:pPr>
              <w:pStyle w:val="Normal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120"/>
              <w:ind w:left="0" w:hanging="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338" w:type="dxa"/>
            <w:tcBorders/>
          </w:tcPr>
          <w:p>
            <w:pPr>
              <w:pStyle w:val="Normal"/>
              <w:keepNext w:val="true"/>
              <w:widowControl w:val="false"/>
              <w:numPr>
                <w:ilvl w:val="0"/>
                <w:numId w:val="0"/>
              </w:numPr>
              <w:spacing w:lineRule="auto" w:line="240" w:before="0" w:after="120"/>
              <w:ind w:left="0" w:hanging="0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</w:tr>
    </w:tbl>
    <w:p>
      <w:pPr>
        <w:pStyle w:val="Normal"/>
        <w:keepNext w:val="true"/>
        <w:numPr>
          <w:ilvl w:val="0"/>
          <w:numId w:val="0"/>
        </w:numPr>
        <w:spacing w:lineRule="auto" w:line="240" w:before="0" w:after="120"/>
        <w:ind w:left="0" w:hanging="0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120"/>
        <w:ind w:left="0" w:hanging="0"/>
        <w:jc w:val="center"/>
        <w:outlineLvl w:val="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Čl. I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120"/>
        <w:ind w:left="0" w:hanging="0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Všeobecné údaje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>(1) Telovýchovná jednota Priehrada Udiča, Udiča 714, 018 01 Udiča dátum založenia :16.7.1990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>(2) Štatutár : Nicolas Beník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 xml:space="preserve">(3)  Opis činnosti – poskytovanie športovej činnosti rozvoj žiackeho, dorastového, mužského futbalového klubu. 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 xml:space="preserve">      </w:t>
      </w:r>
      <w:r>
        <w:rPr>
          <w:sz w:val="22"/>
          <w:szCs w:val="22"/>
        </w:rPr>
        <w:t>Podnikateľská činnosť sa skladá pomocných expedičných prác v doprave, táto činnosť bola ukončená v decembri.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 xml:space="preserve">(4) Priemerný prepočítaný počet zamestnancov </w:t>
      </w:r>
      <w:r>
        <w:rPr>
          <w:sz w:val="22"/>
          <w:szCs w:val="22"/>
        </w:rPr>
        <w:t>0</w:t>
      </w:r>
      <w:r>
        <w:rPr>
          <w:sz w:val="22"/>
          <w:szCs w:val="22"/>
        </w:rPr>
        <w:t xml:space="preserve"> 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>(5) Informácia o organizáciách v zriaďovateľskej pôsobnosti účtovnej jednotky.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 xml:space="preserve">(6) Údaje podľa odseku  4 a čl. III a IV  sa uvádzajú v textovej podobe a tabuľkovej podobe. 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120"/>
        <w:ind w:left="0" w:hanging="0"/>
        <w:jc w:val="center"/>
        <w:outlineLvl w:val="0"/>
        <w:rPr>
          <w:b/>
          <w:bCs/>
          <w:kern w:val="2"/>
          <w:sz w:val="22"/>
          <w:szCs w:val="22"/>
        </w:rPr>
      </w:pPr>
      <w:r>
        <w:rPr>
          <w:b/>
          <w:bCs/>
          <w:kern w:val="2"/>
          <w:sz w:val="22"/>
          <w:szCs w:val="22"/>
        </w:rPr>
        <w:t>Čl. II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120"/>
        <w:ind w:left="0" w:hanging="0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 o účtovných zásadách a účtovných metódach</w:t>
      </w:r>
    </w:p>
    <w:p>
      <w:pPr>
        <w:pStyle w:val="Normal"/>
        <w:spacing w:lineRule="auto" w:line="240" w:before="0" w:after="120"/>
        <w:rPr>
          <w:b/>
          <w:sz w:val="22"/>
          <w:szCs w:val="22"/>
        </w:rPr>
      </w:pPr>
      <w:r>
        <w:rPr>
          <w:sz w:val="22"/>
          <w:szCs w:val="22"/>
        </w:rPr>
        <w:t xml:space="preserve">(1) Informácia, či je účtovná závierka zostavená za splnenia predpokladu, že účtovná jednotka bude nepretržite pokračovať vo svojej činnosti </w:t>
      </w:r>
      <w:r>
        <w:rPr>
          <w:b/>
          <w:sz w:val="22"/>
          <w:szCs w:val="22"/>
        </w:rPr>
        <w:t>áno</w:t>
      </w:r>
    </w:p>
    <w:p>
      <w:pPr>
        <w:pStyle w:val="Normal"/>
        <w:spacing w:lineRule="auto" w:line="240" w:before="0" w:after="120"/>
        <w:rPr>
          <w:b/>
          <w:sz w:val="22"/>
          <w:szCs w:val="22"/>
        </w:rPr>
      </w:pPr>
      <w:r>
        <w:rPr>
          <w:sz w:val="22"/>
          <w:szCs w:val="22"/>
        </w:rPr>
        <w:t xml:space="preserve">(2) Zmeny účtovných zásad a zmeny účtovných metód s uvedením dôvodu týchto zmien a vyčíslením ich vplyvu na finančnú hodnotu majetku, záväzkov, základného imania a výsledku hospodárenia účtovnej jednotky </w:t>
      </w:r>
      <w:r>
        <w:rPr>
          <w:b/>
          <w:sz w:val="22"/>
          <w:szCs w:val="22"/>
        </w:rPr>
        <w:t xml:space="preserve"> podvojné účtovníctvo spôsob účtovania B.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 xml:space="preserve">(3) Spôsob oceňovania jednotlivých položiek majetku a záväzkov v členení na  </w:t>
      </w:r>
      <w:r>
        <w:rPr>
          <w:b/>
          <w:sz w:val="22"/>
          <w:szCs w:val="22"/>
        </w:rPr>
        <w:t>menovitou hodnotou</w:t>
      </w:r>
    </w:p>
    <w:p>
      <w:pPr>
        <w:pStyle w:val="Normal"/>
        <w:spacing w:lineRule="auto" w:line="240" w:before="0" w:after="120"/>
        <w:rPr>
          <w:b/>
          <w:sz w:val="22"/>
          <w:szCs w:val="22"/>
        </w:rPr>
      </w:pPr>
      <w:r>
        <w:rPr>
          <w:sz w:val="22"/>
          <w:szCs w:val="22"/>
        </w:rPr>
        <w:t xml:space="preserve">a) dlhodobý nehmotný majetok obstaraný kúpou, </w:t>
      </w:r>
      <w:r>
        <w:rPr>
          <w:b/>
          <w:sz w:val="22"/>
          <w:szCs w:val="22"/>
        </w:rPr>
        <w:t>nie</w:t>
      </w:r>
    </w:p>
    <w:p>
      <w:pPr>
        <w:pStyle w:val="Normal"/>
        <w:spacing w:lineRule="auto" w:line="240" w:before="0" w:after="120"/>
        <w:rPr>
          <w:b/>
          <w:sz w:val="22"/>
          <w:szCs w:val="22"/>
        </w:rPr>
      </w:pPr>
      <w:r>
        <w:rPr>
          <w:sz w:val="22"/>
          <w:szCs w:val="22"/>
        </w:rPr>
        <w:t xml:space="preserve">b) dlhodobý nehmotný majetok obstaraný vlastnou činnosťou, </w:t>
      </w:r>
      <w:r>
        <w:rPr>
          <w:b/>
          <w:sz w:val="22"/>
          <w:szCs w:val="22"/>
        </w:rPr>
        <w:t>nie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 xml:space="preserve">c) dlhodobý nehmotný majetok obstaraný iným spôsobom, </w:t>
      </w:r>
      <w:r>
        <w:rPr>
          <w:b/>
          <w:sz w:val="22"/>
          <w:szCs w:val="22"/>
        </w:rPr>
        <w:t>nie</w:t>
      </w:r>
    </w:p>
    <w:p>
      <w:pPr>
        <w:pStyle w:val="Normal"/>
        <w:spacing w:lineRule="auto" w:line="240" w:before="0" w:after="120"/>
        <w:rPr>
          <w:b/>
          <w:sz w:val="22"/>
          <w:szCs w:val="22"/>
        </w:rPr>
      </w:pPr>
      <w:r>
        <w:rPr>
          <w:sz w:val="22"/>
          <w:szCs w:val="22"/>
        </w:rPr>
        <w:t xml:space="preserve">d) dlhodobý hmotný majetok obstaraný kúpou, </w:t>
      </w:r>
      <w:r>
        <w:rPr>
          <w:b/>
          <w:sz w:val="22"/>
          <w:szCs w:val="22"/>
        </w:rPr>
        <w:t>nie</w:t>
      </w:r>
    </w:p>
    <w:p>
      <w:pPr>
        <w:pStyle w:val="Normal"/>
        <w:spacing w:lineRule="auto" w:line="240" w:before="0" w:after="120"/>
        <w:rPr>
          <w:b/>
          <w:sz w:val="22"/>
          <w:szCs w:val="22"/>
        </w:rPr>
      </w:pPr>
      <w:r>
        <w:rPr>
          <w:sz w:val="22"/>
          <w:szCs w:val="22"/>
        </w:rPr>
        <w:t xml:space="preserve">e) dlhodobý hmotný majetok obstaraný vlastnou činnosťou, </w:t>
      </w:r>
      <w:r>
        <w:rPr>
          <w:b/>
          <w:sz w:val="22"/>
          <w:szCs w:val="22"/>
        </w:rPr>
        <w:t>nie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>f) dlhodobý hmotný majetok obstaraný iným spôsobom,</w:t>
      </w:r>
      <w:r>
        <w:rPr>
          <w:b/>
          <w:sz w:val="22"/>
          <w:szCs w:val="22"/>
        </w:rPr>
        <w:t xml:space="preserve"> nie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>g) dlhodobý finančný majetok, nie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>h) zásoby obstarané kúpou ,áno – obstarávacou cenou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>i) zásoby vytvorené vlastnou činnosťou, nie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>j) zásoby obstarané iným spôsobom, nie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>k) pohľadávky, áno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>l) krátkodobý finančný majetok, áno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>m) časové rozlíšenie na strane aktív, nie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>n) záväzky vrátane rezerv, dlhopisov, pôžičiek a úverov, áno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>o) časové rozlíšenie na strane pasív, nie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>p) deriváty,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>r) majetok a záväzky zabezpečené derivátmi.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(4) Spôsob zostavenia odpisového plánu pre jednotlivé druhy dlhodobého hmotného majetku  a dlhodobého nehmotného majetku, pričom sa uvádza doba odpisovania, použité sadzby odpisov a odpisové metódy pri určení odpisov. V roku 2022 sa zakúpila tribúna –odpis.skupina 4 doba 12 rokov rovnomerné odpisovanie (daňové odpisy sa rovnajú s účtovnými.)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(5) Zásady pre zohľadnenie zníženia hodnoty majetku. Uvádza sa, či účtovná jednotka uplatňuje opravné položky a rezervy.nie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120"/>
        <w:ind w:left="0" w:hanging="0"/>
        <w:jc w:val="center"/>
        <w:outlineLvl w:val="0"/>
        <w:rPr>
          <w:b/>
          <w:bCs/>
          <w:kern w:val="2"/>
          <w:sz w:val="22"/>
          <w:szCs w:val="22"/>
        </w:rPr>
      </w:pPr>
      <w:r>
        <w:rPr>
          <w:b/>
          <w:bCs/>
          <w:kern w:val="2"/>
          <w:sz w:val="22"/>
          <w:szCs w:val="22"/>
        </w:rPr>
        <w:t>Čl. III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120"/>
        <w:ind w:left="0" w:hanging="0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Informácie, ktoré dopĺňajú a vysvetľujú údaje v súvahe</w:t>
      </w:r>
    </w:p>
    <w:p>
      <w:pPr>
        <w:pStyle w:val="Normal"/>
        <w:numPr>
          <w:ilvl w:val="0"/>
          <w:numId w:val="5"/>
        </w:numPr>
        <w:spacing w:lineRule="auto" w:line="240" w:before="0" w:after="120"/>
        <w:ind w:left="0" w:hanging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Údaje o dlhodobom nehmotnom majetku a dlhodobom hmotnom majetku za bežné účtovné obdobie, a to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 xml:space="preserve">a) prehľad o dlhodobom majetku podľa položiek tohto majetku v členení podľa položiek súvahy; uvádza sa stav dlhodobého majetku v prvotnom ocenení na začiatku bežného účtovného obdobia, ZS- 023 5000 KS023- </w:t>
      </w:r>
      <w:r>
        <w:rPr>
          <w:sz w:val="22"/>
          <w:szCs w:val="22"/>
        </w:rPr>
        <w:t>0-predaný vyradený traktor</w:t>
      </w:r>
      <w:r>
        <w:rPr>
          <w:sz w:val="22"/>
          <w:szCs w:val="22"/>
        </w:rPr>
        <w:t xml:space="preserve">  022 11449,20 – </w:t>
      </w:r>
      <w:r>
        <w:rPr>
          <w:sz w:val="22"/>
          <w:szCs w:val="22"/>
        </w:rPr>
        <w:t xml:space="preserve">tribúna </w:t>
      </w:r>
      <w:r>
        <w:rPr>
          <w:sz w:val="22"/>
          <w:szCs w:val="22"/>
        </w:rPr>
        <w:t xml:space="preserve">CELKOM </w:t>
      </w:r>
      <w:r>
        <w:rPr>
          <w:sz w:val="22"/>
          <w:szCs w:val="22"/>
        </w:rPr>
        <w:t>11 449,20</w:t>
      </w:r>
      <w:r>
        <w:rPr>
          <w:sz w:val="22"/>
          <w:szCs w:val="22"/>
        </w:rPr>
        <w:t>€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 ZS 08 -  6431,16 prírastok 08- 954,10, KS 7385,26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>c) prehľad o zostatkových cenách dlhodobého majetku na začiatku bežného účtovného obdobia traktor -0, tribúna na začiatku  a na konci bežného účtovného obdobia 9063,94 €</w:t>
      </w:r>
    </w:p>
    <w:p>
      <w:pPr>
        <w:pStyle w:val="Normal"/>
        <w:numPr>
          <w:ilvl w:val="0"/>
          <w:numId w:val="5"/>
        </w:numPr>
        <w:spacing w:lineRule="auto" w:line="240" w:before="0" w:after="120"/>
        <w:ind w:left="0" w:hanging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Prehľad dlhodobého majetku, na ktorý je zriadené záložné právo a dlhodobého majetku, pri ktorom má účtovná jednotka obmedzené právo s ním nakladať.NIE</w:t>
      </w:r>
    </w:p>
    <w:p>
      <w:pPr>
        <w:pStyle w:val="Normal"/>
        <w:numPr>
          <w:ilvl w:val="0"/>
          <w:numId w:val="5"/>
        </w:numPr>
        <w:spacing w:lineRule="auto" w:line="240" w:before="0" w:after="120"/>
        <w:ind w:left="0" w:hanging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Údaje o spôsobe a výške poistenia dlhodobého nehmotného majetku a dlhodobého hmotného majetku 148€ </w:t>
      </w:r>
    </w:p>
    <w:p>
      <w:pPr>
        <w:pStyle w:val="Normal"/>
        <w:numPr>
          <w:ilvl w:val="0"/>
          <w:numId w:val="5"/>
        </w:numPr>
        <w:spacing w:lineRule="auto" w:line="240" w:before="0" w:after="120"/>
        <w:ind w:left="0" w:hanging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</w:p>
    <w:p>
      <w:pPr>
        <w:pStyle w:val="Normal"/>
        <w:numPr>
          <w:ilvl w:val="0"/>
          <w:numId w:val="5"/>
        </w:numPr>
        <w:spacing w:lineRule="auto" w:line="240" w:before="0" w:after="120"/>
        <w:ind w:left="0" w:hanging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Informácia o výške tvorby, zníženia a zúčtovania opravných položiek k dlhodobému finančnému majetku a opis dôvodu ich tvorby, zníženia a zúčtovania.-nie</w:t>
      </w:r>
    </w:p>
    <w:p>
      <w:pPr>
        <w:pStyle w:val="Normal"/>
        <w:numPr>
          <w:ilvl w:val="0"/>
          <w:numId w:val="5"/>
        </w:numPr>
        <w:spacing w:lineRule="auto" w:line="240" w:before="0" w:after="120"/>
        <w:ind w:left="0" w:hanging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jednotky.nie</w:t>
      </w:r>
    </w:p>
    <w:p>
      <w:pPr>
        <w:pStyle w:val="Normal"/>
        <w:numPr>
          <w:ilvl w:val="0"/>
          <w:numId w:val="5"/>
        </w:numPr>
        <w:spacing w:lineRule="auto" w:line="240" w:before="0" w:after="120"/>
        <w:ind w:left="0" w:hanging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zásobám.nie</w:t>
      </w:r>
    </w:p>
    <w:p>
      <w:pPr>
        <w:pStyle w:val="Normal"/>
        <w:numPr>
          <w:ilvl w:val="0"/>
          <w:numId w:val="5"/>
        </w:numPr>
        <w:spacing w:lineRule="auto" w:line="240" w:before="0" w:after="120"/>
        <w:ind w:left="0" w:hanging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Opis významných pohľadávok v nadväznosti na položky súvahy a v členení na pohľadávky za hlavnú nezdaňovanú  činnosť,  zdaňovanú činnosť a podnikateľskú činnosť – k 31.12.202</w:t>
      </w:r>
      <w:r>
        <w:rPr>
          <w:sz w:val="22"/>
          <w:szCs w:val="22"/>
        </w:rPr>
        <w:t>5</w:t>
      </w:r>
      <w:r>
        <w:rPr>
          <w:sz w:val="22"/>
          <w:szCs w:val="22"/>
        </w:rPr>
        <w:t xml:space="preserve"> podnikateľká činnosť</w:t>
      </w:r>
      <w:r>
        <w:rPr>
          <w:sz w:val="22"/>
          <w:szCs w:val="22"/>
        </w:rPr>
        <w:t>-nie</w:t>
      </w:r>
    </w:p>
    <w:p>
      <w:pPr>
        <w:pStyle w:val="Normal"/>
        <w:numPr>
          <w:ilvl w:val="0"/>
          <w:numId w:val="5"/>
        </w:numPr>
        <w:spacing w:lineRule="auto" w:line="240" w:before="0" w:after="120"/>
        <w:ind w:left="0" w:hanging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pohľadávkam.nie</w:t>
      </w:r>
    </w:p>
    <w:p>
      <w:pPr>
        <w:pStyle w:val="Normal"/>
        <w:numPr>
          <w:ilvl w:val="0"/>
          <w:numId w:val="5"/>
        </w:numPr>
        <w:spacing w:lineRule="auto" w:line="240" w:before="0" w:after="120"/>
        <w:ind w:left="0" w:hanging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Prehľad  pohľadávok do lehoty splatnosti a po lehote splatnosti. -</w:t>
      </w:r>
      <w:r>
        <w:rPr>
          <w:sz w:val="22"/>
          <w:szCs w:val="22"/>
        </w:rPr>
        <w:t>nie</w:t>
      </w:r>
    </w:p>
    <w:p>
      <w:pPr>
        <w:pStyle w:val="Normal"/>
        <w:numPr>
          <w:ilvl w:val="0"/>
          <w:numId w:val="5"/>
        </w:numPr>
        <w:spacing w:lineRule="auto" w:line="240" w:before="0" w:after="120"/>
        <w:ind w:left="0" w:hanging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Prehľad významných položiek časového rozlíšenia nákladov budúcich období a príjmov budúcich období </w:t>
      </w:r>
      <w:r>
        <w:rPr>
          <w:sz w:val="22"/>
          <w:szCs w:val="22"/>
        </w:rPr>
        <w:t>3600 €</w:t>
      </w:r>
    </w:p>
    <w:p>
      <w:pPr>
        <w:pStyle w:val="Normal"/>
        <w:numPr>
          <w:ilvl w:val="0"/>
          <w:numId w:val="5"/>
        </w:numPr>
        <w:spacing w:lineRule="auto" w:line="240" w:before="0" w:after="120"/>
        <w:ind w:left="0" w:hanging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Opis a výška zmien vlastných zdrojov krytia neobežného majetku a obežného majetku podľa položiek súvahy za bežné účtovné obdobie, a to </w:t>
      </w:r>
    </w:p>
    <w:p>
      <w:pPr>
        <w:pStyle w:val="Normal"/>
        <w:spacing w:lineRule="auto" w:line="240"/>
        <w:ind w:left="180" w:hanging="180"/>
        <w:rPr>
          <w:sz w:val="22"/>
          <w:szCs w:val="22"/>
        </w:rPr>
      </w:pPr>
      <w:r>
        <w:rPr>
          <w:sz w:val="22"/>
          <w:szCs w:val="22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 Základné imaniE ZS 13 745,93 +prírastok2022(tribúna krytá zo zdrojov 423) 11 449,20  KS 25195,13 €</w:t>
      </w:r>
    </w:p>
    <w:p>
      <w:pPr>
        <w:pStyle w:val="Normal"/>
        <w:spacing w:lineRule="auto" w:line="240" w:before="0" w:after="120"/>
        <w:ind w:left="142" w:hanging="142"/>
        <w:rPr>
          <w:sz w:val="22"/>
          <w:szCs w:val="22"/>
        </w:rPr>
      </w:pPr>
      <w:r>
        <w:rPr>
          <w:sz w:val="22"/>
          <w:szCs w:val="22"/>
        </w:rPr>
        <w:t xml:space="preserve">b) opis jednotlivých druhov fondov, ktoré tvorí účtovná jednotka, stav na začiatku bežného účtovného obdobia, prírastky, úbytky, presuny a zostatok na konci bežného účtovného obdobia fondy tvorené zo zisku 423 ZS=4759,48 prírastok zo zisku z minulých období </w:t>
      </w:r>
    </w:p>
    <w:p>
      <w:pPr>
        <w:pStyle w:val="Normal"/>
        <w:numPr>
          <w:ilvl w:val="0"/>
          <w:numId w:val="5"/>
        </w:numPr>
        <w:spacing w:lineRule="auto" w:line="240" w:before="0" w:after="120"/>
        <w:ind w:left="0" w:hanging="0"/>
        <w:jc w:val="center"/>
        <w:rPr>
          <w:sz w:val="22"/>
          <w:szCs w:val="22"/>
        </w:rPr>
      </w:pPr>
      <w:r>
        <w:rPr>
          <w:sz w:val="22"/>
          <w:szCs w:val="22"/>
        </w:rPr>
        <w:t>Informácia o rozdelení účtovného zisku alebo vysporiadaní účtovnej straty vykázanej v minulých účtovných  obdobiach. Prevedené na účet 428-02</w:t>
      </w:r>
      <w:r>
        <w:rPr>
          <w:sz w:val="22"/>
          <w:szCs w:val="22"/>
        </w:rPr>
        <w:t>4</w:t>
      </w:r>
      <w:r>
        <w:rPr>
          <w:sz w:val="22"/>
          <w:szCs w:val="22"/>
        </w:rPr>
        <w:t xml:space="preserve">Nevysporiadaný výsledok hospodárenia strata </w:t>
      </w:r>
      <w:r>
        <w:rPr>
          <w:sz w:val="22"/>
          <w:szCs w:val="22"/>
        </w:rPr>
        <w:t>1237€</w:t>
      </w:r>
    </w:p>
    <w:p>
      <w:pPr>
        <w:pStyle w:val="Normal"/>
        <w:numPr>
          <w:ilvl w:val="0"/>
          <w:numId w:val="5"/>
        </w:numPr>
        <w:spacing w:lineRule="auto" w:line="240" w:before="0" w:after="120"/>
        <w:ind w:left="0" w:hanging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Opis a výška cudzích zdrojov, a to</w:t>
      </w:r>
    </w:p>
    <w:p>
      <w:pPr>
        <w:pStyle w:val="Normal"/>
        <w:spacing w:lineRule="auto" w:line="240"/>
        <w:ind w:left="180" w:hanging="180"/>
        <w:rPr>
          <w:sz w:val="22"/>
          <w:szCs w:val="22"/>
        </w:rPr>
      </w:pPr>
      <w:r>
        <w:rPr>
          <w:sz w:val="22"/>
          <w:szCs w:val="22"/>
        </w:rPr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rezervy,nie</w:t>
      </w:r>
    </w:p>
    <w:p>
      <w:pPr>
        <w:pStyle w:val="Normal"/>
        <w:spacing w:lineRule="auto" w:line="240"/>
        <w:ind w:left="240" w:hanging="240"/>
        <w:rPr>
          <w:sz w:val="22"/>
          <w:szCs w:val="22"/>
        </w:rPr>
      </w:pPr>
      <w:r>
        <w:rPr>
          <w:sz w:val="22"/>
          <w:szCs w:val="22"/>
        </w:rPr>
        <w:t>b) údaje o významných položkách na účtoch 325 -  Ostatné záväzky a 379 – Iné záväzky; uvádza sa začiatočný stav, prírastky, úbytky a konečný zostatok podľa jednotlivých druhov  záväzkov,</w:t>
      </w:r>
    </w:p>
    <w:p>
      <w:pPr>
        <w:pStyle w:val="Normal"/>
        <w:spacing w:lineRule="auto" w:line="240"/>
        <w:rPr>
          <w:sz w:val="22"/>
          <w:szCs w:val="22"/>
        </w:rPr>
      </w:pPr>
      <w:r>
        <w:rPr>
          <w:sz w:val="22"/>
          <w:szCs w:val="22"/>
        </w:rPr>
        <w:t>c) prehľad  o výške záväzkov do lehoty splatnosti a po lehote splatnosti, 0€ do lehoty</w:t>
      </w:r>
    </w:p>
    <w:p>
      <w:pPr>
        <w:pStyle w:val="Normal"/>
        <w:spacing w:lineRule="auto" w:line="240"/>
        <w:ind w:left="180" w:hanging="180"/>
        <w:rPr>
          <w:sz w:val="22"/>
          <w:szCs w:val="22"/>
        </w:rPr>
      </w:pPr>
      <w:r>
        <w:rPr>
          <w:sz w:val="22"/>
          <w:szCs w:val="22"/>
        </w:rPr>
        <w:t xml:space="preserve">d) prehľad o výške záväzkov podľa zostatkovej doby splatnosti v členení podľa položiek súvahy </w:t>
      </w:r>
    </w:p>
    <w:p>
      <w:pPr>
        <w:pStyle w:val="Normal"/>
        <w:spacing w:lineRule="auto" w:line="240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>1. do jedného roka vrátane 0</w:t>
      </w:r>
    </w:p>
    <w:p>
      <w:pPr>
        <w:pStyle w:val="Normal"/>
        <w:spacing w:lineRule="auto" w:line="240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>2. od jedného roka do piatich rokov vrátane- 0</w:t>
      </w:r>
    </w:p>
    <w:p>
      <w:pPr>
        <w:pStyle w:val="Normal"/>
        <w:spacing w:lineRule="auto" w:line="240"/>
        <w:ind w:left="180" w:hanging="180"/>
        <w:rPr>
          <w:sz w:val="22"/>
          <w:szCs w:val="22"/>
        </w:rPr>
      </w:pPr>
      <w:r>
        <w:rPr>
          <w:sz w:val="22"/>
          <w:szCs w:val="22"/>
        </w:rPr>
        <w:tab/>
        <w:t>3. viac ako päť rokov-0</w:t>
      </w:r>
    </w:p>
    <w:p>
      <w:pPr>
        <w:pStyle w:val="Normal"/>
        <w:spacing w:lineRule="auto" w:line="240"/>
        <w:ind w:left="180" w:hanging="180"/>
        <w:rPr>
          <w:sz w:val="22"/>
          <w:szCs w:val="22"/>
        </w:rPr>
      </w:pPr>
      <w:r>
        <w:rPr>
          <w:sz w:val="22"/>
          <w:szCs w:val="22"/>
        </w:rPr>
        <w:t>e) prehľad o záväzkoch zo sociálneho fondu; uvádza sa začiatočný stav, tvorba a čerpanie sociálneho fondu počas účtovného obdobia a zostatok na konci účtovného obdobia, nie</w:t>
      </w:r>
    </w:p>
    <w:p>
      <w:pPr>
        <w:pStyle w:val="Normal"/>
        <w:spacing w:lineRule="auto" w:line="240"/>
        <w:ind w:left="180" w:hanging="180"/>
        <w:rPr>
          <w:sz w:val="22"/>
          <w:szCs w:val="22"/>
        </w:rPr>
      </w:pPr>
      <w:r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zabezpečenia,nie</w:t>
      </w:r>
    </w:p>
    <w:p>
      <w:pPr>
        <w:pStyle w:val="Normal"/>
        <w:spacing w:lineRule="auto" w:line="240" w:before="0" w:after="240"/>
        <w:rPr>
          <w:sz w:val="22"/>
          <w:szCs w:val="22"/>
        </w:rPr>
      </w:pPr>
      <w:r>
        <w:rPr>
          <w:sz w:val="22"/>
          <w:szCs w:val="22"/>
        </w:rPr>
        <w:t>g) prehľad o významných položkách časového rozlíšenia výdavkov budúcich období.nie</w:t>
      </w:r>
    </w:p>
    <w:p>
      <w:pPr>
        <w:pStyle w:val="Normal"/>
        <w:numPr>
          <w:ilvl w:val="0"/>
          <w:numId w:val="5"/>
        </w:numPr>
        <w:spacing w:lineRule="auto" w:line="240" w:before="0" w:after="120"/>
        <w:ind w:left="0" w:hanging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Prehľad o významných položkách výnosov budúcich období v členení najmä na</w:t>
      </w:r>
    </w:p>
    <w:p>
      <w:pPr>
        <w:pStyle w:val="Normal"/>
        <w:spacing w:lineRule="auto" w:line="240"/>
        <w:rPr>
          <w:sz w:val="22"/>
          <w:szCs w:val="22"/>
        </w:rPr>
      </w:pPr>
      <w:r>
        <w:rPr>
          <w:sz w:val="22"/>
          <w:szCs w:val="22"/>
        </w:rPr>
        <w:t>a) zostatkovú hodnotu bezodplatne nadobudnutého dlhodobého majetku,</w:t>
      </w:r>
    </w:p>
    <w:p>
      <w:pPr>
        <w:pStyle w:val="Normal"/>
        <w:spacing w:lineRule="auto" w:line="240"/>
        <w:rPr>
          <w:sz w:val="22"/>
          <w:szCs w:val="22"/>
        </w:rPr>
      </w:pPr>
      <w:r>
        <w:rPr>
          <w:sz w:val="22"/>
          <w:szCs w:val="22"/>
        </w:rPr>
        <w:t>b) zostatkovú hodnotu dlhodobého majetku obstaraného z dotácie,</w:t>
      </w:r>
    </w:p>
    <w:p>
      <w:pPr>
        <w:pStyle w:val="Normal"/>
        <w:spacing w:lineRule="auto" w:line="240"/>
        <w:rPr>
          <w:sz w:val="22"/>
          <w:szCs w:val="22"/>
        </w:rPr>
      </w:pPr>
      <w:r>
        <w:rPr>
          <w:sz w:val="22"/>
          <w:szCs w:val="22"/>
        </w:rPr>
        <w:t>c) zostatok nepoužitej dotácie alebo grantu,</w:t>
      </w:r>
    </w:p>
    <w:p>
      <w:pPr>
        <w:pStyle w:val="Normal"/>
        <w:spacing w:lineRule="auto" w:line="240"/>
        <w:rPr>
          <w:sz w:val="22"/>
          <w:szCs w:val="22"/>
        </w:rPr>
      </w:pPr>
      <w:r>
        <w:rPr>
          <w:sz w:val="22"/>
          <w:szCs w:val="22"/>
        </w:rPr>
        <w:t>d) zostatok nepoužitej časti podielu zaplatenej dane,</w:t>
      </w:r>
    </w:p>
    <w:p>
      <w:pPr>
        <w:pStyle w:val="Normal"/>
        <w:spacing w:lineRule="auto" w:line="240"/>
        <w:rPr>
          <w:sz w:val="22"/>
          <w:szCs w:val="22"/>
        </w:rPr>
      </w:pPr>
      <w:r>
        <w:rPr>
          <w:sz w:val="22"/>
          <w:szCs w:val="22"/>
        </w:rPr>
        <w:t>e) zostatkovú hodnotu dlhodobého majetku obstaraného z podielu zaplatenej dane,</w:t>
      </w:r>
    </w:p>
    <w:p>
      <w:pPr>
        <w:pStyle w:val="Normal"/>
        <w:spacing w:lineRule="auto" w:line="240"/>
        <w:rPr>
          <w:b/>
          <w:sz w:val="22"/>
          <w:szCs w:val="22"/>
        </w:rPr>
      </w:pPr>
      <w:r>
        <w:rPr>
          <w:sz w:val="22"/>
          <w:szCs w:val="22"/>
        </w:rPr>
        <w:t>f</w:t>
      </w:r>
      <w:r>
        <w:rPr>
          <w:b/>
          <w:sz w:val="22"/>
          <w:szCs w:val="22"/>
        </w:rPr>
        <w:t>) zostatok nepoužitého peňažného plnenia na základe zmluvy o sponzorstve v športe (ďalej len „sponzorské“),</w:t>
      </w:r>
    </w:p>
    <w:p>
      <w:pPr>
        <w:pStyle w:val="Normal"/>
        <w:spacing w:lineRule="auto" w:line="240"/>
        <w:rPr>
          <w:sz w:val="22"/>
          <w:szCs w:val="22"/>
        </w:rPr>
      </w:pPr>
      <w:r>
        <w:rPr>
          <w:b/>
          <w:sz w:val="22"/>
          <w:szCs w:val="22"/>
        </w:rPr>
        <w:t>g) zostatková hodnota dlhodobého majetku obstaraného zo sponzorského</w:t>
      </w:r>
      <w:r>
        <w:rPr>
          <w:sz w:val="22"/>
          <w:szCs w:val="22"/>
        </w:rPr>
        <w:t>.</w:t>
      </w:r>
    </w:p>
    <w:p>
      <w:pPr>
        <w:pStyle w:val="Normal"/>
        <w:numPr>
          <w:ilvl w:val="0"/>
          <w:numId w:val="5"/>
        </w:numPr>
        <w:spacing w:lineRule="auto" w:line="240" w:before="0" w:after="120"/>
        <w:ind w:left="0" w:hanging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>Údaje o majetku prenajatom formou finančného prenájmu, a to - nie</w:t>
      </w:r>
    </w:p>
    <w:p>
      <w:pPr>
        <w:pStyle w:val="Normal"/>
        <w:spacing w:lineRule="auto" w:line="240"/>
        <w:ind w:left="240" w:hanging="240"/>
        <w:rPr>
          <w:sz w:val="22"/>
          <w:szCs w:val="22"/>
        </w:rPr>
      </w:pPr>
      <w:r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>
      <w:pPr>
        <w:pStyle w:val="Normal"/>
        <w:spacing w:lineRule="auto" w:line="240"/>
        <w:ind w:left="240" w:hanging="240"/>
        <w:rPr>
          <w:sz w:val="22"/>
          <w:szCs w:val="22"/>
        </w:rPr>
      </w:pPr>
      <w:r>
        <w:rPr>
          <w:sz w:val="22"/>
          <w:szCs w:val="22"/>
        </w:rPr>
        <w:t xml:space="preserve">b) suma istiny a finančného nákladu podľa doby splatnosti </w:t>
      </w:r>
    </w:p>
    <w:p>
      <w:pPr>
        <w:pStyle w:val="Normal"/>
        <w:spacing w:lineRule="auto" w:line="240"/>
        <w:ind w:left="240" w:hanging="240"/>
        <w:rPr>
          <w:sz w:val="22"/>
          <w:szCs w:val="22"/>
        </w:rPr>
      </w:pPr>
      <w:r>
        <w:rPr>
          <w:sz w:val="22"/>
          <w:szCs w:val="22"/>
        </w:rPr>
        <w:tab/>
        <w:t>1. do jedného roka vrátane,</w:t>
      </w:r>
    </w:p>
    <w:p>
      <w:pPr>
        <w:pStyle w:val="Normal"/>
        <w:spacing w:lineRule="auto" w:line="240"/>
        <w:ind w:left="240" w:hanging="240"/>
        <w:rPr>
          <w:sz w:val="22"/>
          <w:szCs w:val="22"/>
        </w:rPr>
      </w:pPr>
      <w:r>
        <w:rPr>
          <w:sz w:val="22"/>
          <w:szCs w:val="22"/>
        </w:rPr>
        <w:tab/>
        <w:t>2. od jedného roka do piatich rokov vrátane,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 xml:space="preserve">     </w:t>
      </w:r>
      <w:r>
        <w:rPr>
          <w:sz w:val="22"/>
          <w:szCs w:val="22"/>
        </w:rPr>
        <w:t>3. viac ako päť rokov.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120"/>
        <w:ind w:left="0" w:hanging="0"/>
        <w:jc w:val="center"/>
        <w:outlineLvl w:val="0"/>
        <w:rPr>
          <w:b/>
          <w:bCs/>
          <w:kern w:val="2"/>
          <w:sz w:val="22"/>
          <w:szCs w:val="22"/>
        </w:rPr>
      </w:pPr>
      <w:r>
        <w:rPr>
          <w:b/>
          <w:bCs/>
          <w:kern w:val="2"/>
          <w:sz w:val="22"/>
          <w:szCs w:val="22"/>
        </w:rPr>
        <w:t>Čl. IV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120"/>
        <w:ind w:left="0" w:hanging="0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Informácie, ktoré dopĺňajú a vysvetľujú údaje vo výkaze ziskov a strát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>(1) Prehľad tržieb za vlastné výkony a tovar s uvedením ich opisu a vyčíslením hodnoty tržieb podľa jednotlivých hlavných druhov výrobkov,  služieb hlavnej činnosti  a podnikateľskej činnosti účtovnej jednotky-</w:t>
      </w:r>
      <w:r>
        <w:rPr>
          <w:sz w:val="22"/>
          <w:szCs w:val="22"/>
        </w:rPr>
        <w:t xml:space="preserve">predaj traktora </w:t>
      </w:r>
      <w:r>
        <w:rPr>
          <w:sz w:val="22"/>
          <w:szCs w:val="22"/>
        </w:rPr>
        <w:t xml:space="preserve">tržby  </w:t>
      </w:r>
      <w:r>
        <w:rPr>
          <w:sz w:val="22"/>
          <w:szCs w:val="22"/>
        </w:rPr>
        <w:t>3000€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>(2) Opis a vyčíslenie hodnoty významných položiek prijatých darov, osobitných výnosov, zákonných poplatkov a iných ostatných výnosov. - NIE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 xml:space="preserve">(3) Prehľad  dotácií a grantov, ktoré účtovná jednotka prijala v priebehu bežného účtovného obdobia. Dotácia Obecný úrad 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 xml:space="preserve">8 000€,    2% z daní </w:t>
      </w:r>
      <w:r>
        <w:rPr>
          <w:sz w:val="22"/>
          <w:szCs w:val="22"/>
        </w:rPr>
        <w:t>2661,82€ prenesené na 384 vyčerpané 61,62 € Dotácia TSK 1000 – na 384 1000€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>(4) Opis a suma významných položiek finančných výnosov; uvádza sa aj celková suma kurzových ziskov, pričom  osobitne sa uvádza hodnota kurzových ziskov účtovaná ku dňu, ku ktorému sa zostavuje účtovná závierka.- nie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>(5) Opis a vyčíslenie hodnoty významných položiek nákladov, nákladov na ostatné služby, osobitných nákladov a iných ostatných nákladov.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>(6) Prehľad o účele a výške použitia podielu zaplatenej dane za bežné účtovné obdobie   športová činnosť.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>(7) Opis a suma významných položiek finančných nákladov; uvádza sa aj celková suma kurzových strát, pričom osobitne sa uvádza hodnota kurzových strát účtovaná ku dňu, ku ktorému sa zostavuje účtovná závierka. nie</w:t>
      </w:r>
    </w:p>
    <w:p>
      <w:pPr>
        <w:pStyle w:val="Normal"/>
        <w:spacing w:lineRule="auto" w:line="240"/>
        <w:rPr>
          <w:sz w:val="22"/>
          <w:szCs w:val="22"/>
        </w:rPr>
      </w:pPr>
      <w:r>
        <w:rPr>
          <w:sz w:val="22"/>
          <w:szCs w:val="22"/>
        </w:rPr>
        <w:t>(8) V účtovnej jednotke, ktorá má povinnosť overenia účtovnej závierky audítorom, sa uvedie vymedzenie a suma nákladov za účtovné obdobie v členení na náklady za  Nie</w:t>
      </w:r>
    </w:p>
    <w:p>
      <w:pPr>
        <w:pStyle w:val="Normal"/>
        <w:spacing w:lineRule="auto" w:line="240"/>
        <w:rPr>
          <w:sz w:val="22"/>
          <w:szCs w:val="22"/>
        </w:rPr>
      </w:pPr>
      <w:r>
        <w:rPr>
          <w:sz w:val="22"/>
          <w:szCs w:val="22"/>
        </w:rPr>
        <w:t>a) overenie účtovnej závierky,</w:t>
      </w:r>
    </w:p>
    <w:p>
      <w:pPr>
        <w:pStyle w:val="Normal"/>
        <w:spacing w:lineRule="auto" w:line="240"/>
        <w:rPr>
          <w:sz w:val="22"/>
          <w:szCs w:val="22"/>
        </w:rPr>
      </w:pPr>
      <w:r>
        <w:rPr>
          <w:sz w:val="22"/>
          <w:szCs w:val="22"/>
        </w:rPr>
        <w:t>b) poisťovacie audítorské služby okrem  overenia účtovnej závierky,</w:t>
      </w:r>
    </w:p>
    <w:p>
      <w:pPr>
        <w:pStyle w:val="Normal"/>
        <w:spacing w:lineRule="auto" w:line="240"/>
        <w:rPr>
          <w:sz w:val="22"/>
          <w:szCs w:val="22"/>
        </w:rPr>
      </w:pPr>
      <w:r>
        <w:rPr>
          <w:sz w:val="22"/>
          <w:szCs w:val="22"/>
        </w:rPr>
        <w:t>c) daňové poradenstvo,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>d) ostatné neaudítorské služby.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120"/>
        <w:ind w:left="0" w:hanging="0"/>
        <w:jc w:val="center"/>
        <w:outlineLvl w:val="0"/>
        <w:rPr>
          <w:b/>
          <w:bCs/>
          <w:kern w:val="2"/>
          <w:sz w:val="22"/>
          <w:szCs w:val="22"/>
        </w:rPr>
      </w:pPr>
      <w:r>
        <w:rPr>
          <w:b/>
          <w:bCs/>
          <w:kern w:val="2"/>
          <w:sz w:val="22"/>
          <w:szCs w:val="22"/>
        </w:rPr>
        <w:t>Čl. V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120"/>
        <w:ind w:left="0" w:hanging="0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Opis údajov na podsúvahových účtoch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>Významné položky prenajatého majetku, majetku prijatého do úschovy,  odpísané pohľadávky a prípadné ďalšie položky.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120"/>
        <w:ind w:left="0" w:hanging="0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Čl. VI</w:t>
      </w:r>
    </w:p>
    <w:p>
      <w:pPr>
        <w:pStyle w:val="Normal"/>
        <w:keepNext w:val="true"/>
        <w:numPr>
          <w:ilvl w:val="0"/>
          <w:numId w:val="0"/>
        </w:numPr>
        <w:spacing w:lineRule="auto" w:line="240" w:before="0" w:after="120"/>
        <w:ind w:left="0" w:hanging="0"/>
        <w:jc w:val="center"/>
        <w:outlineLvl w:val="1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Ďalšie informácie</w:t>
      </w:r>
    </w:p>
    <w:p>
      <w:pPr>
        <w:pStyle w:val="Textopatrenia"/>
        <w:numPr>
          <w:ilvl w:val="0"/>
          <w:numId w:val="0"/>
        </w:numPr>
        <w:ind w:left="0" w:hanging="0"/>
        <w:rPr/>
      </w:pPr>
      <w:r>
        <w:rPr/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>
      <w:pPr>
        <w:pStyle w:val="Textopatrenia"/>
        <w:numPr>
          <w:ilvl w:val="0"/>
          <w:numId w:val="0"/>
        </w:numPr>
        <w:ind w:left="0" w:hanging="0"/>
        <w:rPr/>
      </w:pPr>
      <w:r>
        <w:rPr/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>
      <w:pPr>
        <w:pStyle w:val="Textopatrenia"/>
        <w:numPr>
          <w:ilvl w:val="0"/>
          <w:numId w:val="0"/>
        </w:numPr>
        <w:ind w:left="0" w:hanging="0"/>
        <w:rPr/>
      </w:pPr>
      <w:r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>
      <w:pPr>
        <w:pStyle w:val="Textopatrenia"/>
        <w:numPr>
          <w:ilvl w:val="0"/>
          <w:numId w:val="0"/>
        </w:numPr>
        <w:ind w:left="0" w:hanging="0"/>
        <w:rPr/>
      </w:pPr>
      <w:r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>
      <w:pPr>
        <w:pStyle w:val="Textopatrenia"/>
        <w:numPr>
          <w:ilvl w:val="0"/>
          <w:numId w:val="0"/>
        </w:numPr>
        <w:ind w:left="0" w:hanging="0"/>
        <w:rPr/>
      </w:pPr>
      <w:r>
        <w:rPr/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>
      <w:pPr>
        <w:pStyle w:val="Textopatrenia"/>
        <w:numPr>
          <w:ilvl w:val="0"/>
          <w:numId w:val="0"/>
        </w:numPr>
        <w:ind w:left="0" w:hanging="0"/>
        <w:rPr/>
      </w:pPr>
      <w:r>
        <w:rPr/>
        <w:t>a) povinnosť z devízových termínovaných obchodov a iných finančných derivátov,</w:t>
      </w:r>
    </w:p>
    <w:p>
      <w:pPr>
        <w:pStyle w:val="Textopatrenia"/>
        <w:numPr>
          <w:ilvl w:val="0"/>
          <w:numId w:val="0"/>
        </w:numPr>
        <w:ind w:left="0" w:hanging="0"/>
        <w:rPr/>
      </w:pPr>
      <w:r>
        <w:rPr/>
        <w:t>b) povinnosť z opčných obchodov,</w:t>
      </w:r>
    </w:p>
    <w:p>
      <w:pPr>
        <w:pStyle w:val="Textopatrenia"/>
        <w:numPr>
          <w:ilvl w:val="0"/>
          <w:numId w:val="0"/>
        </w:numPr>
        <w:ind w:left="0" w:hanging="0"/>
        <w:rPr/>
      </w:pPr>
      <w:r>
        <w:rPr/>
        <w:t>c) zákonná povinnosť alebo zmluvná povinnosť odobrať určité produkty alebo služby, napríklad z dodávateľských alebo odberateľských zmlúv,</w:t>
      </w:r>
    </w:p>
    <w:p>
      <w:pPr>
        <w:pStyle w:val="Textopatrenia"/>
        <w:numPr>
          <w:ilvl w:val="0"/>
          <w:numId w:val="0"/>
        </w:numPr>
        <w:ind w:left="0" w:hanging="0"/>
        <w:rPr/>
      </w:pPr>
      <w:r>
        <w:rPr/>
        <w:t>d) povinnosť z leasingových, nájomných, servisných, poistných, koncesionárskych, licenčných zmlúv a podobných zmlúv,</w:t>
      </w:r>
    </w:p>
    <w:p>
      <w:pPr>
        <w:pStyle w:val="Textopatrenia"/>
        <w:numPr>
          <w:ilvl w:val="0"/>
          <w:numId w:val="0"/>
        </w:numPr>
        <w:ind w:left="0" w:hanging="0"/>
        <w:rPr/>
      </w:pPr>
      <w:r>
        <w:rPr/>
        <w:t xml:space="preserve">e) iné povinnosti. 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>(4) Prehľad nehnuteľných kultúrnych pamiatok, ktoré sú v správe alebo vo vlastníctve účtovnej jednotky.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  <w:t>(5) Informácie o významných skutočnostiach, ktoré nastali medzi dňom, ku ktorému sa zostavuje účtovná závierka a dňom jej zostavenia.</w:t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 w:before="0" w:after="120"/>
        <w:jc w:val="left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 ods.  4 o počte zamestnancov a dobrovoľníkov</w:t>
      </w:r>
    </w:p>
    <w:tbl>
      <w:tblPr>
        <w:tblW w:w="9924" w:type="dxa"/>
        <w:jc w:val="left"/>
        <w:tblInd w:w="25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961"/>
        <w:gridCol w:w="2408"/>
        <w:gridCol w:w="2555"/>
      </w:tblGrid>
      <w:tr>
        <w:trPr/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extopatrenia"/>
              <w:widowControl w:val="false"/>
              <w:numPr>
                <w:ilvl w:val="0"/>
                <w:numId w:val="0"/>
              </w:numPr>
              <w:spacing w:before="0" w:after="0"/>
              <w:ind w:left="0" w:hanging="0"/>
              <w:rPr/>
            </w:pPr>
            <w:r>
              <w:rPr/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>
        <w:trPr>
          <w:trHeight w:val="391" w:hRule="atLeast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extopatrenia"/>
              <w:widowControl w:val="false"/>
              <w:numPr>
                <w:ilvl w:val="0"/>
                <w:numId w:val="0"/>
              </w:numPr>
              <w:spacing w:before="0" w:after="0"/>
              <w:ind w:left="0" w:hanging="0"/>
              <w:jc w:val="left"/>
              <w:rPr/>
            </w:pPr>
            <w:r>
              <w:rPr/>
              <w:t>Priemerný prepočítaný počet zamestnancov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extopatrenia"/>
              <w:widowControl w:val="false"/>
              <w:numPr>
                <w:ilvl w:val="0"/>
                <w:numId w:val="0"/>
              </w:numPr>
              <w:spacing w:before="0" w:after="0"/>
              <w:ind w:left="0" w:hanging="0"/>
              <w:jc w:val="left"/>
              <w:rPr/>
            </w:pPr>
            <w:r>
              <w:rPr/>
              <w:t>0</w:t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extopatrenia"/>
              <w:widowControl w:val="false"/>
              <w:numPr>
                <w:ilvl w:val="0"/>
                <w:numId w:val="0"/>
              </w:numPr>
              <w:spacing w:before="0" w:after="0"/>
              <w:ind w:left="0" w:hanging="0"/>
              <w:jc w:val="left"/>
              <w:rPr/>
            </w:pPr>
            <w:r>
              <w:rPr/>
              <w:t>2</w:t>
            </w:r>
          </w:p>
        </w:tc>
      </w:tr>
      <w:tr>
        <w:trPr>
          <w:trHeight w:val="391" w:hRule="atLeast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extopatrenia"/>
              <w:widowControl w:val="false"/>
              <w:numPr>
                <w:ilvl w:val="0"/>
                <w:numId w:val="0"/>
              </w:numPr>
              <w:spacing w:before="0" w:after="0"/>
              <w:ind w:left="0" w:hanging="0"/>
              <w:jc w:val="left"/>
              <w:rPr/>
            </w:pPr>
            <w:r>
              <w:rPr/>
              <w:t>z toho  počet vedúcich zamestnancov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extopatrenia"/>
              <w:widowControl w:val="false"/>
              <w:numPr>
                <w:ilvl w:val="0"/>
                <w:numId w:val="0"/>
              </w:numPr>
              <w:spacing w:before="0" w:after="0"/>
              <w:ind w:left="0" w:hanging="0"/>
              <w:jc w:val="left"/>
              <w:rPr/>
            </w:pPr>
            <w:r>
              <w:rPr/>
              <w:t>0</w:t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extopatrenia"/>
              <w:widowControl w:val="false"/>
              <w:numPr>
                <w:ilvl w:val="0"/>
                <w:numId w:val="0"/>
              </w:numPr>
              <w:spacing w:before="0" w:after="0"/>
              <w:ind w:left="0" w:hanging="0"/>
              <w:jc w:val="left"/>
              <w:rPr/>
            </w:pPr>
            <w:r>
              <w:rPr/>
              <w:t>0</w:t>
            </w:r>
          </w:p>
        </w:tc>
      </w:tr>
      <w:tr>
        <w:trPr>
          <w:trHeight w:val="391" w:hRule="atLeast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extopatrenia"/>
              <w:widowControl w:val="false"/>
              <w:numPr>
                <w:ilvl w:val="0"/>
                <w:numId w:val="0"/>
              </w:numPr>
              <w:spacing w:before="0" w:after="0"/>
              <w:ind w:left="0" w:hanging="0"/>
              <w:jc w:val="left"/>
              <w:rPr/>
            </w:pPr>
            <w:r>
              <w:rPr/>
              <w:t xml:space="preserve">Počet dobrovoľníkov vyslaných účtovnou jednotkou 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extopatrenia"/>
              <w:widowControl w:val="false"/>
              <w:numPr>
                <w:ilvl w:val="0"/>
                <w:numId w:val="0"/>
              </w:numPr>
              <w:spacing w:before="0" w:after="0"/>
              <w:ind w:left="0" w:hanging="0"/>
              <w:jc w:val="left"/>
              <w:rPr/>
            </w:pPr>
            <w:r>
              <w:rPr/>
              <w:t>0</w:t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extopatrenia"/>
              <w:widowControl w:val="false"/>
              <w:numPr>
                <w:ilvl w:val="0"/>
                <w:numId w:val="0"/>
              </w:numPr>
              <w:spacing w:before="0" w:after="0"/>
              <w:ind w:left="0" w:hanging="0"/>
              <w:jc w:val="left"/>
              <w:rPr/>
            </w:pPr>
            <w:r>
              <w:rPr/>
              <w:t>0</w:t>
            </w:r>
          </w:p>
        </w:tc>
      </w:tr>
      <w:tr>
        <w:trPr>
          <w:trHeight w:val="391" w:hRule="atLeast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extopatrenia"/>
              <w:widowControl w:val="false"/>
              <w:numPr>
                <w:ilvl w:val="0"/>
                <w:numId w:val="0"/>
              </w:numPr>
              <w:spacing w:before="0" w:after="0"/>
              <w:ind w:left="0" w:hanging="0"/>
              <w:jc w:val="left"/>
              <w:rPr/>
            </w:pPr>
            <w:r>
              <w:rPr/>
              <w:t>Počet dobrovoľníkov, ktorí vykonávali dobrovoľnícku činnosť pre účtovnú jednotku počas účtovného obdobia</w:t>
            </w:r>
          </w:p>
        </w:tc>
        <w:tc>
          <w:tcPr>
            <w:tcW w:w="2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extopatrenia"/>
              <w:widowControl w:val="false"/>
              <w:numPr>
                <w:ilvl w:val="0"/>
                <w:numId w:val="0"/>
              </w:numPr>
              <w:spacing w:before="0" w:after="0"/>
              <w:ind w:left="0" w:hanging="0"/>
              <w:jc w:val="left"/>
              <w:rPr/>
            </w:pPr>
            <w:r>
              <w:rPr/>
              <w:t>10</w:t>
            </w:r>
          </w:p>
        </w:tc>
        <w:tc>
          <w:tcPr>
            <w:tcW w:w="25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extopatrenia"/>
              <w:widowControl w:val="false"/>
              <w:numPr>
                <w:ilvl w:val="0"/>
                <w:numId w:val="0"/>
              </w:numPr>
              <w:spacing w:before="0" w:after="0"/>
              <w:ind w:left="0" w:hanging="0"/>
              <w:jc w:val="left"/>
              <w:rPr/>
            </w:pPr>
            <w:r>
              <w:rPr/>
              <w:t>10</w:t>
            </w:r>
          </w:p>
        </w:tc>
      </w:tr>
    </w:tbl>
    <w:p>
      <w:pPr>
        <w:sectPr>
          <w:footerReference w:type="default" r:id="rId2"/>
          <w:type w:val="nextPage"/>
          <w:pgSz w:w="11906" w:h="16838"/>
          <w:pgMar w:left="851" w:right="851" w:gutter="0" w:header="0" w:top="851" w:footer="709" w:bottom="851"/>
          <w:pgNumType w:start="7" w:fmt="decimal"/>
          <w:formProt w:val="false"/>
          <w:textDirection w:val="lrTb"/>
          <w:docGrid w:type="default" w:linePitch="272" w:charSpace="8192"/>
        </w:sectPr>
        <w:pStyle w:val="Normal"/>
        <w:spacing w:lineRule="auto" w:line="240" w:before="0" w:after="120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Normal"/>
        <w:spacing w:lineRule="auto" w:line="240" w:before="0" w:after="120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 k čl. III ods. 1 o stave a pohybe dlhodobého nehmotného majetku a dlhodobého hmotného majetku</w:t>
      </w:r>
    </w:p>
    <w:p>
      <w:pPr>
        <w:pStyle w:val="Normal"/>
        <w:spacing w:lineRule="auto" w:line="240" w:before="0" w:after="120"/>
        <w:rPr>
          <w:b/>
          <w:sz w:val="22"/>
          <w:szCs w:val="22"/>
        </w:rPr>
      </w:pPr>
      <w:r>
        <w:rPr>
          <w:b/>
          <w:sz w:val="22"/>
          <w:szCs w:val="22"/>
        </w:rPr>
        <w:t>Tabuľka č. 1</w:t>
      </w:r>
    </w:p>
    <w:tbl>
      <w:tblPr>
        <w:tblW w:w="15474" w:type="dxa"/>
        <w:jc w:val="left"/>
        <w:tblInd w:w="3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376"/>
        <w:gridCol w:w="1871"/>
        <w:gridCol w:w="1871"/>
        <w:gridCol w:w="1872"/>
        <w:gridCol w:w="1871"/>
        <w:gridCol w:w="1872"/>
        <w:gridCol w:w="1873"/>
        <w:gridCol w:w="1866"/>
      </w:tblGrid>
      <w:tr>
        <w:trPr/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Nehmotné výsledky z vývojovej a obdobnej činnosti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Softvér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Oceniteľné práva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Ostatný dlhodobý nehmotný majetok</w:t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Obstaranie dlhodobého nehmotného majetku</w:t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preddavky na dlhodobý nehmotný majetok</w:t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</w:tr>
      <w:tr>
        <w:trPr/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Prvotné ocenenie</w:t>
            </w:r>
            <w:r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403" w:hRule="atLeast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403" w:hRule="atLeast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403" w:hRule="atLeast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Oprávky – </w:t>
            </w: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403" w:hRule="atLeast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403" w:hRule="atLeast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Opravné položky</w:t>
            </w:r>
            <w:r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09" w:hRule="atLeast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37" w:hRule="atLeast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37" w:hRule="atLeast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37" w:hRule="atLeast"/>
        </w:trPr>
        <w:tc>
          <w:tcPr>
            <w:tcW w:w="15472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Zostatková hodnota</w:t>
            </w:r>
          </w:p>
        </w:tc>
      </w:tr>
      <w:tr>
        <w:trPr>
          <w:trHeight w:val="361" w:hRule="atLeast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61" w:hRule="atLeast"/>
        </w:trPr>
        <w:tc>
          <w:tcPr>
            <w:tcW w:w="23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Normal"/>
        <w:spacing w:lineRule="auto" w:line="240" w:before="0" w:after="120"/>
        <w:rPr>
          <w:b/>
          <w:sz w:val="22"/>
          <w:szCs w:val="22"/>
        </w:rPr>
      </w:pPr>
      <w:r>
        <w:rPr>
          <w:b/>
          <w:sz w:val="22"/>
          <w:szCs w:val="22"/>
        </w:rPr>
        <w:t>Tabuľka č. 2</w:t>
      </w:r>
    </w:p>
    <w:tbl>
      <w:tblPr>
        <w:tblW w:w="15685" w:type="dxa"/>
        <w:jc w:val="left"/>
        <w:tblInd w:w="3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943"/>
        <w:gridCol w:w="1226"/>
        <w:gridCol w:w="1232"/>
        <w:gridCol w:w="1209"/>
        <w:gridCol w:w="1245"/>
        <w:gridCol w:w="1244"/>
        <w:gridCol w:w="1439"/>
        <w:gridCol w:w="1226"/>
        <w:gridCol w:w="1228"/>
        <w:gridCol w:w="1249"/>
        <w:gridCol w:w="1242"/>
        <w:gridCol w:w="1201"/>
      </w:tblGrid>
      <w:tr>
        <w:trPr/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Pozemky</w:t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Umelecké diela a zbierky</w:t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Stavby</w:t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Dopravné prostriedky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Pestovateľské celky trvalých porastov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Základné stádo a ťažné zvieratá</w:t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Drobný a ostatný dlhodobý hmotný majetok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Obstaranie dlhodobého hmotného majetku</w:t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Poskytnuté preddavky na dlhodobý hmotný majetok</w:t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</w:tr>
      <w:tr>
        <w:trPr/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Prvotné ocenenie</w:t>
            </w:r>
            <w:r>
              <w:rPr>
                <w:sz w:val="22"/>
                <w:szCs w:val="22"/>
              </w:rPr>
              <w:t xml:space="preserve"> - stav na začiatku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11449,20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5000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16449,20</w:t>
            </w:r>
          </w:p>
        </w:tc>
      </w:tr>
      <w:tr>
        <w:trPr>
          <w:trHeight w:val="401" w:hRule="atLeast"/>
        </w:trPr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421" w:hRule="atLeast"/>
        </w:trPr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5000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5000</w:t>
            </w:r>
          </w:p>
        </w:tc>
      </w:tr>
      <w:tr>
        <w:trPr>
          <w:trHeight w:val="421" w:hRule="atLeast"/>
        </w:trPr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11449,20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/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11</w:t>
            </w:r>
            <w:r>
              <w:rPr>
                <w:sz w:val="22"/>
                <w:szCs w:val="22"/>
              </w:rPr>
              <w:t>449,20</w:t>
            </w:r>
          </w:p>
        </w:tc>
      </w:tr>
      <w:tr>
        <w:trPr/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 xml:space="preserve">Oprávky – </w:t>
            </w: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1431,16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5000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6431,16</w:t>
            </w:r>
          </w:p>
        </w:tc>
      </w:tr>
      <w:tr>
        <w:trPr>
          <w:trHeight w:val="426" w:hRule="atLeast"/>
        </w:trPr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954,10</w:t>
            </w:r>
          </w:p>
        </w:tc>
      </w:tr>
      <w:tr>
        <w:trPr>
          <w:trHeight w:val="439" w:hRule="atLeast"/>
        </w:trPr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5000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2385,26</w:t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/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  <w:r>
              <w:rPr>
                <w:sz w:val="22"/>
                <w:szCs w:val="22"/>
              </w:rPr>
              <w:t>385,26</w:t>
            </w:r>
          </w:p>
        </w:tc>
      </w:tr>
      <w:tr>
        <w:trPr/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Opravné položky</w:t>
            </w:r>
            <w:r>
              <w:rPr>
                <w:sz w:val="22"/>
                <w:szCs w:val="22"/>
              </w:rPr>
              <w:t xml:space="preserve"> – stav na začiatku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09" w:hRule="atLeast"/>
        </w:trPr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prírastky 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37" w:hRule="atLeast"/>
        </w:trPr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úbytky 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37" w:hRule="atLeast"/>
        </w:trPr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61" w:hRule="atLeast"/>
        </w:trPr>
        <w:tc>
          <w:tcPr>
            <w:tcW w:w="15684" w:type="dxa"/>
            <w:gridSpan w:val="1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Zostatková hodnota</w:t>
            </w:r>
          </w:p>
        </w:tc>
      </w:tr>
      <w:tr>
        <w:trPr>
          <w:trHeight w:val="361" w:hRule="atLeast"/>
        </w:trPr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začiatku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61" w:hRule="atLeast"/>
        </w:trPr>
        <w:tc>
          <w:tcPr>
            <w:tcW w:w="1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 na konci bežného účtovného obdobia</w:t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3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4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 w:before="0" w:after="120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III ods. 4 a 5  o štruktúre a o zmenách jednotlivých položiek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firstRow="0" w:noVBand="0" w:lastRow="0" w:firstColumn="0" w:lastColumn="0" w:noHBand="0" w:val="0000"/>
      </w:tblPr>
      <w:tblGrid>
        <w:gridCol w:w="2871"/>
        <w:gridCol w:w="2110"/>
        <w:gridCol w:w="1969"/>
        <w:gridCol w:w="1687"/>
        <w:gridCol w:w="1523"/>
        <w:gridCol w:w="1291"/>
        <w:gridCol w:w="1406"/>
        <w:gridCol w:w="1296"/>
        <w:gridCol w:w="981"/>
      </w:tblGrid>
      <w:tr>
        <w:trPr>
          <w:trHeight w:val="1393" w:hRule="atLeast"/>
        </w:trPr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Podielové cenné papiere a podiely v ovládanej obchodnej spoločnosti</w:t>
            </w:r>
          </w:p>
        </w:tc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Podielové cenné papiere a podiely v obchodnej spoločnosti s podstatným vplyvom</w:t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Dlhové cenné papiere držané do splatnosti</w:t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Pôžičky podnikom v skupine a ostatné pôžičky</w:t>
            </w:r>
          </w:p>
        </w:tc>
        <w:tc>
          <w:tcPr>
            <w:tcW w:w="1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Ostatný dlhodobý finančný majetok</w:t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Obstaranie dlhodobého finančného majetku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Poskytnuté preddavky na dlhodobý finančný  majetok</w:t>
            </w:r>
          </w:p>
        </w:tc>
        <w:tc>
          <w:tcPr>
            <w:tcW w:w="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Spolu</w:t>
            </w:r>
          </w:p>
        </w:tc>
      </w:tr>
      <w:tr>
        <w:trPr>
          <w:trHeight w:val="278" w:hRule="atLeast"/>
        </w:trPr>
        <w:tc>
          <w:tcPr>
            <w:tcW w:w="15134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  na začiatku bežného účtovného obdobia</w:t>
            </w:r>
          </w:p>
        </w:tc>
        <w:tc>
          <w:tcPr>
            <w:tcW w:w="2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</w:tr>
      <w:tr>
        <w:trPr>
          <w:trHeight w:val="278" w:hRule="atLeast"/>
        </w:trPr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w="2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</w:tr>
      <w:tr>
        <w:trPr>
          <w:trHeight w:val="278" w:hRule="atLeast"/>
        </w:trPr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w="2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</w:tr>
      <w:tr>
        <w:trPr>
          <w:trHeight w:val="278" w:hRule="atLeast"/>
        </w:trPr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Presuny</w:t>
            </w:r>
          </w:p>
        </w:tc>
        <w:tc>
          <w:tcPr>
            <w:tcW w:w="2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</w:tr>
      <w:tr>
        <w:trPr>
          <w:trHeight w:val="278" w:hRule="atLeast"/>
        </w:trPr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  <w:tc>
          <w:tcPr>
            <w:tcW w:w="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</w:rPr>
            </w:pPr>
            <w:r>
              <w:rPr>
                <w:rFonts w:ascii="Arial" w:hAnsi="Arial"/>
                <w:sz w:val="16"/>
              </w:rPr>
            </w:r>
          </w:p>
        </w:tc>
      </w:tr>
      <w:tr>
        <w:trPr>
          <w:trHeight w:val="278" w:hRule="atLeast"/>
        </w:trPr>
        <w:tc>
          <w:tcPr>
            <w:tcW w:w="15134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</w:tr>
      <w:tr>
        <w:trPr>
          <w:trHeight w:val="278" w:hRule="atLeast"/>
        </w:trPr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Prírastky</w:t>
            </w:r>
          </w:p>
        </w:tc>
        <w:tc>
          <w:tcPr>
            <w:tcW w:w="2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</w:tr>
      <w:tr>
        <w:trPr>
          <w:trHeight w:val="278" w:hRule="atLeast"/>
        </w:trPr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Úbytky</w:t>
            </w:r>
          </w:p>
        </w:tc>
        <w:tc>
          <w:tcPr>
            <w:tcW w:w="2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</w:tr>
      <w:tr>
        <w:trPr>
          <w:trHeight w:val="278" w:hRule="atLeast"/>
        </w:trPr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</w:tr>
      <w:tr>
        <w:trPr>
          <w:trHeight w:val="278" w:hRule="atLeast"/>
        </w:trPr>
        <w:tc>
          <w:tcPr>
            <w:tcW w:w="15134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 na začiatku bežného účtovného obdobia</w:t>
            </w:r>
          </w:p>
        </w:tc>
        <w:tc>
          <w:tcPr>
            <w:tcW w:w="2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</w:tr>
      <w:tr>
        <w:trPr>
          <w:trHeight w:val="290" w:hRule="atLeast"/>
        </w:trPr>
        <w:tc>
          <w:tcPr>
            <w:tcW w:w="28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Stav na konci bežného účtovného obdobia</w:t>
            </w:r>
          </w:p>
        </w:tc>
        <w:tc>
          <w:tcPr>
            <w:tcW w:w="2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9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6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2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4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9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 w:before="0" w:after="120"/>
        <w:rPr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Normal"/>
        <w:spacing w:lineRule="auto" w:line="240" w:before="0" w:after="120"/>
        <w:rPr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Normal"/>
        <w:spacing w:lineRule="auto" w:line="240" w:before="0" w:after="12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Vzorová tabuľka k čl. III ods. 4 o štruktúre dlhodobého finančného majetku </w:t>
      </w:r>
    </w:p>
    <w:tbl>
      <w:tblPr>
        <w:tblW w:w="15238" w:type="dxa"/>
        <w:jc w:val="left"/>
        <w:tblInd w:w="3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630"/>
        <w:gridCol w:w="2126"/>
        <w:gridCol w:w="2551"/>
        <w:gridCol w:w="1700"/>
        <w:gridCol w:w="2552"/>
        <w:gridCol w:w="2268"/>
        <w:gridCol w:w="2410"/>
      </w:tblGrid>
      <w:tr>
        <w:trPr>
          <w:trHeight w:val="399" w:hRule="atLeast"/>
        </w:trPr>
        <w:tc>
          <w:tcPr>
            <w:tcW w:w="163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Názov spoločnosti</w:t>
            </w:r>
          </w:p>
        </w:tc>
        <w:tc>
          <w:tcPr>
            <w:tcW w:w="212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Podiel na základnom imaní (v %)</w:t>
            </w:r>
          </w:p>
        </w:tc>
        <w:tc>
          <w:tcPr>
            <w:tcW w:w="255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Podiel účtovnej jednotky na hlasovacích právach</w:t>
            </w:r>
          </w:p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(v %)</w:t>
            </w:r>
          </w:p>
        </w:tc>
        <w:tc>
          <w:tcPr>
            <w:tcW w:w="42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Hodnota vlastného imania ku koncu</w:t>
            </w:r>
          </w:p>
        </w:tc>
        <w:tc>
          <w:tcPr>
            <w:tcW w:w="4678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Účtovná hodnota ku koncu</w:t>
            </w:r>
          </w:p>
        </w:tc>
      </w:tr>
      <w:tr>
        <w:trPr>
          <w:trHeight w:val="1073" w:hRule="atLeast"/>
        </w:trPr>
        <w:tc>
          <w:tcPr>
            <w:tcW w:w="1630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2126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255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bežného účtovného obdobia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bezprostredne predchádzajúceho účtovného obdobia</w:t>
            </w:r>
          </w:p>
        </w:tc>
      </w:tr>
      <w:tr>
        <w:trPr>
          <w:trHeight w:val="283" w:hRule="atLeast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</w:tr>
      <w:tr>
        <w:trPr>
          <w:trHeight w:val="283" w:hRule="atLeast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</w:tr>
      <w:tr>
        <w:trPr>
          <w:trHeight w:val="283" w:hRule="atLeast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1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120"/>
        <w:rPr>
          <w:rFonts w:ascii="Arial" w:hAnsi="Arial"/>
          <w:sz w:val="16"/>
        </w:rPr>
      </w:pPr>
      <w:r>
        <w:rPr>
          <w:rFonts w:ascii="Arial" w:hAnsi="Arial"/>
          <w:sz w:val="16"/>
        </w:rPr>
      </w:r>
    </w:p>
    <w:p>
      <w:pPr>
        <w:pStyle w:val="Normal"/>
        <w:spacing w:lineRule="auto" w:line="240" w:before="0" w:after="120"/>
        <w:rPr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Normal"/>
        <w:spacing w:lineRule="auto" w:line="240" w:before="0" w:after="120"/>
        <w:rPr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Normal"/>
        <w:spacing w:lineRule="auto" w:line="240" w:before="0" w:after="120"/>
        <w:rPr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Normal"/>
        <w:spacing w:lineRule="auto" w:line="240" w:before="0" w:after="120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III ods. 6 o položkách krátkodobého finančného majetku</w:t>
      </w:r>
    </w:p>
    <w:p>
      <w:pPr>
        <w:pStyle w:val="Normal"/>
        <w:spacing w:lineRule="auto" w:line="240" w:before="0" w:after="12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Tabuľka č. 1 </w:t>
      </w:r>
    </w:p>
    <w:tbl>
      <w:tblPr>
        <w:tblStyle w:val="Mriekatabuky"/>
        <w:tblW w:w="14245" w:type="dxa"/>
        <w:jc w:val="left"/>
        <w:tblInd w:w="3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55"/>
        <w:gridCol w:w="3393"/>
        <w:gridCol w:w="1986"/>
        <w:gridCol w:w="2268"/>
        <w:gridCol w:w="3543"/>
      </w:tblGrid>
      <w:tr>
        <w:trPr/>
        <w:tc>
          <w:tcPr>
            <w:tcW w:w="3055" w:type="dxa"/>
            <w:tcBorders/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sz w:val="22"/>
                <w:szCs w:val="22"/>
              </w:rPr>
            </w:pPr>
            <w:r>
              <w:rPr>
                <w:rFonts w:eastAsia="Times New Roman"/>
                <w:b/>
                <w:kern w:val="0"/>
                <w:sz w:val="22"/>
                <w:szCs w:val="22"/>
                <w:lang w:val="sk-SK" w:bidi="ar-SA"/>
              </w:rPr>
              <w:t>Krátkodobý finančný majetok</w:t>
            </w:r>
          </w:p>
        </w:tc>
        <w:tc>
          <w:tcPr>
            <w:tcW w:w="3393" w:type="dxa"/>
            <w:tcBorders/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sz w:val="22"/>
                <w:szCs w:val="22"/>
              </w:rPr>
            </w:pPr>
            <w:r>
              <w:rPr>
                <w:rFonts w:eastAsia="Times New Roman"/>
                <w:b/>
                <w:kern w:val="0"/>
                <w:sz w:val="22"/>
                <w:szCs w:val="22"/>
                <w:lang w:val="sk-SK" w:bidi="ar-SA"/>
              </w:rPr>
              <w:t>Stav na začiatku bežného účtovného obdobia</w:t>
            </w:r>
          </w:p>
        </w:tc>
        <w:tc>
          <w:tcPr>
            <w:tcW w:w="1986" w:type="dxa"/>
            <w:tcBorders/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sz w:val="22"/>
                <w:szCs w:val="22"/>
              </w:rPr>
            </w:pPr>
            <w:r>
              <w:rPr>
                <w:rFonts w:eastAsia="Times New Roman"/>
                <w:b/>
                <w:kern w:val="0"/>
                <w:sz w:val="22"/>
                <w:szCs w:val="22"/>
                <w:lang w:val="sk-SK" w:bidi="ar-SA"/>
              </w:rPr>
              <w:t>Prírastky</w:t>
            </w:r>
          </w:p>
        </w:tc>
        <w:tc>
          <w:tcPr>
            <w:tcW w:w="2268" w:type="dxa"/>
            <w:tcBorders/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sz w:val="22"/>
                <w:szCs w:val="22"/>
              </w:rPr>
            </w:pPr>
            <w:r>
              <w:rPr>
                <w:rFonts w:eastAsia="Times New Roman"/>
                <w:b/>
                <w:kern w:val="0"/>
                <w:sz w:val="22"/>
                <w:szCs w:val="22"/>
                <w:lang w:val="sk-SK" w:bidi="ar-SA"/>
              </w:rPr>
              <w:t>Úbytky</w:t>
            </w:r>
          </w:p>
        </w:tc>
        <w:tc>
          <w:tcPr>
            <w:tcW w:w="3543" w:type="dxa"/>
            <w:tcBorders/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sz w:val="22"/>
                <w:szCs w:val="22"/>
              </w:rPr>
            </w:pPr>
            <w:r>
              <w:rPr>
                <w:rFonts w:eastAsia="Times New Roman"/>
                <w:b/>
                <w:kern w:val="0"/>
                <w:sz w:val="22"/>
                <w:szCs w:val="22"/>
                <w:lang w:val="sk-SK" w:bidi="ar-SA"/>
              </w:rPr>
              <w:t>Stav na konci bežného účtovného obdobia</w:t>
            </w:r>
          </w:p>
        </w:tc>
      </w:tr>
      <w:tr>
        <w:trPr/>
        <w:tc>
          <w:tcPr>
            <w:tcW w:w="3055" w:type="dxa"/>
            <w:tcBorders/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rFonts w:eastAsia="Times New Roman"/>
                <w:kern w:val="0"/>
                <w:sz w:val="22"/>
                <w:szCs w:val="22"/>
                <w:lang w:val="sk-SK" w:bidi="ar-SA"/>
              </w:rPr>
              <w:t>Majetkové cenné papiere na obchodovanie</w:t>
            </w:r>
          </w:p>
        </w:tc>
        <w:tc>
          <w:tcPr>
            <w:tcW w:w="3393" w:type="dxa"/>
            <w:tcBorders/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6" w:type="dxa"/>
            <w:tcBorders/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268" w:type="dxa"/>
            <w:tcBorders/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543" w:type="dxa"/>
            <w:tcBorders/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3055" w:type="dxa"/>
            <w:tcBorders/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rFonts w:eastAsia="Times New Roman"/>
                <w:kern w:val="0"/>
                <w:sz w:val="22"/>
                <w:szCs w:val="22"/>
                <w:lang w:val="sk-SK" w:bidi="ar-SA"/>
              </w:rPr>
              <w:t xml:space="preserve">Dlhové cenné papiere na obchodovanie </w:t>
            </w:r>
          </w:p>
        </w:tc>
        <w:tc>
          <w:tcPr>
            <w:tcW w:w="3393" w:type="dxa"/>
            <w:tcBorders/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6" w:type="dxa"/>
            <w:tcBorders/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268" w:type="dxa"/>
            <w:tcBorders/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543" w:type="dxa"/>
            <w:tcBorders/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3055" w:type="dxa"/>
            <w:tcBorders/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rFonts w:eastAsia="Times New Roman"/>
                <w:kern w:val="0"/>
                <w:sz w:val="22"/>
                <w:szCs w:val="22"/>
                <w:lang w:val="sk-SK" w:bidi="ar-SA"/>
              </w:rPr>
              <w:t xml:space="preserve">Dlhové cenné papiere so splatnosťou do jedného roka držané do splatnosti </w:t>
            </w:r>
          </w:p>
        </w:tc>
        <w:tc>
          <w:tcPr>
            <w:tcW w:w="3393" w:type="dxa"/>
            <w:tcBorders/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6" w:type="dxa"/>
            <w:tcBorders/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268" w:type="dxa"/>
            <w:tcBorders/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543" w:type="dxa"/>
            <w:tcBorders/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3055" w:type="dxa"/>
            <w:tcBorders/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rFonts w:eastAsia="Times New Roman"/>
                <w:kern w:val="0"/>
                <w:sz w:val="22"/>
                <w:szCs w:val="22"/>
                <w:lang w:val="sk-SK" w:bidi="ar-SA"/>
              </w:rPr>
              <w:t>Ostatné realizovateľné cenné papiere</w:t>
            </w:r>
          </w:p>
        </w:tc>
        <w:tc>
          <w:tcPr>
            <w:tcW w:w="3393" w:type="dxa"/>
            <w:tcBorders/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6" w:type="dxa"/>
            <w:tcBorders/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268" w:type="dxa"/>
            <w:tcBorders/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543" w:type="dxa"/>
            <w:tcBorders/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3055" w:type="dxa"/>
            <w:tcBorders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rFonts w:eastAsia="Times New Roman"/>
                <w:kern w:val="0"/>
                <w:sz w:val="22"/>
                <w:szCs w:val="22"/>
                <w:lang w:val="sk-SK" w:bidi="ar-SA"/>
              </w:rPr>
              <w:t>Obstarávanie krátkodobého finančného majetku</w:t>
            </w:r>
          </w:p>
        </w:tc>
        <w:tc>
          <w:tcPr>
            <w:tcW w:w="3393" w:type="dxa"/>
            <w:tcBorders/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6" w:type="dxa"/>
            <w:tcBorders/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268" w:type="dxa"/>
            <w:tcBorders/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543" w:type="dxa"/>
            <w:tcBorders/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3055" w:type="dxa"/>
            <w:tcBorders/>
          </w:tcPr>
          <w:p>
            <w:pPr>
              <w:pStyle w:val="Normal"/>
              <w:widowControl w:val="false"/>
              <w:spacing w:lineRule="auto" w:line="240" w:before="0" w:after="120"/>
              <w:rPr>
                <w:b/>
                <w:sz w:val="22"/>
                <w:szCs w:val="22"/>
              </w:rPr>
            </w:pPr>
            <w:r>
              <w:rPr>
                <w:rFonts w:eastAsia="Times New Roman"/>
                <w:b/>
                <w:kern w:val="0"/>
                <w:sz w:val="22"/>
                <w:szCs w:val="22"/>
                <w:lang w:val="sk-SK" w:bidi="ar-SA"/>
              </w:rPr>
              <w:t>Krátkodobý finančný majetok spolu</w:t>
            </w:r>
          </w:p>
        </w:tc>
        <w:tc>
          <w:tcPr>
            <w:tcW w:w="3393" w:type="dxa"/>
            <w:tcBorders/>
          </w:tcPr>
          <w:p>
            <w:pPr>
              <w:pStyle w:val="Normal"/>
              <w:widowControl w:val="false"/>
              <w:spacing w:lineRule="auto" w:line="240" w:before="0" w:after="12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1986" w:type="dxa"/>
            <w:tcBorders/>
          </w:tcPr>
          <w:p>
            <w:pPr>
              <w:pStyle w:val="Normal"/>
              <w:widowControl w:val="false"/>
              <w:spacing w:lineRule="auto" w:line="240" w:before="0" w:after="12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2268" w:type="dxa"/>
            <w:tcBorders/>
          </w:tcPr>
          <w:p>
            <w:pPr>
              <w:pStyle w:val="Normal"/>
              <w:widowControl w:val="false"/>
              <w:spacing w:lineRule="auto" w:line="240" w:before="0" w:after="12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3543" w:type="dxa"/>
            <w:tcBorders/>
          </w:tcPr>
          <w:p>
            <w:pPr>
              <w:pStyle w:val="Normal"/>
              <w:widowControl w:val="false"/>
              <w:spacing w:lineRule="auto" w:line="240" w:before="0" w:after="12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Normal"/>
        <w:spacing w:lineRule="auto" w:line="240" w:before="0" w:after="120"/>
        <w:rPr>
          <w:rFonts w:ascii="Arial" w:hAnsi="Arial"/>
          <w:b/>
          <w:szCs w:val="20"/>
        </w:rPr>
      </w:pPr>
      <w:r>
        <w:rPr>
          <w:rFonts w:ascii="Arial" w:hAnsi="Arial"/>
          <w:b/>
          <w:szCs w:val="20"/>
        </w:rPr>
        <w:t>Tabuľka č. 2</w:t>
      </w:r>
    </w:p>
    <w:tbl>
      <w:tblPr>
        <w:tblW w:w="14245" w:type="dxa"/>
        <w:jc w:val="left"/>
        <w:tblInd w:w="3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819"/>
        <w:gridCol w:w="2914"/>
        <w:gridCol w:w="4251"/>
        <w:gridCol w:w="3260"/>
      </w:tblGrid>
      <w:tr>
        <w:trPr/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Zvýšenie/ zníženie hodnoty</w:t>
            </w:r>
          </w:p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>
              <w:rPr>
                <w:rFonts w:ascii="Arial" w:hAnsi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>
        <w:trPr/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Majetkové cenné papiere na obchodovanie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</w:tr>
      <w:tr>
        <w:trPr/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Dlhové cenné papiere na obchodovanie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</w:tr>
      <w:tr>
        <w:trPr/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realizovateľné cenné papiere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</w:tr>
      <w:tr>
        <w:trPr/>
        <w:tc>
          <w:tcPr>
            <w:tcW w:w="3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Krátkodobý finančný  majetok spolu</w:t>
            </w:r>
          </w:p>
        </w:tc>
        <w:tc>
          <w:tcPr>
            <w:tcW w:w="29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4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</w:r>
          </w:p>
        </w:tc>
      </w:tr>
    </w:tbl>
    <w:p>
      <w:pPr>
        <w:pStyle w:val="Normal"/>
        <w:spacing w:lineRule="auto" w:line="240" w:before="0" w:after="120"/>
        <w:rPr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Normal"/>
        <w:spacing w:lineRule="auto" w:line="240" w:before="0" w:after="120"/>
        <w:rPr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Normal"/>
        <w:spacing w:lineRule="auto" w:line="240" w:before="0" w:after="12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Vzorová tabuľka k čl. III ods. 7 o vývoji opravných položiek k zásobám </w:t>
      </w:r>
    </w:p>
    <w:tbl>
      <w:tblPr>
        <w:tblW w:w="14245" w:type="dxa"/>
        <w:jc w:val="left"/>
        <w:tblInd w:w="3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196"/>
        <w:gridCol w:w="2552"/>
        <w:gridCol w:w="2410"/>
        <w:gridCol w:w="2125"/>
        <w:gridCol w:w="2269"/>
        <w:gridCol w:w="2692"/>
      </w:tblGrid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zásob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>
        <w:trPr>
          <w:trHeight w:val="477" w:hRule="atLeast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Materiál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Nedokončená výroba  a polotovary vlastnej výroby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499" w:hRule="atLeast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Výrobky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499" w:hRule="atLeast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Zvieratá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499" w:hRule="atLeast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Tovar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499" w:hRule="atLeast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Poskytnutý preddavok na zásoby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499" w:hRule="atLeast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Zásoby spolu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 w:before="0" w:after="120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III ods. 9  o vývoji opravných položiek k pohľadávkam</w:t>
      </w:r>
    </w:p>
    <w:tbl>
      <w:tblPr>
        <w:tblW w:w="14245" w:type="dxa"/>
        <w:jc w:val="left"/>
        <w:tblInd w:w="3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196"/>
        <w:gridCol w:w="2552"/>
        <w:gridCol w:w="2410"/>
        <w:gridCol w:w="2125"/>
        <w:gridCol w:w="2269"/>
        <w:gridCol w:w="2692"/>
      </w:tblGrid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pohľadávok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Tvorba opravnej položky (zvýšenie)</w:t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Zníženie opravnej položky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Zúčtovanie  opravnej položky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>
        <w:trPr/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z obchodného styku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499" w:hRule="atLeast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pohľadávky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499" w:hRule="atLeast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voči účastníkom združení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499" w:hRule="atLeast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 pohľadávky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499" w:hRule="atLeast"/>
        </w:trPr>
        <w:tc>
          <w:tcPr>
            <w:tcW w:w="2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2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Normal"/>
        <w:spacing w:lineRule="auto" w:line="240" w:before="0" w:after="120"/>
        <w:rPr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b/>
          <w:sz w:val="22"/>
          <w:szCs w:val="22"/>
        </w:rPr>
        <w:t xml:space="preserve">Vzorová tabuľka k čl. III ods. 10  o pohľadávkach do lehoty splatnosti a po lehote splatnosti </w:t>
      </w:r>
    </w:p>
    <w:tbl>
      <w:tblPr>
        <w:tblW w:w="12544" w:type="dxa"/>
        <w:jc w:val="left"/>
        <w:tblInd w:w="3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321"/>
        <w:gridCol w:w="3827"/>
        <w:gridCol w:w="4396"/>
      </w:tblGrid>
      <w:tr>
        <w:trPr>
          <w:trHeight w:val="397" w:hRule="atLeast"/>
        </w:trPr>
        <w:tc>
          <w:tcPr>
            <w:tcW w:w="43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82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>
        <w:trPr/>
        <w:tc>
          <w:tcPr>
            <w:tcW w:w="43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>
        <w:trPr/>
        <w:tc>
          <w:tcPr>
            <w:tcW w:w="4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do lehoty splatnosti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/>
            </w:r>
          </w:p>
        </w:tc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3024</w:t>
            </w:r>
          </w:p>
        </w:tc>
      </w:tr>
      <w:tr>
        <w:trPr/>
        <w:tc>
          <w:tcPr>
            <w:tcW w:w="4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Pohľadávky po lehote splatnosti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43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Pohľadávky spolu</w:t>
            </w:r>
          </w:p>
        </w:tc>
        <w:tc>
          <w:tcPr>
            <w:tcW w:w="38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b/>
                <w:sz w:val="22"/>
                <w:szCs w:val="22"/>
              </w:rPr>
            </w:pPr>
            <w:r>
              <w:rPr/>
            </w:r>
          </w:p>
        </w:tc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3024</w:t>
            </w:r>
          </w:p>
        </w:tc>
      </w:tr>
    </w:tbl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12 o zmenách vlastných zdrojov krytia neobežného majetku a obežného majetku</w:t>
      </w:r>
      <w:r>
        <w:rPr>
          <w:sz w:val="22"/>
          <w:szCs w:val="22"/>
        </w:rPr>
        <w:t xml:space="preserve">    </w:t>
      </w:r>
    </w:p>
    <w:tbl>
      <w:tblPr>
        <w:tblW w:w="14245" w:type="dxa"/>
        <w:jc w:val="left"/>
        <w:tblInd w:w="3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622"/>
        <w:gridCol w:w="2977"/>
        <w:gridCol w:w="1983"/>
        <w:gridCol w:w="1843"/>
        <w:gridCol w:w="1985"/>
        <w:gridCol w:w="2834"/>
      </w:tblGrid>
      <w:tr>
        <w:trPr/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Prírastky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(+)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Úbytky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(-)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Presuny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(+, -)</w:t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>
        <w:trPr>
          <w:trHeight w:val="391" w:hRule="atLeast"/>
        </w:trPr>
        <w:tc>
          <w:tcPr>
            <w:tcW w:w="1424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</w:rPr>
              <w:t>Imanie a fondy</w:t>
            </w:r>
          </w:p>
        </w:tc>
      </w:tr>
      <w:tr>
        <w:trPr>
          <w:trHeight w:val="391" w:hRule="atLeast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Základné imanie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25195,13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25195,13</w:t>
            </w:r>
          </w:p>
        </w:tc>
      </w:tr>
      <w:tr>
        <w:trPr/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 toho: </w:t>
            </w:r>
          </w:p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nadačné imanie v nadácii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91" w:hRule="atLeast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vklady zakladateľov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91" w:hRule="atLeast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prioritný majetok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 tvorené podľa osobitného predpisu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91" w:hRule="atLeast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 reprodukcie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majetku a záväzkov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91" w:hRule="atLeast"/>
        </w:trPr>
        <w:tc>
          <w:tcPr>
            <w:tcW w:w="1424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Fondy zo zisku</w:t>
            </w:r>
          </w:p>
        </w:tc>
      </w:tr>
      <w:tr>
        <w:trPr>
          <w:trHeight w:val="391" w:hRule="atLeast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Rezervný fond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91" w:hRule="atLeast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 tvorené zo zisku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4759,48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4759,48</w:t>
            </w:r>
          </w:p>
        </w:tc>
      </w:tr>
      <w:tr>
        <w:trPr>
          <w:trHeight w:val="391" w:hRule="atLeast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fondy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Nevysporiadaný výsledok hospodárenia minulých rokov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>
              <w:rPr>
                <w:sz w:val="22"/>
                <w:szCs w:val="22"/>
              </w:rPr>
              <w:t>6255,58</w:t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-820,65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>
              <w:rPr>
                <w:sz w:val="22"/>
                <w:szCs w:val="22"/>
              </w:rPr>
              <w:t>7076,</w:t>
            </w:r>
            <w:r>
              <w:rPr>
                <w:sz w:val="22"/>
                <w:szCs w:val="22"/>
              </w:rPr>
              <w:t>23</w:t>
            </w:r>
          </w:p>
        </w:tc>
      </w:tr>
      <w:tr>
        <w:trPr/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Výsledok hospodárenia za účtovné obdobie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/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1237,11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1237,11</w:t>
            </w:r>
          </w:p>
        </w:tc>
      </w:tr>
      <w:tr>
        <w:trPr>
          <w:trHeight w:val="391" w:hRule="atLeast"/>
        </w:trPr>
        <w:tc>
          <w:tcPr>
            <w:tcW w:w="262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19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28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5839,12</w:t>
            </w:r>
          </w:p>
        </w:tc>
      </w:tr>
    </w:tbl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13 o rozdelení účtovného zisku alebo vysporiadaní účtovnej straty</w:t>
      </w:r>
    </w:p>
    <w:tbl>
      <w:tblPr>
        <w:tblW w:w="37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6345"/>
        <w:gridCol w:w="4854"/>
      </w:tblGrid>
      <w:tr>
        <w:trPr>
          <w:trHeight w:val="765" w:hRule="atLeast"/>
        </w:trPr>
        <w:tc>
          <w:tcPr>
            <w:tcW w:w="6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rFonts w:cs="Arial"/>
              </w:rPr>
            </w:pPr>
            <w:r>
              <w:rPr>
                <w:rFonts w:cs="Arial"/>
              </w:rPr>
              <w:t>Názov položky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rFonts w:cs="Arial"/>
              </w:rPr>
            </w:pPr>
            <w:r>
              <w:rPr>
                <w:rFonts w:cs="Arial"/>
              </w:rPr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6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Účtovný zisk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1237,11</w:t>
            </w:r>
          </w:p>
        </w:tc>
      </w:tr>
      <w:tr>
        <w:trPr>
          <w:trHeight w:val="330" w:hRule="atLeast"/>
        </w:trPr>
        <w:tc>
          <w:tcPr>
            <w:tcW w:w="111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Rozdelenie účtovného zisku</w:t>
            </w:r>
          </w:p>
        </w:tc>
      </w:tr>
      <w:tr>
        <w:trPr>
          <w:trHeight w:val="330" w:hRule="atLeast"/>
        </w:trPr>
        <w:tc>
          <w:tcPr>
            <w:tcW w:w="6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Prídel do základného imania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Prídel do f</w:t>
            </w:r>
            <w:r>
              <w:rPr>
                <w:sz w:val="22"/>
                <w:szCs w:val="22"/>
              </w:rPr>
              <w:t>ondu tvoreného podľa osobitného predpisu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Prídel do fondu reprodukcie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Prídel do rezervného fondu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Prídel do fondu tvoreného zo zisku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Prídel do ostatných fondov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Úhrada straty minulých období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Prevod do sociálneho fondu 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Prevod  do n</w:t>
            </w:r>
            <w:r>
              <w:rPr>
                <w:sz w:val="22"/>
                <w:szCs w:val="22"/>
              </w:rPr>
              <w:t>evysporiadaného výsledku hospodárenia minulých rokov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1237,11</w:t>
            </w:r>
          </w:p>
        </w:tc>
      </w:tr>
      <w:tr>
        <w:trPr>
          <w:trHeight w:val="330" w:hRule="atLeast"/>
        </w:trPr>
        <w:tc>
          <w:tcPr>
            <w:tcW w:w="6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Účtovná strata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1119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Vysporiadanie účtovnej straty</w:t>
            </w:r>
          </w:p>
        </w:tc>
      </w:tr>
      <w:tr>
        <w:trPr>
          <w:trHeight w:val="330" w:hRule="atLeast"/>
        </w:trPr>
        <w:tc>
          <w:tcPr>
            <w:tcW w:w="6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Zo základného imania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 rezervného fondu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 fondu tvoreného zo zisku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 ostatných fondov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 nerozdeleného zisku minulých rokov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6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color w:val="000000"/>
                <w:sz w:val="22"/>
                <w:szCs w:val="22"/>
              </w:rPr>
            </w:pPr>
            <w:r>
              <w:rPr/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/>
            </w:r>
          </w:p>
        </w:tc>
      </w:tr>
      <w:tr>
        <w:trPr>
          <w:trHeight w:val="330" w:hRule="atLeast"/>
        </w:trPr>
        <w:tc>
          <w:tcPr>
            <w:tcW w:w="63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Iné </w:t>
            </w:r>
          </w:p>
        </w:tc>
        <w:tc>
          <w:tcPr>
            <w:tcW w:w="48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14 písm. a) o  tvorbe a použití rezerv</w:t>
      </w:r>
    </w:p>
    <w:tbl>
      <w:tblPr>
        <w:tblW w:w="14245" w:type="dxa"/>
        <w:jc w:val="left"/>
        <w:tblInd w:w="18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2904"/>
        <w:gridCol w:w="2694"/>
        <w:gridCol w:w="1984"/>
        <w:gridCol w:w="1843"/>
        <w:gridCol w:w="2127"/>
        <w:gridCol w:w="2692"/>
      </w:tblGrid>
      <w:tr>
        <w:trPr/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rezervy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začiatku bežného účtovného obdobia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Tvorba rezerv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Použitie rezerv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Zrušenie alebo zníženie rezerv</w:t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>
        <w:trPr/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Jednotlivé druhy krátkodobých zákonných rezerv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Jednotlivé druhy dlhodobých zákonných rezerv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Zákonné rezervy spolu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</w:tr>
      <w:tr>
        <w:trPr/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Jednotlivé druhy krátkodobých ostatných rezerv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Jednotlivé druhy dlhodobých ostatných rezerv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Ostatné rezervy spolu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489" w:hRule="atLeast"/>
        </w:trPr>
        <w:tc>
          <w:tcPr>
            <w:tcW w:w="2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Rezervy spolu</w:t>
            </w:r>
          </w:p>
        </w:tc>
        <w:tc>
          <w:tcPr>
            <w:tcW w:w="26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6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14 písm. c) a d) o záväzkoch</w:t>
      </w:r>
    </w:p>
    <w:tbl>
      <w:tblPr>
        <w:tblW w:w="11552" w:type="dxa"/>
        <w:jc w:val="left"/>
        <w:tblInd w:w="18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887"/>
        <w:gridCol w:w="3118"/>
        <w:gridCol w:w="3547"/>
      </w:tblGrid>
      <w:tr>
        <w:trPr>
          <w:trHeight w:val="397" w:hRule="atLeast"/>
        </w:trPr>
        <w:tc>
          <w:tcPr>
            <w:tcW w:w="4887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záväzkov</w:t>
            </w:r>
          </w:p>
        </w:tc>
        <w:tc>
          <w:tcPr>
            <w:tcW w:w="66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</w:t>
            </w:r>
          </w:p>
        </w:tc>
      </w:tr>
      <w:tr>
        <w:trPr/>
        <w:tc>
          <w:tcPr>
            <w:tcW w:w="4887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bežného účtovného obdobia</w:t>
            </w:r>
          </w:p>
        </w:tc>
        <w:tc>
          <w:tcPr>
            <w:tcW w:w="3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predchádzajúceho účtovného obdobia</w:t>
            </w:r>
          </w:p>
        </w:tc>
      </w:tr>
      <w:tr>
        <w:trPr>
          <w:trHeight w:val="391" w:hRule="atLeast"/>
        </w:trPr>
        <w:tc>
          <w:tcPr>
            <w:tcW w:w="4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Záväzky po lehote splatnosti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</w:r>
          </w:p>
        </w:tc>
        <w:tc>
          <w:tcPr>
            <w:tcW w:w="3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</w:r>
          </w:p>
        </w:tc>
      </w:tr>
      <w:tr>
        <w:trPr>
          <w:trHeight w:val="391" w:hRule="atLeast"/>
        </w:trPr>
        <w:tc>
          <w:tcPr>
            <w:tcW w:w="4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Záväzky do lehoty splatnosti so zostatkovou dobou splatnosti do jedného  roka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  <w:lang w:eastAsia="sk-SK"/>
              </w:rPr>
            </w:pPr>
            <w:r>
              <w:rPr/>
            </w:r>
          </w:p>
        </w:tc>
        <w:tc>
          <w:tcPr>
            <w:tcW w:w="3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  <w:lang w:eastAsia="sk-SK"/>
              </w:rPr>
            </w:pPr>
            <w:r>
              <w:rPr>
                <w:sz w:val="22"/>
                <w:szCs w:val="22"/>
                <w:lang w:eastAsia="sk-SK"/>
              </w:rPr>
              <w:t>0</w:t>
            </w:r>
          </w:p>
        </w:tc>
      </w:tr>
      <w:tr>
        <w:trPr>
          <w:trHeight w:val="447" w:hRule="atLeast"/>
        </w:trPr>
        <w:tc>
          <w:tcPr>
            <w:tcW w:w="4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/>
            </w:r>
          </w:p>
        </w:tc>
        <w:tc>
          <w:tcPr>
            <w:tcW w:w="3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  <w:tr>
        <w:trPr/>
        <w:tc>
          <w:tcPr>
            <w:tcW w:w="4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Záväzky so zostatkovou dobou splatnosti od  jedného  do piatich  rokov  vrátane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478" w:hRule="atLeast"/>
        </w:trPr>
        <w:tc>
          <w:tcPr>
            <w:tcW w:w="4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Záväzky so zostatkovou dobou splatnosti viac ako päť rokov 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409" w:hRule="atLeast"/>
        </w:trPr>
        <w:tc>
          <w:tcPr>
            <w:tcW w:w="4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Dlhodobé záväzky spolu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3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</w:tr>
      <w:tr>
        <w:trPr>
          <w:trHeight w:val="409" w:hRule="atLeast"/>
        </w:trPr>
        <w:tc>
          <w:tcPr>
            <w:tcW w:w="48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Krátkodobé a dlhodobé záväzky spolu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/>
            </w:r>
          </w:p>
        </w:tc>
        <w:tc>
          <w:tcPr>
            <w:tcW w:w="3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0</w:t>
            </w:r>
          </w:p>
        </w:tc>
      </w:tr>
    </w:tbl>
    <w:p>
      <w:pPr>
        <w:pStyle w:val="Normal"/>
        <w:spacing w:lineRule="auto" w:line="240" w:before="0" w:after="120"/>
        <w:rPr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14 písm. e) o vývoji sociálneho fondu</w:t>
      </w:r>
    </w:p>
    <w:tbl>
      <w:tblPr>
        <w:tblW w:w="11552" w:type="dxa"/>
        <w:jc w:val="left"/>
        <w:tblInd w:w="18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320"/>
        <w:gridCol w:w="3685"/>
        <w:gridCol w:w="3547"/>
      </w:tblGrid>
      <w:tr>
        <w:trPr/>
        <w:tc>
          <w:tcPr>
            <w:tcW w:w="4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Sociálny fond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3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Bezprostredne predchádzajúce účtovné  obdobie</w:t>
            </w:r>
          </w:p>
        </w:tc>
      </w:tr>
      <w:tr>
        <w:trPr>
          <w:trHeight w:val="610" w:hRule="atLeast"/>
        </w:trPr>
        <w:tc>
          <w:tcPr>
            <w:tcW w:w="4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k prvému dňu účtovného obdobia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3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</w:tr>
      <w:tr>
        <w:trPr>
          <w:trHeight w:val="375" w:hRule="atLeast"/>
        </w:trPr>
        <w:tc>
          <w:tcPr>
            <w:tcW w:w="4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279" w:hRule="atLeast"/>
        </w:trPr>
        <w:tc>
          <w:tcPr>
            <w:tcW w:w="4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Tvorba zo zisku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411" w:hRule="atLeast"/>
        </w:trPr>
        <w:tc>
          <w:tcPr>
            <w:tcW w:w="4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Čerpanie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557" w:hRule="atLeast"/>
        </w:trPr>
        <w:tc>
          <w:tcPr>
            <w:tcW w:w="43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Stav k poslednému dňu účtovného obdobia</w:t>
            </w:r>
          </w:p>
        </w:tc>
        <w:tc>
          <w:tcPr>
            <w:tcW w:w="3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35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14 písm. f) o bankových úveroch, pôžičkách a návratných finančných výpomociach</w:t>
      </w:r>
    </w:p>
    <w:tbl>
      <w:tblPr>
        <w:tblW w:w="14245" w:type="dxa"/>
        <w:jc w:val="left"/>
        <w:tblInd w:w="18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1770"/>
        <w:gridCol w:w="1134"/>
        <w:gridCol w:w="1843"/>
        <w:gridCol w:w="1560"/>
        <w:gridCol w:w="2126"/>
        <w:gridCol w:w="2693"/>
        <w:gridCol w:w="3118"/>
      </w:tblGrid>
      <w:tr>
        <w:trPr/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Druh cudzieho zdroja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Mena</w:t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Výška úroku v %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Splatnosť</w:t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Forma zabezpečenia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 istiny na konci bežného účtovného obdobia</w:t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 istiny na konci bezprostredne predchádzajúceho účtovného obdobia</w:t>
            </w:r>
          </w:p>
        </w:tc>
      </w:tr>
      <w:tr>
        <w:trPr/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91" w:hRule="atLeast"/>
        </w:trPr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Pôžička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bankový úver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75" w:hRule="atLeast"/>
        </w:trPr>
        <w:tc>
          <w:tcPr>
            <w:tcW w:w="1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18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  <w:tc>
          <w:tcPr>
            <w:tcW w:w="31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15 o významných položkách výnosov budúcich období</w:t>
      </w:r>
    </w:p>
    <w:tbl>
      <w:tblPr>
        <w:tblW w:w="14388" w:type="dxa"/>
        <w:jc w:val="left"/>
        <w:tblInd w:w="3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70"/>
        <w:gridCol w:w="3663"/>
        <w:gridCol w:w="2127"/>
        <w:gridCol w:w="2267"/>
        <w:gridCol w:w="3261"/>
      </w:tblGrid>
      <w:tr>
        <w:trPr/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Položky výnosov budúcich období z dôvodu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Prírastky</w:t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sz w:val="22"/>
                <w:szCs w:val="22"/>
                <w:lang w:eastAsia="sk-SK"/>
              </w:rPr>
            </w:pPr>
            <w:r>
              <w:rPr>
                <w:b/>
                <w:sz w:val="22"/>
                <w:szCs w:val="22"/>
                <w:lang w:eastAsia="sk-SK"/>
              </w:rPr>
              <w:t>Úbytky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>
        <w:trPr/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dlhodobého majetku obstaraného z dotácie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dlhodobého majetku  obstaraného z finančného daru 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dotácie zo štátneho rozpočtu alebo  z prostriedkov Európskej únie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dotácie z rozpočtu obce alebo z rozpočtu vyššieho územného celku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zostatku grantu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zostatku podielu zaplatenej dane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dlhodobého  majetku  obstaraného z podielu zaplatenej dane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nepoužitého sponzorského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30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dlhodobého majetku obstaraného zo sponzorského</w:t>
            </w:r>
          </w:p>
        </w:tc>
        <w:tc>
          <w:tcPr>
            <w:tcW w:w="3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1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2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b/>
          <w:sz w:val="22"/>
          <w:szCs w:val="22"/>
        </w:rPr>
        <w:t>Vzorová tabuľka k čl. III ods. 16 o majetku prenajatom formou finančného prenájmu</w:t>
      </w:r>
    </w:p>
    <w:tbl>
      <w:tblPr>
        <w:tblW w:w="14388" w:type="dxa"/>
        <w:jc w:val="left"/>
        <w:tblInd w:w="3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3047"/>
        <w:gridCol w:w="3119"/>
        <w:gridCol w:w="2268"/>
        <w:gridCol w:w="2693"/>
        <w:gridCol w:w="3261"/>
      </w:tblGrid>
      <w:tr>
        <w:trPr/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Záväzok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bezprostredne predchádzajúceho účtovného obdobia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Istina</w:t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Finančný náklad</w:t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Stav na konci bežného účtovného obdobia</w:t>
            </w:r>
          </w:p>
        </w:tc>
      </w:tr>
      <w:tr>
        <w:trPr/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Celková suma dohodnutých platieb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1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do jedného roka vrátane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 jedného roka do piatich  rokov vrátane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30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viac ako päť rokov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26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2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 w:before="0" w:after="120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Vzorová tabuľka k čl. IV  ods. 6 o účele a výške použitia podielu zaplatenej dane    </w:t>
      </w:r>
    </w:p>
    <w:tbl>
      <w:tblPr>
        <w:tblW w:w="14387" w:type="dxa"/>
        <w:jc w:val="left"/>
        <w:tblInd w:w="3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7157"/>
        <w:gridCol w:w="3968"/>
        <w:gridCol w:w="3262"/>
      </w:tblGrid>
      <w:tr>
        <w:trPr/>
        <w:tc>
          <w:tcPr>
            <w:tcW w:w="7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Účel použitia podielu zaplatenej dane</w:t>
            </w:r>
          </w:p>
        </w:tc>
        <w:tc>
          <w:tcPr>
            <w:tcW w:w="3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Použitá suma z bezprostredne predchádzajúceho účtovného obdobia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Použitá suma bežného účtovného obdobia</w:t>
            </w:r>
          </w:p>
        </w:tc>
      </w:tr>
      <w:tr>
        <w:trPr>
          <w:trHeight w:val="397" w:hRule="atLeast"/>
        </w:trPr>
        <w:tc>
          <w:tcPr>
            <w:tcW w:w="7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Na športové potreby </w:t>
            </w:r>
          </w:p>
        </w:tc>
        <w:tc>
          <w:tcPr>
            <w:tcW w:w="3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3494,21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61,62</w:t>
            </w:r>
          </w:p>
        </w:tc>
      </w:tr>
      <w:tr>
        <w:trPr>
          <w:trHeight w:val="397" w:hRule="atLeast"/>
        </w:trPr>
        <w:tc>
          <w:tcPr>
            <w:tcW w:w="7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71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9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11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Zostatok podielu zaplatenej dane bežného účtovného obdobia</w:t>
            </w:r>
          </w:p>
        </w:tc>
        <w:tc>
          <w:tcPr>
            <w:tcW w:w="32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2600</w:t>
            </w:r>
          </w:p>
        </w:tc>
      </w:tr>
    </w:tbl>
    <w:p>
      <w:pPr>
        <w:pStyle w:val="Normal"/>
        <w:spacing w:lineRule="auto" w:line="240" w:before="0" w:after="120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Normal"/>
        <w:spacing w:lineRule="auto" w:line="240" w:before="0" w:after="120"/>
        <w:rPr>
          <w:b/>
          <w:sz w:val="22"/>
          <w:szCs w:val="22"/>
        </w:rPr>
      </w:pPr>
      <w:r>
        <w:rPr>
          <w:b/>
          <w:sz w:val="22"/>
          <w:szCs w:val="22"/>
        </w:rPr>
        <w:t>Vzorová tabuľka k čl. IV  ods. 8 o nákladoch vynaložených v súvislosti s auditom účtovnej závierky</w:t>
      </w:r>
    </w:p>
    <w:tbl>
      <w:tblPr>
        <w:tblW w:w="9284" w:type="dxa"/>
        <w:jc w:val="left"/>
        <w:tblInd w:w="38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6306"/>
        <w:gridCol w:w="2977"/>
      </w:tblGrid>
      <w:tr>
        <w:trPr/>
        <w:tc>
          <w:tcPr>
            <w:tcW w:w="6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Jednotlivé druhy nákladov za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  <w:lang w:eastAsia="sk-SK"/>
              </w:rPr>
              <w:t>Suma</w:t>
            </w:r>
          </w:p>
        </w:tc>
      </w:tr>
      <w:tr>
        <w:trPr/>
        <w:tc>
          <w:tcPr>
            <w:tcW w:w="6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overenie účtovnej závierky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6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uisťovacie audítorské služby okrem overenia účtovnej závierky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6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daňové poradenstvo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</w:r>
          </w:p>
        </w:tc>
      </w:tr>
      <w:tr>
        <w:trPr/>
        <w:tc>
          <w:tcPr>
            <w:tcW w:w="6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neaudítorské služby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sz w:val="22"/>
                <w:szCs w:val="22"/>
              </w:rPr>
            </w:pPr>
            <w:r>
              <w:rPr/>
            </w:r>
          </w:p>
        </w:tc>
      </w:tr>
      <w:tr>
        <w:trPr/>
        <w:tc>
          <w:tcPr>
            <w:tcW w:w="63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Spolu</w:t>
            </w:r>
          </w:p>
        </w:tc>
        <w:tc>
          <w:tcPr>
            <w:tcW w:w="2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120"/>
              <w:jc w:val="left"/>
              <w:rPr>
                <w:b/>
                <w:sz w:val="22"/>
                <w:szCs w:val="22"/>
              </w:rPr>
            </w:pPr>
            <w:r>
              <w:rPr/>
            </w:r>
          </w:p>
        </w:tc>
      </w:tr>
    </w:tbl>
    <w:p>
      <w:pPr>
        <w:pStyle w:val="Normal"/>
        <w:spacing w:lineRule="auto" w:line="240" w:before="0" w:after="120"/>
        <w:rPr>
          <w:sz w:val="22"/>
          <w:szCs w:val="22"/>
        </w:rPr>
      </w:pPr>
      <w:r>
        <w:rPr/>
      </w:r>
      <w:bookmarkStart w:id="0" w:name="_GoBack"/>
      <w:bookmarkStart w:id="1" w:name="_GoBack"/>
      <w:bookmarkEnd w:id="1"/>
    </w:p>
    <w:sectPr>
      <w:headerReference w:type="first" r:id="rId3"/>
      <w:footerReference w:type="default" r:id="rId4"/>
      <w:footerReference w:type="first" r:id="rId5"/>
      <w:type w:val="nextPage"/>
      <w:pgSz w:orient="landscape" w:w="16838" w:h="11906"/>
      <w:pgMar w:left="851" w:right="851" w:gutter="0" w:header="709" w:top="851" w:footer="709" w:bottom="851"/>
      <w:pgNumType w:fmt="decimal"/>
      <w:formProt w:val="false"/>
      <w:titlePg/>
      <w:textDirection w:val="lrTb"/>
      <w:docGrid w:type="default" w:linePitch="272" w:charSpace="8192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Arial">
    <w:charset w:val="ee"/>
    <w:family w:val="roman"/>
    <w:pitch w:val="variable"/>
  </w:font>
  <w:font w:name="Tahoma">
    <w:charset w:val="ee"/>
    <w:family w:val="roman"/>
    <w:pitch w:val="variable"/>
  </w:font>
  <w:font w:name="Liberation Sans">
    <w:altName w:val="Arial"/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spacing w:before="120" w:after="120"/>
      <w:jc w:val="right"/>
      <w:rPr/>
    </w:pPr>
    <w:r>
      <w:rPr/>
      <w:t xml:space="preserve">Strana </w:t>
    </w: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7</w:t>
    </w:r>
    <w:r>
      <w:rPr/>
      <w:fldChar w:fldCharType="end"/>
    </w:r>
  </w:p>
  <w:p>
    <w:pPr>
      <w:pStyle w:val="Pta"/>
      <w:tabs>
        <w:tab w:val="clear" w:pos="4536"/>
        <w:tab w:val="clear" w:pos="9072"/>
        <w:tab w:val="center" w:pos="5102" w:leader="none"/>
        <w:tab w:val="right" w:pos="10204" w:leader="none"/>
      </w:tabs>
      <w:spacing w:before="120" w:after="120"/>
      <w:ind w:right="360" w:hanging="0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spacing w:before="120" w:after="120"/>
      <w:jc w:val="right"/>
      <w:rPr/>
    </w:pPr>
    <w:r>
      <w:rPr/>
      <w:t xml:space="preserve">Strana </w:t>
    </w: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23</w:t>
    </w:r>
    <w:r>
      <w:rPr/>
      <w:fldChar w:fldCharType="end"/>
    </w:r>
  </w:p>
  <w:p>
    <w:pPr>
      <w:pStyle w:val="Pta"/>
      <w:tabs>
        <w:tab w:val="clear" w:pos="4536"/>
        <w:tab w:val="clear" w:pos="9072"/>
        <w:tab w:val="center" w:pos="5102" w:leader="none"/>
        <w:tab w:val="right" w:pos="10204" w:leader="none"/>
      </w:tabs>
      <w:spacing w:before="120" w:after="120"/>
      <w:ind w:right="360" w:hanging="0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Pta"/>
      <w:spacing w:before="120" w:after="120"/>
      <w:jc w:val="right"/>
      <w:rPr/>
    </w:pPr>
    <w:r>
      <w:rPr/>
      <w:t xml:space="preserve">Strana </w:t>
    </w:r>
    <w:r>
      <w:rPr/>
      <w:fldChar w:fldCharType="begin"/>
    </w:r>
    <w:r>
      <w:rPr/>
      <w:instrText xml:space="preserve"> PAGE </w:instrText>
    </w:r>
    <w:r>
      <w:rPr/>
      <w:fldChar w:fldCharType="separate"/>
    </w:r>
    <w:r>
      <w:rPr/>
      <w:t>12</w:t>
    </w:r>
    <w:r>
      <w:rPr/>
      <w:fldChar w:fldCharType="end"/>
    </w:r>
  </w:p>
  <w:p>
    <w:pPr>
      <w:pStyle w:val="Pta"/>
      <w:spacing w:before="120" w:after="120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lavika"/>
      <w:spacing w:before="120" w:after="120"/>
      <w:jc w:val="right"/>
      <w:rPr/>
    </w:pPr>
    <w:r>
      <w:rPr/>
    </w:r>
  </w:p>
  <w:p>
    <w:pPr>
      <w:pStyle w:val="Hlavika"/>
      <w:spacing w:before="120" w:after="12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upperRoman"/>
      <w:suff w:val="nothing"/>
      <w:lvlText w:val="Čl. %1."/>
      <w:lvlJc w:val="center"/>
      <w:pPr>
        <w:tabs>
          <w:tab w:val="num" w:pos="0"/>
        </w:tabs>
        <w:ind w:left="0" w:hanging="0"/>
      </w:pPr>
      <w:rPr>
        <w:sz w:val="24"/>
        <w:i w:val="false"/>
        <w:b/>
        <w:szCs w:val="24"/>
        <w:iCs w:val="false"/>
        <w:bCs/>
        <w:rFonts w:ascii="Arial" w:hAnsi="Arial" w:cs="Arial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i w:val="false"/>
        <w:b w:val="false"/>
        <w:iCs w:val="false"/>
        <w:bCs w:val="false"/>
        <w:rFonts w:cs="Times New Roman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/>
      </w:rPr>
    </w:lvl>
  </w:abstractNum>
  <w:abstractNum w:abstractNumId="2">
    <w:lvl w:ilvl="0">
      <w:start w:val="1"/>
      <w:numFmt w:val="decimal"/>
      <w:lvlText w:val="K bodu %1"/>
      <w:lvlJc w:val="left"/>
      <w:pPr>
        <w:tabs>
          <w:tab w:val="num" w:pos="0"/>
        </w:tabs>
        <w:ind w:left="0" w:hanging="0"/>
      </w:pPr>
      <w:rPr>
        <w:i w:val="false"/>
        <w:b/>
        <w:iCs w:val="false"/>
        <w:bCs/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lvl w:ilvl="0">
      <w:start w:val="1"/>
      <w:numFmt w:val="decimal"/>
      <w:lvlText w:val="(%1)"/>
      <w:lvlJc w:val="left"/>
      <w:pPr>
        <w:tabs>
          <w:tab w:val="num" w:pos="0"/>
        </w:tabs>
        <w:ind w:left="0" w:hanging="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4">
    <w:lvl w:ilvl="0">
      <w:start w:val="1"/>
      <w:numFmt w:val="decimal"/>
      <w:lvlText w:val="(%1)"/>
      <w:lvlJc w:val="left"/>
      <w:pPr>
        <w:tabs>
          <w:tab w:val="num" w:pos="1440"/>
        </w:tabs>
        <w:ind w:left="1440" w:hanging="360"/>
      </w:pPr>
      <w:rPr>
        <w:smallCaps w:val="false"/>
        <w:caps w:val="false"/>
        <w:dstrike w:val="false"/>
        <w:strike w:val="false"/>
        <w:vertAlign w:val="baseline"/>
        <w:position w:val="0"/>
        <w:sz w:val="24"/>
        <w:sz w:val="24"/>
        <w:spacing w:val="0"/>
        <w:i w:val="false"/>
        <w:u w:val="none" w:color="000000"/>
        <w:b w:val="false"/>
        <w:kern w:val="0"/>
        <w:szCs w:val="24"/>
        <w:iCs w:val="false"/>
        <w:bCs w:val="false"/>
        <w:w w:val="100"/>
        <w:vanish w:val="false"/>
        <w:rFonts w:ascii="Arial Narrow" w:hAnsi="Arial Narrow" w:cs="Times New Roman"/>
        <w:color w:val="auto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5">
    <w:lvl w:ilvl="0">
      <w:start w:val="1"/>
      <w:numFmt w:val="decimal"/>
      <w:lvlText w:val="(%1)"/>
      <w:lvlJc w:val="left"/>
      <w:pPr>
        <w:tabs>
          <w:tab w:val="num" w:pos="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  <w:rPr>
        <w:rFonts w:cs="Times New Roman"/>
      </w:rPr>
    </w:lvl>
  </w:abstractNum>
  <w:abstractNum w:abstractNumId="6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</w:numbering>
</file>

<file path=word/settings.xml><?xml version="1.0" encoding="utf-8"?>
<w:settings xmlns:w="http://schemas.openxmlformats.org/wordprocessingml/2006/main">
  <w:zoom w:percent="100"/>
  <w:embedSystemFonts/>
  <w:defaultTabStop w:val="709"/>
  <w:autoHyphenation w:val="true"/>
  <w:doNotHyphenateCaps/>
  <w:hyphenationZone w:val="425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Times New Roman" w:cs="Times New Roman"/>
        <w:lang w:val="sk-SK" w:eastAsia="sk-SK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footer" w:semiHidden="1"/>
    <w:lsdException w:name="caption" w:uiPriority="35" w:semiHidden="1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691dcc"/>
    <w:pPr>
      <w:widowControl/>
      <w:suppressAutoHyphens w:val="true"/>
      <w:bidi w:val="0"/>
      <w:spacing w:lineRule="auto" w:line="360" w:before="120" w:after="120"/>
      <w:jc w:val="both"/>
    </w:pPr>
    <w:rPr>
      <w:rFonts w:ascii="Arial Narrow" w:hAnsi="Arial Narrow" w:eastAsia="Times New Roman" w:cs="Arial"/>
      <w:color w:val="auto"/>
      <w:kern w:val="0"/>
      <w:sz w:val="20"/>
      <w:szCs w:val="24"/>
      <w:lang w:val="sk-SK" w:eastAsia="cs-CZ" w:bidi="ar-SA"/>
    </w:rPr>
  </w:style>
  <w:style w:type="paragraph" w:styleId="Nadpis1">
    <w:name w:val="Heading 1"/>
    <w:basedOn w:val="Normal"/>
    <w:next w:val="Nadpis2"/>
    <w:link w:val="Nadpis1Char"/>
    <w:uiPriority w:val="99"/>
    <w:qFormat/>
    <w:rsid w:val="00d440d5"/>
    <w:pPr>
      <w:keepNext w:val="true"/>
      <w:numPr>
        <w:ilvl w:val="0"/>
        <w:numId w:val="1"/>
      </w:numPr>
      <w:spacing w:lineRule="auto" w:line="240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al"/>
    <w:next w:val="Normal"/>
    <w:link w:val="Nadpis2Char"/>
    <w:uiPriority w:val="99"/>
    <w:qFormat/>
    <w:rsid w:val="00d440d5"/>
    <w:pPr>
      <w:keepNext w:val="true"/>
      <w:spacing w:before="240" w:after="60"/>
      <w:outlineLvl w:val="1"/>
    </w:pPr>
    <w:rPr>
      <w:b/>
      <w:bCs/>
      <w:i/>
      <w:iCs/>
      <w:sz w:val="28"/>
      <w:szCs w:val="28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uiPriority w:val="9"/>
    <w:qFormat/>
    <w:locked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  <w:lang w:val="x-none" w:eastAsia="cs-CZ"/>
    </w:rPr>
  </w:style>
  <w:style w:type="character" w:styleId="Nadpis2Char" w:customStyle="1">
    <w:name w:val="Nadpis 2 Char"/>
    <w:basedOn w:val="DefaultParagraphFont"/>
    <w:uiPriority w:val="9"/>
    <w:semiHidden/>
    <w:qFormat/>
    <w:locked/>
    <w:rPr>
      <w:rFonts w:ascii="Cambria" w:hAnsi="Cambria" w:eastAsia="" w:cs="Times New Roman" w:asciiTheme="majorHAnsi" w:eastAsiaTheme="majorEastAsia" w:hAnsiTheme="majorHAnsi"/>
      <w:b/>
      <w:bCs/>
      <w:i/>
      <w:iCs/>
      <w:sz w:val="28"/>
      <w:szCs w:val="28"/>
      <w:lang w:val="x-none" w:eastAsia="cs-CZ"/>
    </w:rPr>
  </w:style>
  <w:style w:type="character" w:styleId="TltlnzovChar115ptAntiqueOliveNiejeTun" w:customStyle="1">
    <w:name w:val="Štýl Štýl § názov Char + 115 pt + Antique Olive Nie je Tučné"/>
    <w:basedOn w:val="DefaultParagraphFont"/>
    <w:uiPriority w:val="99"/>
    <w:qFormat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character" w:styleId="PtaChar" w:customStyle="1">
    <w:name w:val="Päta Char"/>
    <w:basedOn w:val="DefaultParagraphFont"/>
    <w:uiPriority w:val="99"/>
    <w:qFormat/>
    <w:locked/>
    <w:rPr>
      <w:rFonts w:ascii="Arial" w:hAnsi="Arial" w:cs="Arial"/>
      <w:sz w:val="24"/>
      <w:szCs w:val="24"/>
      <w:lang w:val="x-none" w:eastAsia="cs-CZ"/>
    </w:rPr>
  </w:style>
  <w:style w:type="character" w:styleId="Pagenumber">
    <w:name w:val="page number"/>
    <w:basedOn w:val="DefaultParagraphFont"/>
    <w:uiPriority w:val="99"/>
    <w:qFormat/>
    <w:rsid w:val="0072048d"/>
    <w:rPr>
      <w:rFonts w:cs="Times New Roman"/>
    </w:rPr>
  </w:style>
  <w:style w:type="character" w:styleId="Strong">
    <w:name w:val="Strong"/>
    <w:basedOn w:val="DefaultParagraphFont"/>
    <w:uiPriority w:val="22"/>
    <w:qFormat/>
    <w:rsid w:val="00db3c2d"/>
    <w:rPr>
      <w:rFonts w:cs="Times New Roman"/>
      <w:b/>
      <w:bCs/>
    </w:rPr>
  </w:style>
  <w:style w:type="character" w:styleId="TextbublinyChar" w:customStyle="1">
    <w:name w:val="Text bubliny Char"/>
    <w:basedOn w:val="DefaultParagraphFont"/>
    <w:link w:val="BalloonText"/>
    <w:uiPriority w:val="99"/>
    <w:semiHidden/>
    <w:qFormat/>
    <w:locked/>
    <w:rsid w:val="00e774eb"/>
    <w:rPr>
      <w:rFonts w:ascii="Tahoma" w:hAnsi="Tahoma" w:cs="Tahoma"/>
      <w:sz w:val="16"/>
      <w:szCs w:val="16"/>
      <w:lang w:val="x-none" w:eastAsia="cs-CZ"/>
    </w:rPr>
  </w:style>
  <w:style w:type="character" w:styleId="HlavikaChar" w:customStyle="1">
    <w:name w:val="Hlavička Char"/>
    <w:basedOn w:val="DefaultParagraphFont"/>
    <w:uiPriority w:val="99"/>
    <w:qFormat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pPr>
      <w:spacing w:lineRule="auto" w:line="276" w:before="0" w:after="140"/>
    </w:pPr>
    <w:rPr/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Tl11ptTuniernaPodaokrajaVavo019cmRiadkova" w:customStyle="1">
    <w:name w:val="Štýl 11 pt Tučné Čierna Podľa okraja Vľavo:  019 cm Riadkova..."/>
    <w:next w:val="Normal"/>
    <w:uiPriority w:val="99"/>
    <w:qFormat/>
    <w:rsid w:val="00d71ffb"/>
    <w:pPr>
      <w:widowControl/>
      <w:suppressAutoHyphens w:val="true"/>
      <w:bidi w:val="0"/>
      <w:spacing w:lineRule="auto" w:line="360" w:before="0" w:after="0"/>
      <w:jc w:val="both"/>
    </w:pPr>
    <w:rPr>
      <w:rFonts w:ascii="Arial" w:hAnsi="Arial" w:eastAsia="Times New Roman" w:cs="Arial"/>
      <w:color w:val="000000"/>
      <w:kern w:val="0"/>
      <w:sz w:val="24"/>
      <w:szCs w:val="24"/>
      <w:lang w:val="sk-SK" w:eastAsia="cs-CZ" w:bidi="ar-SA"/>
    </w:rPr>
  </w:style>
  <w:style w:type="paragraph" w:styleId="TlPodaokrajaVavo019cmRiadkovanie15riadka" w:customStyle="1">
    <w:name w:val="Štýl Podľa okraja Vľavo:  019 cm Riadkovanie:  15 riadka"/>
    <w:basedOn w:val="Normal"/>
    <w:autoRedefine/>
    <w:uiPriority w:val="99"/>
    <w:qFormat/>
    <w:rsid w:val="00d71ffb"/>
    <w:pPr>
      <w:ind w:left="108" w:hanging="0"/>
    </w:pPr>
    <w:rPr/>
  </w:style>
  <w:style w:type="paragraph" w:styleId="Bododvodnenie" w:customStyle="1">
    <w:name w:val="Bod odôvodnenie"/>
    <w:uiPriority w:val="99"/>
    <w:qFormat/>
    <w:rsid w:val="00d440d5"/>
    <w:pPr>
      <w:widowControl/>
      <w:numPr>
        <w:ilvl w:val="0"/>
        <w:numId w:val="2"/>
      </w:numPr>
      <w:suppressAutoHyphens w:val="true"/>
      <w:bidi w:val="0"/>
      <w:spacing w:before="120" w:after="120"/>
      <w:jc w:val="left"/>
    </w:pPr>
    <w:rPr>
      <w:rFonts w:ascii="Arial" w:hAnsi="Arial" w:eastAsia="Times New Roman" w:cs="Arial"/>
      <w:b/>
      <w:bCs/>
      <w:color w:val="auto"/>
      <w:kern w:val="0"/>
      <w:sz w:val="24"/>
      <w:szCs w:val="24"/>
      <w:lang w:val="sk-SK" w:eastAsia="cs-CZ" w:bidi="ar-SA"/>
    </w:rPr>
  </w:style>
  <w:style w:type="paragraph" w:styleId="TlArialPodaokraja" w:customStyle="1">
    <w:name w:val="Štýl Arial Podľa okraja"/>
    <w:autoRedefine/>
    <w:uiPriority w:val="99"/>
    <w:qFormat/>
    <w:rsid w:val="004337d2"/>
    <w:pPr>
      <w:widowControl/>
      <w:suppressAutoHyphens w:val="true"/>
      <w:bidi w:val="0"/>
      <w:spacing w:before="0" w:after="0"/>
      <w:jc w:val="both"/>
    </w:pPr>
    <w:rPr>
      <w:rFonts w:ascii="Arial" w:hAnsi="Arial" w:eastAsia="Times New Roman" w:cs="Arial"/>
      <w:color w:val="auto"/>
      <w:kern w:val="0"/>
      <w:sz w:val="16"/>
      <w:szCs w:val="16"/>
      <w:lang w:val="sk-SK" w:eastAsia="cs-CZ" w:bidi="ar-SA"/>
    </w:rPr>
  </w:style>
  <w:style w:type="paragraph" w:styleId="Textpoznmky" w:customStyle="1">
    <w:name w:val="Text poznámky"/>
    <w:basedOn w:val="Normal"/>
    <w:autoRedefine/>
    <w:uiPriority w:val="99"/>
    <w:qFormat/>
    <w:rsid w:val="001f67e7"/>
    <w:pPr>
      <w:numPr>
        <w:ilvl w:val="0"/>
        <w:numId w:val="3"/>
      </w:numPr>
      <w:spacing w:lineRule="auto" w:line="240"/>
    </w:pPr>
    <w:rPr/>
  </w:style>
  <w:style w:type="paragraph" w:styleId="Hlavikaapta">
    <w:name w:val="Hlavička a päta"/>
    <w:basedOn w:val="Normal"/>
    <w:qFormat/>
    <w:pPr/>
    <w:rPr/>
  </w:style>
  <w:style w:type="paragraph" w:styleId="Pta">
    <w:name w:val="Footer"/>
    <w:basedOn w:val="Normal"/>
    <w:link w:val="PtaChar"/>
    <w:uiPriority w:val="99"/>
    <w:rsid w:val="0072048d"/>
    <w:pPr>
      <w:tabs>
        <w:tab w:val="clear" w:pos="709"/>
        <w:tab w:val="center" w:pos="4536" w:leader="none"/>
        <w:tab w:val="right" w:pos="9072" w:leader="none"/>
      </w:tabs>
    </w:pPr>
    <w:rPr/>
  </w:style>
  <w:style w:type="paragraph" w:styleId="Normlny1" w:customStyle="1">
    <w:name w:val="Normálny1"/>
    <w:next w:val="Normal"/>
    <w:qFormat/>
    <w:rsid w:val="00a40be6"/>
    <w:pPr>
      <w:widowControl/>
      <w:suppressAutoHyphens w:val="true"/>
      <w:bidi w:val="0"/>
      <w:spacing w:lineRule="auto" w:line="360" w:before="120" w:after="120"/>
      <w:ind w:firstLine="709"/>
      <w:jc w:val="both"/>
    </w:pPr>
    <w:rPr>
      <w:rFonts w:ascii="Arial" w:hAnsi="Arial" w:eastAsia="Times New Roman" w:cs="Arial"/>
      <w:color w:val="auto"/>
      <w:kern w:val="0"/>
      <w:sz w:val="24"/>
      <w:szCs w:val="24"/>
      <w:lang w:val="sk-SK" w:eastAsia="cs-CZ" w:bidi="ar-SA"/>
    </w:rPr>
  </w:style>
  <w:style w:type="paragraph" w:styleId="Textopatrenia" w:customStyle="1">
    <w:name w:val="Text opatrenia"/>
    <w:qFormat/>
    <w:rsid w:val="00503a66"/>
    <w:pPr>
      <w:widowControl/>
      <w:numPr>
        <w:ilvl w:val="0"/>
        <w:numId w:val="4"/>
      </w:numPr>
      <w:suppressAutoHyphens w:val="true"/>
      <w:bidi w:val="0"/>
      <w:spacing w:before="120" w:after="120"/>
      <w:jc w:val="both"/>
    </w:pPr>
    <w:rPr>
      <w:rFonts w:ascii="Arial Narrow" w:hAnsi="Arial Narrow" w:eastAsia="Times New Roman" w:cs="Arial"/>
      <w:color w:val="auto"/>
      <w:kern w:val="0"/>
      <w:sz w:val="22"/>
      <w:szCs w:val="22"/>
      <w:lang w:val="sk-SK" w:eastAsia="cs-CZ" w:bidi="ar-SA"/>
    </w:rPr>
  </w:style>
  <w:style w:type="paragraph" w:styleId="TopHeader" w:customStyle="1">
    <w:name w:val="Top Header"/>
    <w:basedOn w:val="Normal"/>
    <w:qFormat/>
    <w:rsid w:val="00322d87"/>
    <w:pPr>
      <w:spacing w:lineRule="auto" w:line="240" w:before="0" w:after="0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e774eb"/>
    <w:pPr>
      <w:spacing w:lineRule="auto" w:line="240" w:before="0" w:after="0"/>
    </w:pPr>
    <w:rPr>
      <w:rFonts w:ascii="Tahoma" w:hAnsi="Tahoma" w:cs="Tahoma"/>
      <w:sz w:val="16"/>
      <w:szCs w:val="16"/>
    </w:rPr>
  </w:style>
  <w:style w:type="paragraph" w:styleId="Hlavika">
    <w:name w:val="Header"/>
    <w:basedOn w:val="Normal"/>
    <w:link w:val="HlavikaChar"/>
    <w:uiPriority w:val="99"/>
    <w:unhideWhenUsed/>
    <w:rsid w:val="00335024"/>
    <w:pPr>
      <w:tabs>
        <w:tab w:val="clear" w:pos="709"/>
        <w:tab w:val="center" w:pos="4536" w:leader="none"/>
        <w:tab w:val="right" w:pos="9072" w:leader="none"/>
      </w:tabs>
    </w:pPr>
    <w:rPr/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db1285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oter" Target="footer1.xml"/><Relationship Id="rId3" Type="http://schemas.openxmlformats.org/officeDocument/2006/relationships/header" Target="header1.xml"/><Relationship Id="rId4" Type="http://schemas.openxmlformats.org/officeDocument/2006/relationships/footer" Target="footer2.xml"/><Relationship Id="rId5" Type="http://schemas.openxmlformats.org/officeDocument/2006/relationships/footer" Target="footer3.xml"/><Relationship Id="rId6" Type="http://schemas.openxmlformats.org/officeDocument/2006/relationships/numbering" Target="numbering.xml"/><Relationship Id="rId7" Type="http://schemas.openxmlformats.org/officeDocument/2006/relationships/fontTable" Target="fontTable.xml"/><Relationship Id="rId8" Type="http://schemas.openxmlformats.org/officeDocument/2006/relationships/settings" Target="settings.xml"/><Relationship Id="rId9" Type="http://schemas.openxmlformats.org/officeDocument/2006/relationships/theme" Target="theme/theme1.xml"/><Relationship Id="rId10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FC0A69-28C4-4B02-94FB-E08C914FD06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99</TotalTime>
  <Application>LibreOffice/7.5.2.2$Windows_X86_64 LibreOffice_project/53bb9681a964705cf672590721dbc85eb4d0c3a2</Application>
  <AppVersion>15.0000</AppVersion>
  <Pages>17</Pages>
  <Words>3148</Words>
  <Characters>19152</Characters>
  <CharactersWithSpaces>21997</CharactersWithSpaces>
  <Paragraphs>454</Paragraphs>
  <Company>MF-SR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2023-03-07T16:46:00Z</dcterms:created>
  <dc:creator>jvrskova</dc:creator>
  <dc:description/>
  <dc:language>sk-SK</dc:language>
  <cp:lastModifiedBy/>
  <cp:lastPrinted>2013-11-04T09:32:00Z</cp:lastPrinted>
  <dcterms:modified xsi:type="dcterms:W3CDTF">2026-03-31T00:28:37Z</dcterms:modified>
  <cp:revision>6</cp:revision>
  <dc:subject/>
  <dc:title>Príloha č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