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riekatabuky"/>
        <w:tblW w:w="10157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66"/>
        <w:gridCol w:w="2569"/>
        <w:gridCol w:w="339"/>
        <w:gridCol w:w="342"/>
        <w:gridCol w:w="338"/>
        <w:gridCol w:w="337"/>
        <w:gridCol w:w="339"/>
        <w:gridCol w:w="342"/>
        <w:gridCol w:w="338"/>
        <w:gridCol w:w="338"/>
        <w:gridCol w:w="569"/>
        <w:gridCol w:w="334"/>
        <w:gridCol w:w="333"/>
        <w:gridCol w:w="335"/>
        <w:gridCol w:w="338"/>
      </w:tblGrid>
      <w:tr>
        <w:trPr/>
        <w:tc>
          <w:tcPr>
            <w:tcW w:w="2966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eastAsia="sk-SK" w:bidi="ar-SA"/>
              </w:rPr>
              <w:t>Poznámky (Úč  NUJ 3 – 01)</w:t>
            </w:r>
          </w:p>
        </w:tc>
        <w:tc>
          <w:tcPr>
            <w:tcW w:w="256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 xml:space="preserve">IČO 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3</w:t>
            </w:r>
          </w:p>
        </w:tc>
        <w:tc>
          <w:tcPr>
            <w:tcW w:w="342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0</w:t>
            </w:r>
          </w:p>
        </w:tc>
        <w:tc>
          <w:tcPr>
            <w:tcW w:w="338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2</w:t>
            </w:r>
          </w:p>
        </w:tc>
        <w:tc>
          <w:tcPr>
            <w:tcW w:w="337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3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1</w:t>
            </w:r>
          </w:p>
        </w:tc>
        <w:tc>
          <w:tcPr>
            <w:tcW w:w="342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2</w:t>
            </w:r>
          </w:p>
        </w:tc>
        <w:tc>
          <w:tcPr>
            <w:tcW w:w="338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2</w:t>
            </w:r>
          </w:p>
        </w:tc>
        <w:tc>
          <w:tcPr>
            <w:tcW w:w="338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1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/SID</w:t>
            </w:r>
          </w:p>
        </w:tc>
        <w:tc>
          <w:tcPr>
            <w:tcW w:w="334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3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8" w:type="dxa"/>
            <w:tcBorders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(1) Telovýchovná jednota Priehrada Udiča, Udiča 714, 018 01 Udiča dátum založenia :16.7.1990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(2) Štatutár : Nicolas Beník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(3)  Opis činnosti – poskytovanie športovej činnosti rozvoj žiackeho, dorastového, mužského futbalového klubu.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Podnikateľská činnosť sa skladá pomocných expedičných prác v doprave, táto činnosť bola ukončená v decembri.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 </w:t>
      </w:r>
      <w:r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 </w:t>
      </w:r>
      <w:r>
        <w:rPr>
          <w:b/>
          <w:sz w:val="22"/>
          <w:szCs w:val="22"/>
        </w:rPr>
        <w:t>áno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 </w:t>
      </w:r>
      <w:r>
        <w:rPr>
          <w:b/>
          <w:sz w:val="22"/>
          <w:szCs w:val="22"/>
        </w:rPr>
        <w:t xml:space="preserve"> podvojné účtovníctvo spôsob účtovania B.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(3) Spôsob oceňovania jednotlivých položiek majetku a záväzkov v členení na  </w:t>
      </w:r>
      <w:r>
        <w:rPr>
          <w:b/>
          <w:sz w:val="22"/>
          <w:szCs w:val="22"/>
        </w:rPr>
        <w:t>menovitou hodnotou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a) dlhodobý nehmotný majetok obstaraný kúpou,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b) dlhodobý nehmotný majetok obstaraný vlastnou činnosťou,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d) dlhodobý hmotný majetok obstaraný kúpou,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e) dlhodobý hmotný majetok obstaraný vlastnou činnosťou,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  <w:r>
        <w:rPr>
          <w:b/>
          <w:sz w:val="22"/>
          <w:szCs w:val="22"/>
        </w:rPr>
        <w:t xml:space="preserve">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g) dlhodobý finančný majetok,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h) zásoby obstarané kúpou ,áno – obstarávacou cenou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i) zásoby vytvorené vlastnou činnosťou,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j) zásoby obstarané iným spôsobom,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k) pohľadávky, áno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l) krátkodobý finančný majetok, áno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m) časové rozlíšenie na strane aktív,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 áno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o) časové rozlíšenie na strane pasív,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(4) Spôsob zostavenia odpisového plánu pre jednotlivé druhy dlhodobého hmotného majetku  a dlhodobého nehmotného majetku, pričom sa uvádza doba odpisovania, použité sadzby odpisov a odpisové metódy pri určení odpisov. V roku 2022 sa zakúpila tribúna –odpis.skupina 4 doba 12 rokov rovnomerné odpisovanie (daňové odpisy sa rovnajú s účtovnými.)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(5) Zásady pre zohľadnenie zníženia hodnoty majetku. Uvádza sa, či účtovná jednotka uplatňuje opravné položky a rezervy.nie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dlhodobom nehmotnom majetku a dlhodobom hmotnom majetku za bežné účtovné obdobie, a to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a) prehľad o dlhodobom majetku podľa položiek tohto majetku v členení podľa položiek súvahy; uvádza sa stav dlhodobého majetku v prvotnom ocenení na začiatku bežného účtovného obdobia, ZS- 023 5000 KS023- </w:t>
      </w:r>
      <w:r>
        <w:rPr>
          <w:sz w:val="22"/>
          <w:szCs w:val="22"/>
        </w:rPr>
        <w:t>0-predaný vyradený traktor</w:t>
      </w:r>
      <w:r>
        <w:rPr>
          <w:sz w:val="22"/>
          <w:szCs w:val="22"/>
        </w:rPr>
        <w:t xml:space="preserve">  022 11449,20 – </w:t>
      </w:r>
      <w:r>
        <w:rPr>
          <w:sz w:val="22"/>
          <w:szCs w:val="22"/>
        </w:rPr>
        <w:t xml:space="preserve">tribúna </w:t>
      </w:r>
      <w:r>
        <w:rPr>
          <w:sz w:val="22"/>
          <w:szCs w:val="22"/>
        </w:rPr>
        <w:t xml:space="preserve">CELKOM </w:t>
      </w:r>
      <w:r>
        <w:rPr>
          <w:sz w:val="22"/>
          <w:szCs w:val="22"/>
        </w:rPr>
        <w:t>11 449,20</w:t>
      </w:r>
      <w:r>
        <w:rPr>
          <w:sz w:val="22"/>
          <w:szCs w:val="22"/>
        </w:rPr>
        <w:t>€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 ZS 08 -  6431,16 prírastok 08- 954,10, KS 7385,26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traktor -0, tribúna na začiatku  a na konci bežného účtovného obdobia 9063,94 €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dlhodobého majetku, na ktorý je zriadené záložné právo a dlhodobého majetku, pri ktorom má účtovná jednotka obmedzené právo s ním nakladať.NIE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Údaje o spôsobe a výške poistenia dlhodobého nehmotného majetku a dlhodobého hmotného majetku 148€ 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Informácia o výške tvorby, zníženia a zúčtovania opravných položiek k dlhodobému finančnému majetku a opis dôvodu ich tvorby, zníženia a zúčtovania.-nie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významných pohľadávok v nadväznosti na položky súvahy a v členení na pohľadávky za hlavnú nezdaňovanú  činnosť,  zdaňovanú činnosť a podnikateľskú činnosť – k 31.12.202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podnikateľká činnosť</w:t>
      </w:r>
      <w:r>
        <w:rPr>
          <w:sz w:val="22"/>
          <w:szCs w:val="22"/>
        </w:rPr>
        <w:t>-nie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 pohľadávok do lehoty splatnosti a po lehote splatnosti. -</w:t>
      </w:r>
      <w:r>
        <w:rPr>
          <w:sz w:val="22"/>
          <w:szCs w:val="22"/>
        </w:rPr>
        <w:t>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Prehľad významných položiek časového rozlíšenia nákladov budúcich období a príjmov budúcich období </w:t>
      </w:r>
      <w:r>
        <w:rPr>
          <w:sz w:val="22"/>
          <w:szCs w:val="22"/>
        </w:rPr>
        <w:t>3600 €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 Základné imaniE ZS 13 745,93 +prírastok2022(tribúna krytá zo zdrojov 423) 11 449,20  KS 25195,13 €</w:t>
      </w:r>
    </w:p>
    <w:p>
      <w:pPr>
        <w:pStyle w:val="Normal"/>
        <w:spacing w:lineRule="auto" w:line="240" w:before="0" w:after="120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 fondy tvorené zo zisku 423 ZS=4759,48 prírastok zo zisku z minulých období 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jc w:val="center"/>
        <w:rPr>
          <w:sz w:val="22"/>
          <w:szCs w:val="22"/>
        </w:rPr>
      </w:pPr>
      <w:r>
        <w:rPr>
          <w:sz w:val="22"/>
          <w:szCs w:val="22"/>
        </w:rPr>
        <w:t>Informácia o rozdelení účtovného zisku alebo vysporiadaní účtovnej straty vykázanej v minulých účtovných  obdobiach. Prevedené na účet 428-02</w:t>
      </w:r>
      <w:r>
        <w:rPr>
          <w:sz w:val="22"/>
          <w:szCs w:val="22"/>
        </w:rPr>
        <w:t>4</w:t>
      </w:r>
      <w:r>
        <w:rPr>
          <w:sz w:val="22"/>
          <w:szCs w:val="22"/>
        </w:rPr>
        <w:t xml:space="preserve">Nevysporiadaný výsledok hospodárenia strata </w:t>
      </w:r>
      <w:r>
        <w:rPr>
          <w:sz w:val="22"/>
          <w:szCs w:val="22"/>
        </w:rPr>
        <w:t>1237€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a výška cudzích zdrojov, a to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rezervy,nie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 0€ do lehoty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 0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vrátane- 0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rokov-0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 nie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zabezpečenia,nie</w:t>
      </w:r>
    </w:p>
    <w:p>
      <w:pPr>
        <w:pStyle w:val="Normal"/>
        <w:spacing w:lineRule="auto" w:line="240" w:before="0" w:after="240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 významných položkách výnosov budúcich období v členení najmä na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dane,</w:t>
      </w:r>
    </w:p>
    <w:p>
      <w:pPr>
        <w:pStyle w:val="Normal"/>
        <w:spacing w:lineRule="auto" w:line="240"/>
        <w:rPr>
          <w:b/>
          <w:sz w:val="22"/>
          <w:szCs w:val="22"/>
        </w:rPr>
      </w:pPr>
      <w:r>
        <w:rPr>
          <w:sz w:val="22"/>
          <w:szCs w:val="22"/>
        </w:rPr>
        <w:t>f</w:t>
      </w:r>
      <w:r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b/>
          <w:sz w:val="22"/>
          <w:szCs w:val="22"/>
        </w:rPr>
        <w:t>g) zostatková hodnota dlhodobého majetku obstaraného zo sponzorského</w:t>
      </w:r>
      <w:r>
        <w:rPr>
          <w:sz w:val="22"/>
          <w:szCs w:val="22"/>
        </w:rPr>
        <w:t>.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majetku prenajatom formou finančného prenájmu, a to - nie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3. viac ako päť rokov.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 a podnikateľskej činnosti účtovnej jednotky-</w:t>
      </w:r>
      <w:r>
        <w:rPr>
          <w:sz w:val="22"/>
          <w:szCs w:val="22"/>
        </w:rPr>
        <w:t xml:space="preserve">predaj traktora </w:t>
      </w:r>
      <w:r>
        <w:rPr>
          <w:sz w:val="22"/>
          <w:szCs w:val="22"/>
        </w:rPr>
        <w:t xml:space="preserve">tržby  </w:t>
      </w:r>
      <w:r>
        <w:rPr>
          <w:sz w:val="22"/>
          <w:szCs w:val="22"/>
        </w:rPr>
        <w:t>3000€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(2) Opis a vyčíslenie hodnoty významných položiek prijatých darov, osobitných výnosov, zákonných poplatkov a iných ostatných výnosov. -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(3) Prehľad  dotácií a grantov, ktoré účtovná jednotka prijala v priebehu bežného účtovného obdobia. Dotácia Obecný úrad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8 000€,    2% z daní </w:t>
      </w:r>
      <w:r>
        <w:rPr>
          <w:sz w:val="22"/>
          <w:szCs w:val="22"/>
        </w:rPr>
        <w:t>2661,82€ prenesené na 384 vyčerpané 61,62 € Dotácia TSK 1000 – na 384 1000€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závierka.-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(5) Opis a vyčíslenie hodnoty významných položiek nákladov, nákladov na ostatné služby, osobitných nákladov a iných ostatných nákladov.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   športová činnosť.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 nie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  Nie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b) poisťovacie audítorské služby okrem  overenia účtovnej závierky,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c) daňové poradenstvo,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d) ostatné neaudítorské služby.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ind w:left="0" w:hanging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a) povinnosť z devízových termínovaných obchodov a iných finančných derivátov,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b) povinnosť z opčných obchodov,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c) 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d) 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 xml:space="preserve">e) iné povinnosti.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1"/>
        <w:gridCol w:w="2408"/>
        <w:gridCol w:w="2555"/>
      </w:tblGrid>
      <w:tr>
        <w:trPr/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rPr/>
            </w:pPr>
            <w:r>
              <w:rPr/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2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z toho  počet vedúcich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 xml:space="preserve">Počet dobrovoľníkov vyslaných účtovnou jednotkou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Počet dobrovoľníkov, ktorí vykonávali dobrovoľnícku činnosť pre účtovnú jednotku počas účtovného obdobia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10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10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851" w:right="851" w:gutter="0" w:header="0" w:top="851" w:footer="709" w:bottom="851"/>
          <w:pgNumType w:start="7" w:fmt="decimal"/>
          <w:formProt w:val="false"/>
          <w:textDirection w:val="lrTb"/>
          <w:docGrid w:type="default" w:linePitch="272" w:charSpace="8192"/>
        </w:sectPr>
        <w:pStyle w:val="Normal"/>
        <w:spacing w:lineRule="auto" w:line="240" w:before="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76"/>
        <w:gridCol w:w="1871"/>
        <w:gridCol w:w="1871"/>
        <w:gridCol w:w="1872"/>
        <w:gridCol w:w="1871"/>
        <w:gridCol w:w="1872"/>
        <w:gridCol w:w="1873"/>
        <w:gridCol w:w="1866"/>
      </w:tblGrid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9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15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>
        <w:trPr>
          <w:trHeight w:val="361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43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11449,20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16449,20</w:t>
            </w:r>
          </w:p>
        </w:tc>
      </w:tr>
      <w:tr>
        <w:trPr>
          <w:trHeight w:val="40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>
        <w:trPr>
          <w:trHeight w:val="42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11449,20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449,20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1431,16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6431,16</w:t>
            </w:r>
          </w:p>
        </w:tc>
      </w:tr>
      <w:tr>
        <w:trPr>
          <w:trHeight w:val="426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954,10</w:t>
            </w:r>
          </w:p>
        </w:tc>
      </w:tr>
      <w:tr>
        <w:trPr>
          <w:trHeight w:val="439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2385,26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385,26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9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156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>
        <w:trPr>
          <w:trHeight w:val="36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871"/>
        <w:gridCol w:w="2110"/>
        <w:gridCol w:w="1969"/>
        <w:gridCol w:w="1687"/>
        <w:gridCol w:w="1523"/>
        <w:gridCol w:w="1291"/>
        <w:gridCol w:w="1406"/>
        <w:gridCol w:w="1296"/>
        <w:gridCol w:w="981"/>
      </w:tblGrid>
      <w:tr>
        <w:trPr>
          <w:trHeight w:val="1393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30"/>
        <w:gridCol w:w="2126"/>
        <w:gridCol w:w="2551"/>
        <w:gridCol w:w="1700"/>
        <w:gridCol w:w="2552"/>
        <w:gridCol w:w="2268"/>
        <w:gridCol w:w="2410"/>
      </w:tblGrid>
      <w:tr>
        <w:trPr>
          <w:trHeight w:val="399" w:hRule="atLeast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>
        <w:trPr>
          <w:trHeight w:val="1073" w:hRule="atLeast"/>
        </w:trPr>
        <w:tc>
          <w:tcPr>
            <w:tcW w:w="16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>
        <w:trPr>
          <w:trHeight w:val="283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/>
          <w:sz w:val="16"/>
        </w:rPr>
      </w:pPr>
      <w:r>
        <w:rPr>
          <w:rFonts w:ascii="Arial" w:hAnsi="Arial"/>
          <w:sz w:val="16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55"/>
        <w:gridCol w:w="3393"/>
        <w:gridCol w:w="1986"/>
        <w:gridCol w:w="2268"/>
        <w:gridCol w:w="3543"/>
      </w:tblGrid>
      <w:tr>
        <w:trPr/>
        <w:tc>
          <w:tcPr>
            <w:tcW w:w="30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Krátkodobý finančný majetok</w:t>
            </w:r>
          </w:p>
        </w:tc>
        <w:tc>
          <w:tcPr>
            <w:tcW w:w="339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Stav na začiatku bežného účtovného obdobia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Prírastky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Úbytky</w:t>
            </w:r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Stav na konci bežného účtovného obdobia</w:t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>Majetkové cenné papiere na obchodovanie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 xml:space="preserve">Dlhové cenné papiere na obchodovanie 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 xml:space="preserve">Dlhové cenné papiere so splatnosťou do jedného roka držané do splatnosti 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>Ostatné realizovateľné cenné papiere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>Obstarávanie krátkodobého finančného majetku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Krátkodobý finančný majetok spolu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9"/>
        <w:gridCol w:w="2914"/>
        <w:gridCol w:w="4251"/>
        <w:gridCol w:w="3260"/>
      </w:tblGrid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2552"/>
        <w:gridCol w:w="2410"/>
        <w:gridCol w:w="2125"/>
        <w:gridCol w:w="2269"/>
        <w:gridCol w:w="2692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477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2552"/>
        <w:gridCol w:w="2410"/>
        <w:gridCol w:w="2125"/>
        <w:gridCol w:w="2269"/>
        <w:gridCol w:w="2692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1254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1"/>
        <w:gridCol w:w="3827"/>
        <w:gridCol w:w="4396"/>
      </w:tblGrid>
      <w:tr>
        <w:trPr>
          <w:trHeight w:val="397" w:hRule="atLeast"/>
        </w:trPr>
        <w:tc>
          <w:tcPr>
            <w:tcW w:w="4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rPr/>
        <w:tc>
          <w:tcPr>
            <w:tcW w:w="4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rPr/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3024</w:t>
            </w:r>
          </w:p>
        </w:tc>
      </w:tr>
      <w:tr>
        <w:trPr/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3024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22"/>
        <w:gridCol w:w="2977"/>
        <w:gridCol w:w="1983"/>
        <w:gridCol w:w="1843"/>
        <w:gridCol w:w="1985"/>
        <w:gridCol w:w="2834"/>
      </w:tblGrid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25195,13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25195,13</w:t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4759,48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4759,48</w:t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6255,58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-820,65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7076,</w:t>
            </w:r>
            <w:r>
              <w:rPr>
                <w:sz w:val="22"/>
                <w:szCs w:val="22"/>
              </w:rPr>
              <w:t>23</w:t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1237,11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1237,11</w:t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5839,12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45"/>
        <w:gridCol w:w="4854"/>
      </w:tblGrid>
      <w:tr>
        <w:trPr>
          <w:trHeight w:val="765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1237,11</w:t>
            </w:r>
          </w:p>
        </w:tc>
      </w:tr>
      <w:tr>
        <w:trPr>
          <w:trHeight w:val="330" w:hRule="atLeast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1237,11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04"/>
        <w:gridCol w:w="2694"/>
        <w:gridCol w:w="1984"/>
        <w:gridCol w:w="1843"/>
        <w:gridCol w:w="2127"/>
        <w:gridCol w:w="2692"/>
      </w:tblGrid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89" w:hRule="atLeast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87"/>
        <w:gridCol w:w="3118"/>
        <w:gridCol w:w="3547"/>
      </w:tblGrid>
      <w:tr>
        <w:trPr>
          <w:trHeight w:val="397" w:hRule="atLeast"/>
        </w:trPr>
        <w:tc>
          <w:tcPr>
            <w:tcW w:w="4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rPr/>
        <w:tc>
          <w:tcPr>
            <w:tcW w:w="48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rPr>
          <w:trHeight w:val="391" w:hRule="atLeast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</w:r>
          </w:p>
        </w:tc>
      </w:tr>
      <w:tr>
        <w:trPr>
          <w:trHeight w:val="391" w:hRule="atLeast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/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78" w:hRule="atLeast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9" w:hRule="atLeast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09" w:hRule="atLeast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0"/>
        <w:gridCol w:w="3685"/>
        <w:gridCol w:w="3547"/>
      </w:tblGrid>
      <w:tr>
        <w:trPr/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9" w:hRule="atLeast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1" w:hRule="atLeast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57" w:hRule="atLeast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14245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0"/>
        <w:gridCol w:w="1134"/>
        <w:gridCol w:w="1843"/>
        <w:gridCol w:w="1560"/>
        <w:gridCol w:w="2126"/>
        <w:gridCol w:w="2693"/>
        <w:gridCol w:w="3118"/>
      </w:tblGrid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14388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3663"/>
        <w:gridCol w:w="2127"/>
        <w:gridCol w:w="2267"/>
        <w:gridCol w:w="3261"/>
      </w:tblGrid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zostatku 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14388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7"/>
        <w:gridCol w:w="3119"/>
        <w:gridCol w:w="2268"/>
        <w:gridCol w:w="2693"/>
        <w:gridCol w:w="3261"/>
      </w:tblGrid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57"/>
        <w:gridCol w:w="3968"/>
        <w:gridCol w:w="3262"/>
      </w:tblGrid>
      <w:tr>
        <w:trPr/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>
        <w:trPr>
          <w:trHeight w:val="397" w:hRule="atLeast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športové potreby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3494,21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61,62</w:t>
            </w:r>
          </w:p>
        </w:tc>
      </w:tr>
      <w:tr>
        <w:trPr>
          <w:trHeight w:val="397" w:hRule="atLeast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2600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/>
      </w:r>
      <w:bookmarkStart w:id="0" w:name="_GoBack"/>
      <w:bookmarkStart w:id="1" w:name="_GoBack"/>
      <w:bookmarkEnd w:id="1"/>
    </w:p>
    <w:sectPr>
      <w:headerReference w:type="first" r:id="rId3"/>
      <w:footerReference w:type="default" r:id="rId4"/>
      <w:footerReference w:type="first" r:id="rId5"/>
      <w:type w:val="nextPage"/>
      <w:pgSz w:orient="landscape" w:w="16838" w:h="11906"/>
      <w:pgMar w:left="851" w:right="851" w:gutter="0" w:header="709" w:top="851" w:footer="709" w:bottom="851"/>
      <w:pgNumType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Pta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  <w:p>
    <w:pPr>
      <w:pStyle w:val="Pta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Pta"/>
      <w:spacing w:before="120" w:after="12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lavika"/>
      <w:spacing w:before="120" w:after="120"/>
      <w:jc w:val="right"/>
      <w:rPr/>
    </w:pPr>
    <w:r>
      <w:rPr/>
    </w:r>
  </w:p>
  <w:p>
    <w:pPr>
      <w:pStyle w:val="Hlavika"/>
      <w:spacing w:before="12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hanging="0"/>
      </w:pPr>
      <w:rPr>
        <w:sz w:val="24"/>
        <w:i w:val="false"/>
        <w:b/>
        <w:szCs w:val="24"/>
        <w:iCs w:val="false"/>
        <w:bCs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i w:val="false"/>
        <w:b w:val="false"/>
        <w:iCs w:val="false"/>
        <w:bCs w:val="false"/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lvl w:ilvl="0">
      <w:start w:val="1"/>
      <w:numFmt w:val="decimal"/>
      <w:lvlText w:val="K bodu %1"/>
      <w:lvlJc w:val="left"/>
      <w:pPr>
        <w:tabs>
          <w:tab w:val="num" w:pos="0"/>
        </w:tabs>
        <w:ind w:left="0" w:hanging="0"/>
      </w:pPr>
      <w:rPr>
        <w:i w:val="false"/>
        <w:b/>
        <w:iCs w:val="false"/>
        <w:bCs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 w:color="000000"/>
        <w:b w:val="false"/>
        <w:kern w:val="0"/>
        <w:szCs w:val="24"/>
        <w:iCs w:val="false"/>
        <w:bCs w:val="false"/>
        <w:w w:val="100"/>
        <w:vanish w:val="false"/>
        <w:rFonts w:ascii="Arial Narrow" w:hAnsi="Arial Narrow"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doNotHyphenateCaps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91dcc"/>
    <w:pPr>
      <w:widowControl/>
      <w:suppressAutoHyphens w:val="true"/>
      <w:bidi w:val="0"/>
      <w:spacing w:lineRule="auto" w:line="360" w:before="120" w:after="120"/>
      <w:jc w:val="both"/>
    </w:pPr>
    <w:rPr>
      <w:rFonts w:ascii="Arial Narrow" w:hAnsi="Arial Narrow" w:eastAsia="Times New Roman" w:cs="Arial"/>
      <w:color w:val="auto"/>
      <w:kern w:val="0"/>
      <w:sz w:val="20"/>
      <w:szCs w:val="24"/>
      <w:lang w:val="sk-SK" w:eastAsia="cs-CZ" w:bidi="ar-SA"/>
    </w:rPr>
  </w:style>
  <w:style w:type="paragraph" w:styleId="Nadpis1">
    <w:name w:val="Heading 1"/>
    <w:basedOn w:val="Normal"/>
    <w:next w:val="Nadpis2"/>
    <w:link w:val="Nadpis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al"/>
    <w:next w:val="Normal"/>
    <w:link w:val="Nadpis2Char"/>
    <w:uiPriority w:val="99"/>
    <w:qFormat/>
    <w:rsid w:val="00d440d5"/>
    <w:pPr>
      <w:keepNext w:val="true"/>
      <w:spacing w:before="240" w:after="60"/>
      <w:outlineLvl w:val="1"/>
    </w:pPr>
    <w:rPr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locked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  <w:lang w:val="x-none" w:eastAsia="cs-CZ"/>
    </w:rPr>
  </w:style>
  <w:style w:type="character" w:styleId="Nadpis2Char" w:customStyle="1">
    <w:name w:val="Nadpis 2 Char"/>
    <w:basedOn w:val="DefaultParagraphFont"/>
    <w:uiPriority w:val="9"/>
    <w:semiHidden/>
    <w:qFormat/>
    <w:locked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  <w:lang w:val="x-none" w:eastAsia="cs-CZ"/>
    </w:rPr>
  </w:style>
  <w:style w:type="character" w:styleId="TltlnzovChar115ptAntiqueOliveNiejeTun" w:customStyle="1">
    <w:name w:val="Štýl Štýl § názov Char + 115 pt + Antique Olive Nie je Tučné"/>
    <w:basedOn w:val="DefaultParagraphFont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uiPriority w:val="99"/>
    <w:qFormat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basedOn w:val="DefaultParagraphFont"/>
    <w:uiPriority w:val="99"/>
    <w:qFormat/>
    <w:rsid w:val="0072048d"/>
    <w:rPr>
      <w:rFonts w:cs="Times New Roman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e774eb"/>
    <w:rPr>
      <w:rFonts w:ascii="Tahoma" w:hAnsi="Tahoma" w:cs="Tahoma"/>
      <w:sz w:val="16"/>
      <w:szCs w:val="16"/>
      <w:lang w:val="x-none" w:eastAsia="cs-CZ"/>
    </w:rPr>
  </w:style>
  <w:style w:type="character" w:styleId="HlavikaChar" w:customStyle="1">
    <w:name w:val="Hlavička Char"/>
    <w:basedOn w:val="DefaultParagraphFont"/>
    <w:uiPriority w:val="99"/>
    <w:qFormat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next w:val="Normal"/>
    <w:uiPriority w:val="99"/>
    <w:qFormat/>
    <w:rsid w:val="00d71ffb"/>
    <w:pPr>
      <w:widowControl/>
      <w:suppressAutoHyphens w:val="true"/>
      <w:bidi w:val="0"/>
      <w:spacing w:lineRule="auto" w:line="360" w:before="0" w:after="0"/>
      <w:jc w:val="both"/>
    </w:pPr>
    <w:rPr>
      <w:rFonts w:ascii="Arial" w:hAnsi="Arial" w:eastAsia="Times New Roman" w:cs="Arial"/>
      <w:color w:val="000000"/>
      <w:kern w:val="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numPr>
        <w:ilvl w:val="0"/>
        <w:numId w:val="2"/>
      </w:numPr>
      <w:suppressAutoHyphens w:val="true"/>
      <w:bidi w:val="0"/>
      <w:spacing w:before="120" w:after="120"/>
      <w:jc w:val="left"/>
    </w:pPr>
    <w:rPr>
      <w:rFonts w:ascii="Arial" w:hAnsi="Arial" w:eastAsia="Times New Roman" w:cs="Arial"/>
      <w:b/>
      <w:bCs/>
      <w:color w:val="auto"/>
      <w:kern w:val="0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suppressAutoHyphens w:val="tru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numPr>
        <w:ilvl w:val="0"/>
        <w:numId w:val="3"/>
      </w:numPr>
      <w:spacing w:lineRule="auto" w:line="240"/>
    </w:pPr>
    <w:rPr/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link w:val="PtaChar"/>
    <w:uiPriority w:val="99"/>
    <w:rsid w:val="0072048d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next w:val="Normal"/>
    <w:qFormat/>
    <w:rsid w:val="00a40be6"/>
    <w:pPr>
      <w:widowControl/>
      <w:suppressAutoHyphens w:val="true"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auto"/>
      <w:kern w:val="0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numPr>
        <w:ilvl w:val="0"/>
        <w:numId w:val="4"/>
      </w:numPr>
      <w:suppressAutoHyphens w:val="true"/>
      <w:bidi w:val="0"/>
      <w:spacing w:before="120" w:after="120"/>
      <w:jc w:val="both"/>
    </w:pPr>
    <w:rPr>
      <w:rFonts w:ascii="Arial Narrow" w:hAnsi="Arial Narrow" w:eastAsia="Times New Roman" w:cs="Arial"/>
      <w:color w:val="auto"/>
      <w:kern w:val="0"/>
      <w:sz w:val="22"/>
      <w:szCs w:val="22"/>
      <w:lang w:val="sk-SK" w:eastAsia="cs-CZ" w:bidi="ar-SA"/>
    </w:rPr>
  </w:style>
  <w:style w:type="paragraph" w:styleId="TopHeader" w:customStyle="1">
    <w:name w:val="Top Header"/>
    <w:basedOn w:val="Normal"/>
    <w:qFormat/>
    <w:rsid w:val="00322d87"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774e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"/>
    <w:link w:val="HlavikaChar"/>
    <w:uiPriority w:val="99"/>
    <w:unhideWhenUsed/>
    <w:rsid w:val="00335024"/>
    <w:pPr>
      <w:tabs>
        <w:tab w:val="clear" w:pos="709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eader" Target="head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C0A69-28C4-4B02-94FB-E08C914F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Application>LibreOffice/7.5.2.2$Windows_X86_64 LibreOffice_project/53bb9681a964705cf672590721dbc85eb4d0c3a2</Application>
  <AppVersion>15.0000</AppVersion>
  <Pages>17</Pages>
  <Words>3148</Words>
  <Characters>19152</Characters>
  <CharactersWithSpaces>21997</CharactersWithSpaces>
  <Paragraphs>454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2023-03-07T16:46:00Z</dcterms:created>
  <dc:creator>jvrskova</dc:creator>
  <dc:description/>
  <dc:language>sk-SK</dc:language>
  <cp:lastModifiedBy/>
  <cp:lastPrinted>2013-11-04T09:32:00Z</cp:lastPrinted>
  <dcterms:modified xsi:type="dcterms:W3CDTF">2026-03-31T00:28:37Z</dcterms:modified>
  <cp:revision>6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