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bidi w:val="0"/>
        <w:spacing w:before="0" w:after="0"/>
        <w:ind w:left="720" w:hanging="0"/>
        <w:contextualSpacing/>
        <w:jc w:val="center"/>
        <w:rPr/>
      </w:pPr>
      <w:r>
        <w:rPr>
          <w:rFonts w:cs="Arial" w:ascii="Arial" w:hAnsi="Arial"/>
          <w:b/>
          <w:sz w:val="28"/>
          <w:szCs w:val="28"/>
        </w:rPr>
        <w:t>Poznámky  k účtovnej závierke zostavenej k 31. 12. 2025</w:t>
      </w:r>
    </w:p>
    <w:p>
      <w:pPr>
        <w:pStyle w:val="Normal"/>
        <w:numPr>
          <w:ilvl w:val="0"/>
          <w:numId w:val="0"/>
        </w:numPr>
        <w:bidi w:val="0"/>
        <w:spacing w:before="0" w:after="0"/>
        <w:ind w:left="720" w:hanging="0"/>
        <w:contextualSpacing/>
        <w:jc w:val="center"/>
        <w:rPr/>
      </w:pPr>
      <w:r>
        <w:rPr>
          <w:rFonts w:cs="Arial" w:ascii="Arial" w:hAnsi="Arial"/>
          <w:b/>
          <w:sz w:val="28"/>
          <w:szCs w:val="28"/>
        </w:rPr>
        <w:t xml:space="preserve">  </w:t>
      </w:r>
      <w:r>
        <w:rPr>
          <w:rFonts w:cs="Arial" w:ascii="Arial" w:hAnsi="Arial"/>
          <w:b/>
          <w:sz w:val="28"/>
          <w:szCs w:val="28"/>
        </w:rPr>
        <w:t>za obdobie od</w:t>
      </w:r>
    </w:p>
    <w:p>
      <w:pPr>
        <w:pStyle w:val="Normal"/>
        <w:numPr>
          <w:ilvl w:val="0"/>
          <w:numId w:val="0"/>
        </w:numPr>
        <w:bidi w:val="0"/>
        <w:spacing w:before="0" w:after="0"/>
        <w:ind w:left="720" w:hanging="0"/>
        <w:contextualSpacing/>
        <w:jc w:val="center"/>
        <w:rPr/>
      </w:pPr>
      <w:r>
        <w:rPr>
          <w:rFonts w:cs="Arial" w:ascii="Arial" w:hAnsi="Arial"/>
          <w:b/>
          <w:sz w:val="28"/>
          <w:szCs w:val="28"/>
        </w:rPr>
        <w:t>11. 6. 2025 – 31. 12. 2025</w:t>
      </w:r>
    </w:p>
    <w:p>
      <w:pPr>
        <w:pStyle w:val="Normal"/>
        <w:bidi w:val="0"/>
        <w:spacing w:before="0" w:after="0"/>
        <w:contextualSpacing/>
        <w:jc w:val="center"/>
        <w:rPr>
          <w:rFonts w:ascii="Arial" w:hAnsi="Arial" w:cs="Arial"/>
          <w:b/>
          <w:sz w:val="28"/>
          <w:szCs w:val="28"/>
        </w:rPr>
      </w:pPr>
      <w:r>
        <w:rPr>
          <w:rFonts w:cs="Arial" w:ascii="Arial" w:hAnsi="Arial"/>
          <w:b/>
          <w:sz w:val="28"/>
          <w:szCs w:val="28"/>
        </w:rPr>
      </w:r>
    </w:p>
    <w:p>
      <w:pPr>
        <w:pStyle w:val="Normal"/>
        <w:bidi w:val="0"/>
        <w:spacing w:before="0" w:after="0"/>
        <w:contextualSpacing/>
        <w:jc w:val="center"/>
        <w:rPr>
          <w:rFonts w:ascii="Arial" w:hAnsi="Arial" w:cs="Arial"/>
          <w:b/>
          <w:sz w:val="28"/>
          <w:szCs w:val="28"/>
        </w:rPr>
      </w:pPr>
      <w:r>
        <w:rPr>
          <w:rFonts w:cs="Arial" w:ascii="Arial" w:hAnsi="Arial"/>
          <w:b/>
          <w:sz w:val="28"/>
          <w:szCs w:val="28"/>
        </w:rPr>
      </w:r>
    </w:p>
    <w:p>
      <w:pPr>
        <w:pStyle w:val="Normal"/>
        <w:bidi w:val="0"/>
        <w:spacing w:before="0" w:after="0"/>
        <w:contextualSpacing/>
        <w:jc w:val="center"/>
        <w:rPr>
          <w:rFonts w:ascii="Arial" w:hAnsi="Arial" w:cs="Arial"/>
          <w:b/>
          <w:sz w:val="28"/>
          <w:szCs w:val="28"/>
        </w:rPr>
      </w:pPr>
      <w:r>
        <w:rPr>
          <w:rFonts w:cs="Arial" w:ascii="Arial" w:hAnsi="Arial"/>
          <w:b/>
          <w:sz w:val="28"/>
          <w:szCs w:val="28"/>
        </w:rPr>
      </w:r>
    </w:p>
    <w:p>
      <w:pPr>
        <w:pStyle w:val="Normal"/>
        <w:numPr>
          <w:ilvl w:val="0"/>
          <w:numId w:val="1"/>
        </w:numPr>
        <w:bidi w:val="0"/>
        <w:spacing w:before="0" w:after="0"/>
        <w:contextualSpacing/>
        <w:jc w:val="left"/>
        <w:rPr>
          <w:rFonts w:ascii="Arial" w:hAnsi="Arial" w:cs="Arial"/>
          <w:b/>
          <w:sz w:val="28"/>
          <w:szCs w:val="28"/>
        </w:rPr>
      </w:pPr>
      <w:r>
        <w:rPr>
          <w:rFonts w:cs="Arial" w:ascii="Arial" w:hAnsi="Arial"/>
          <w:b/>
          <w:sz w:val="28"/>
          <w:szCs w:val="28"/>
        </w:rPr>
        <w:t>Všeobecné údaje</w:t>
      </w:r>
    </w:p>
    <w:p>
      <w:pPr>
        <w:pStyle w:val="ListParagraph"/>
        <w:bidi w:val="0"/>
        <w:spacing w:before="0" w:after="0"/>
        <w:contextualSpacing/>
        <w:jc w:val="left"/>
        <w:rPr>
          <w:rFonts w:ascii="Arial" w:hAnsi="Arial" w:cs="Arial"/>
          <w:b/>
          <w:sz w:val="28"/>
          <w:szCs w:val="28"/>
        </w:rPr>
      </w:pPr>
      <w:r>
        <w:rPr>
          <w:rFonts w:cs="Arial" w:ascii="Arial" w:hAnsi="Arial"/>
          <w:b/>
          <w:sz w:val="28"/>
          <w:szCs w:val="28"/>
        </w:rPr>
      </w:r>
    </w:p>
    <w:p>
      <w:pPr>
        <w:pStyle w:val="ListParagraph"/>
        <w:bidi w:val="0"/>
        <w:spacing w:before="0" w:after="0"/>
        <w:contextualSpacing/>
        <w:jc w:val="left"/>
        <w:rPr>
          <w:rFonts w:ascii="Arial" w:hAnsi="Arial" w:cs="Arial"/>
          <w:szCs w:val="22"/>
        </w:rPr>
      </w:pPr>
      <w:r>
        <w:rPr>
          <w:rFonts w:cs="Arial" w:ascii="Arial" w:hAnsi="Arial"/>
          <w:b/>
          <w:szCs w:val="22"/>
        </w:rPr>
        <w:t>a/ základné informácie o účtovnej jednotke</w:t>
      </w:r>
      <w:r>
        <w:rPr>
          <w:rFonts w:cs="Arial" w:ascii="Arial" w:hAnsi="Arial"/>
          <w:szCs w:val="22"/>
        </w:rPr>
        <w:t>:</w:t>
      </w:r>
    </w:p>
    <w:p>
      <w:pPr>
        <w:pStyle w:val="ListParagraph"/>
        <w:bidi w:val="0"/>
        <w:spacing w:before="0" w:after="0"/>
        <w:contextualSpacing/>
        <w:jc w:val="left"/>
        <w:rPr>
          <w:rFonts w:ascii="Arial" w:hAnsi="Arial" w:cs="Arial"/>
          <w:szCs w:val="22"/>
        </w:rPr>
      </w:pPr>
      <w:r>
        <w:rPr>
          <w:rFonts w:cs="Arial" w:ascii="Arial" w:hAnsi="Arial"/>
          <w:szCs w:val="22"/>
        </w:rPr>
      </w:r>
    </w:p>
    <w:p>
      <w:pPr>
        <w:pStyle w:val="ListParagraph"/>
        <w:bidi w:val="0"/>
        <w:spacing w:before="0" w:after="0"/>
        <w:ind w:left="4962" w:hanging="4242"/>
        <w:contextualSpacing/>
        <w:jc w:val="left"/>
        <w:rPr>
          <w:rFonts w:ascii="Arial" w:hAnsi="Arial" w:cs="Arial"/>
          <w:szCs w:val="22"/>
        </w:rPr>
      </w:pPr>
      <w:r>
        <w:rPr>
          <w:rFonts w:cs="Arial" w:ascii="Arial" w:hAnsi="Arial"/>
          <w:szCs w:val="22"/>
        </w:rPr>
        <w:t>Obchodné meno:                                         NATgarden s. r. o.</w:t>
      </w:r>
    </w:p>
    <w:p>
      <w:pPr>
        <w:pStyle w:val="ListParagraph"/>
        <w:bidi w:val="0"/>
        <w:spacing w:before="0" w:after="0"/>
        <w:ind w:left="4962" w:hanging="4242"/>
        <w:contextualSpacing/>
        <w:jc w:val="left"/>
        <w:rPr>
          <w:rFonts w:ascii="Arial" w:hAnsi="Arial" w:cs="Arial"/>
          <w:szCs w:val="22"/>
        </w:rPr>
      </w:pPr>
      <w:r>
        <w:rPr>
          <w:rFonts w:cs="Arial" w:ascii="Arial" w:hAnsi="Arial"/>
          <w:szCs w:val="22"/>
        </w:rPr>
        <w:t xml:space="preserve">Sídlo:                                                            Ondrašovská 205/139 </w:t>
      </w:r>
    </w:p>
    <w:p>
      <w:pPr>
        <w:pStyle w:val="ListParagraph"/>
        <w:bidi w:val="0"/>
        <w:spacing w:before="0" w:after="0"/>
        <w:ind w:left="4962" w:hanging="4242"/>
        <w:contextualSpacing/>
        <w:jc w:val="left"/>
        <w:rPr>
          <w:rFonts w:ascii="Arial" w:hAnsi="Arial" w:cs="Arial"/>
          <w:szCs w:val="22"/>
        </w:rPr>
      </w:pPr>
      <w:r>
        <w:rPr>
          <w:rFonts w:cs="Arial" w:ascii="Arial" w:hAnsi="Arial"/>
          <w:szCs w:val="22"/>
        </w:rPr>
        <w:t xml:space="preserve">                                                                     </w:t>
      </w:r>
      <w:r>
        <w:rPr>
          <w:rFonts w:cs="Arial" w:ascii="Arial" w:hAnsi="Arial"/>
          <w:szCs w:val="22"/>
        </w:rPr>
        <w:t>031 05 Liptovský Mikuláš</w:t>
      </w:r>
    </w:p>
    <w:p>
      <w:pPr>
        <w:pStyle w:val="ListParagraph"/>
        <w:bidi w:val="0"/>
        <w:spacing w:before="0" w:after="0"/>
        <w:contextualSpacing/>
        <w:jc w:val="left"/>
        <w:rPr>
          <w:rFonts w:ascii="Arial" w:hAnsi="Arial" w:cs="Arial"/>
          <w:szCs w:val="22"/>
        </w:rPr>
      </w:pPr>
      <w:r>
        <w:rPr>
          <w:rFonts w:cs="Arial" w:ascii="Arial" w:hAnsi="Arial"/>
          <w:szCs w:val="22"/>
        </w:rPr>
        <w:t>IČO:                                                              57024928</w:t>
      </w:r>
    </w:p>
    <w:p>
      <w:pPr>
        <w:pStyle w:val="ListParagraph"/>
        <w:bidi w:val="0"/>
        <w:spacing w:before="0" w:after="0"/>
        <w:contextualSpacing/>
        <w:jc w:val="left"/>
        <w:rPr>
          <w:rFonts w:ascii="Arial" w:hAnsi="Arial" w:cs="Arial"/>
          <w:szCs w:val="22"/>
        </w:rPr>
      </w:pPr>
      <w:r>
        <w:rPr>
          <w:rFonts w:cs="Arial" w:ascii="Arial" w:hAnsi="Arial"/>
          <w:szCs w:val="22"/>
        </w:rPr>
        <w:t>DIČ:                                                              2122542015</w:t>
      </w:r>
    </w:p>
    <w:p>
      <w:pPr>
        <w:pStyle w:val="ListParagraph"/>
        <w:bidi w:val="0"/>
        <w:spacing w:before="0" w:after="0"/>
        <w:contextualSpacing/>
        <w:jc w:val="left"/>
        <w:rPr>
          <w:rFonts w:ascii="Arial" w:hAnsi="Arial" w:cs="Arial"/>
          <w:szCs w:val="22"/>
        </w:rPr>
      </w:pPr>
      <w:r>
        <w:rPr>
          <w:rFonts w:cs="Arial" w:ascii="Arial" w:hAnsi="Arial"/>
          <w:szCs w:val="22"/>
        </w:rPr>
        <w:t xml:space="preserve">IČ DPH:                                                        </w:t>
      </w:r>
    </w:p>
    <w:p>
      <w:pPr>
        <w:pStyle w:val="ListParagraph"/>
        <w:bidi w:val="0"/>
        <w:spacing w:before="0" w:after="0"/>
        <w:contextualSpacing/>
        <w:jc w:val="left"/>
        <w:rPr>
          <w:rFonts w:ascii="Arial" w:hAnsi="Arial" w:cs="Arial"/>
          <w:szCs w:val="22"/>
        </w:rPr>
      </w:pPr>
      <w:r>
        <w:rPr>
          <w:rFonts w:cs="Arial" w:ascii="Arial" w:hAnsi="Arial"/>
          <w:szCs w:val="22"/>
        </w:rPr>
        <w:t>Dátum založenia:                                         03. 06. 2025</w:t>
      </w:r>
    </w:p>
    <w:p>
      <w:pPr>
        <w:pStyle w:val="ListParagraph"/>
        <w:bidi w:val="0"/>
        <w:spacing w:before="0" w:after="0"/>
        <w:contextualSpacing/>
        <w:jc w:val="left"/>
        <w:rPr>
          <w:rFonts w:ascii="Arial" w:hAnsi="Arial" w:cs="Arial"/>
          <w:szCs w:val="22"/>
        </w:rPr>
      </w:pPr>
      <w:r>
        <w:rPr>
          <w:rFonts w:cs="Arial" w:ascii="Arial" w:hAnsi="Arial"/>
          <w:szCs w:val="22"/>
        </w:rPr>
        <w:t>Dátum vzniku:                                              11. 06. 2025</w:t>
      </w:r>
    </w:p>
    <w:p>
      <w:pPr>
        <w:pStyle w:val="ListParagraph"/>
        <w:bidi w:val="0"/>
        <w:spacing w:before="0" w:after="0"/>
        <w:contextualSpacing/>
        <w:jc w:val="left"/>
        <w:rPr>
          <w:rFonts w:ascii="Arial" w:hAnsi="Arial" w:cs="Arial"/>
          <w:szCs w:val="22"/>
        </w:rPr>
      </w:pPr>
      <w:r>
        <w:rPr>
          <w:rFonts w:cs="Arial" w:ascii="Arial" w:hAnsi="Arial"/>
          <w:szCs w:val="22"/>
        </w:rPr>
      </w:r>
    </w:p>
    <w:p>
      <w:pPr>
        <w:pStyle w:val="ListParagraph"/>
        <w:bidi w:val="0"/>
        <w:spacing w:before="0" w:after="0"/>
        <w:contextualSpacing/>
        <w:jc w:val="left"/>
        <w:rPr>
          <w:rFonts w:ascii="Arial" w:hAnsi="Arial" w:cs="Arial"/>
          <w:szCs w:val="22"/>
        </w:rPr>
      </w:pPr>
      <w:r>
        <w:rPr>
          <w:rFonts w:cs="Arial" w:ascii="Arial" w:hAnsi="Arial"/>
          <w:szCs w:val="22"/>
        </w:rPr>
        <w:t xml:space="preserve">Dňa 11. 6. 2025 bol zapísaný v Obchodnom registri Okresného súdu Žilina, oddiel: Sro, vložka č. 87959/L </w:t>
      </w:r>
    </w:p>
    <w:p>
      <w:pPr>
        <w:pStyle w:val="ListParagraph"/>
        <w:bidi w:val="0"/>
        <w:spacing w:before="0" w:after="0"/>
        <w:contextualSpacing/>
        <w:jc w:val="left"/>
        <w:rPr>
          <w:rFonts w:ascii="Arial" w:hAnsi="Arial" w:cs="Arial"/>
          <w:szCs w:val="22"/>
        </w:rPr>
      </w:pPr>
      <w:r>
        <w:rPr>
          <w:rFonts w:cs="Arial" w:ascii="Arial" w:hAnsi="Arial"/>
          <w:szCs w:val="22"/>
        </w:rPr>
      </w:r>
    </w:p>
    <w:p>
      <w:pPr>
        <w:pStyle w:val="ListParagraph"/>
        <w:bidi w:val="0"/>
        <w:spacing w:before="0" w:after="0"/>
        <w:contextualSpacing/>
        <w:jc w:val="left"/>
        <w:rPr>
          <w:rFonts w:ascii="Arial" w:hAnsi="Arial" w:cs="Arial"/>
          <w:b/>
          <w:szCs w:val="22"/>
        </w:rPr>
      </w:pPr>
      <w:r>
        <w:rPr>
          <w:rFonts w:cs="Arial" w:ascii="Arial" w:hAnsi="Arial"/>
          <w:b/>
          <w:szCs w:val="22"/>
        </w:rPr>
        <w:t>b/ opis hospodárskej činnosti účtovnej jednotky:</w:t>
      </w:r>
    </w:p>
    <w:p>
      <w:pPr>
        <w:pStyle w:val="ListParagraph"/>
        <w:bidi w:val="0"/>
        <w:spacing w:before="0" w:after="0"/>
        <w:contextualSpacing/>
        <w:jc w:val="left"/>
        <w:rPr>
          <w:rFonts w:ascii="Arial" w:hAnsi="Arial" w:cs="Arial"/>
          <w:szCs w:val="22"/>
        </w:rPr>
      </w:pPr>
      <w:r>
        <w:rPr>
          <w:rFonts w:cs="Arial" w:ascii="Arial" w:hAnsi="Arial"/>
          <w:szCs w:val="22"/>
        </w:rPr>
      </w:r>
    </w:p>
    <w:p>
      <w:pPr>
        <w:pStyle w:val="ListParagraph"/>
        <w:bidi w:val="0"/>
        <w:spacing w:before="0" w:after="0"/>
        <w:contextualSpacing/>
        <w:jc w:val="left"/>
        <w:rPr>
          <w:rFonts w:ascii="Arial" w:hAnsi="Arial" w:cs="Arial"/>
          <w:szCs w:val="22"/>
        </w:rPr>
      </w:pPr>
      <w:r>
        <w:rPr>
          <w:rFonts w:cs="Arial" w:ascii="Arial" w:hAnsi="Arial"/>
          <w:szCs w:val="22"/>
        </w:rPr>
        <w:t>Spoločnosť má predmet činnosti:</w:t>
      </w:r>
    </w:p>
    <w:p>
      <w:pPr>
        <w:pStyle w:val="ListParagraph"/>
        <w:numPr>
          <w:ilvl w:val="0"/>
          <w:numId w:val="2"/>
        </w:numPr>
        <w:bidi w:val="0"/>
        <w:spacing w:before="0" w:after="0"/>
        <w:contextualSpacing/>
        <w:jc w:val="left"/>
        <w:rPr>
          <w:rFonts w:ascii="Arial" w:hAnsi="Arial" w:cs="Arial"/>
          <w:szCs w:val="22"/>
        </w:rPr>
      </w:pPr>
      <w:r>
        <w:rPr>
          <w:rFonts w:cs="Arial" w:ascii="Arial" w:hAnsi="Arial"/>
          <w:szCs w:val="22"/>
        </w:rPr>
        <w:t>Poskytovanie služieb pre poľnohospodárstvo, záhradníctvo, rybárstvo, lesníctvo a poľovníctvo</w:t>
      </w:r>
    </w:p>
    <w:p>
      <w:pPr>
        <w:pStyle w:val="ListParagraph"/>
        <w:numPr>
          <w:ilvl w:val="0"/>
          <w:numId w:val="2"/>
        </w:numPr>
        <w:bidi w:val="0"/>
        <w:spacing w:before="0" w:after="0"/>
        <w:contextualSpacing/>
        <w:jc w:val="left"/>
        <w:rPr>
          <w:rFonts w:ascii="Arial" w:hAnsi="Arial" w:cs="Arial"/>
          <w:szCs w:val="22"/>
        </w:rPr>
      </w:pPr>
      <w:r>
        <w:rPr>
          <w:rFonts w:cs="Arial" w:ascii="Arial" w:hAnsi="Arial"/>
          <w:szCs w:val="22"/>
        </w:rPr>
        <w:t>Kúpa tovaru na účely jeho predaja konečnému spotrebiteľovi (maloobchod), alebo iným prevádzkovateľom živnosti (veľkoobchod)</w:t>
      </w:r>
    </w:p>
    <w:p>
      <w:pPr>
        <w:pStyle w:val="ListParagraph"/>
        <w:numPr>
          <w:ilvl w:val="0"/>
          <w:numId w:val="2"/>
        </w:numPr>
        <w:bidi w:val="0"/>
        <w:spacing w:before="0" w:after="0"/>
        <w:contextualSpacing/>
        <w:jc w:val="left"/>
        <w:rPr>
          <w:rFonts w:ascii="Arial" w:hAnsi="Arial" w:cs="Arial"/>
          <w:szCs w:val="22"/>
        </w:rPr>
      </w:pPr>
      <w:r>
        <w:rPr>
          <w:rFonts w:cs="Arial" w:ascii="Arial" w:hAnsi="Arial"/>
          <w:szCs w:val="22"/>
        </w:rPr>
        <w:t>Výroba ostatných nekovových minerálnych výrobkov</w:t>
      </w:r>
    </w:p>
    <w:p>
      <w:pPr>
        <w:pStyle w:val="ListParagraph"/>
        <w:numPr>
          <w:ilvl w:val="0"/>
          <w:numId w:val="2"/>
        </w:numPr>
        <w:bidi w:val="0"/>
        <w:spacing w:before="0" w:after="0"/>
        <w:contextualSpacing/>
        <w:jc w:val="left"/>
        <w:rPr>
          <w:rFonts w:ascii="Arial" w:hAnsi="Arial" w:cs="Arial"/>
          <w:szCs w:val="22"/>
        </w:rPr>
      </w:pPr>
      <w:r>
        <w:rPr>
          <w:rFonts w:cs="Arial" w:ascii="Arial" w:hAnsi="Arial"/>
          <w:szCs w:val="22"/>
        </w:rPr>
        <w:t>Výroba a hutnícke spracovanie kovov, výroba a opracovanie jednoduchých kovových výrobkov</w:t>
      </w:r>
    </w:p>
    <w:p>
      <w:pPr>
        <w:pStyle w:val="ListParagraph"/>
        <w:numPr>
          <w:ilvl w:val="0"/>
          <w:numId w:val="2"/>
        </w:numPr>
        <w:bidi w:val="0"/>
        <w:spacing w:before="0" w:after="0"/>
        <w:contextualSpacing/>
        <w:jc w:val="left"/>
        <w:rPr>
          <w:rFonts w:ascii="Arial" w:hAnsi="Arial" w:cs="Arial"/>
          <w:szCs w:val="22"/>
        </w:rPr>
      </w:pPr>
      <w:r>
        <w:rPr>
          <w:rFonts w:cs="Arial" w:ascii="Arial" w:hAnsi="Arial"/>
          <w:szCs w:val="22"/>
        </w:rPr>
        <w:t>Poskytovanie služieb osobného charakteru</w:t>
      </w:r>
    </w:p>
    <w:p>
      <w:pPr>
        <w:pStyle w:val="ListParagraph"/>
        <w:numPr>
          <w:ilvl w:val="0"/>
          <w:numId w:val="2"/>
        </w:numPr>
        <w:bidi w:val="0"/>
        <w:spacing w:before="0" w:after="0"/>
        <w:contextualSpacing/>
        <w:jc w:val="left"/>
        <w:rPr>
          <w:rFonts w:ascii="Arial" w:hAnsi="Arial" w:cs="Arial"/>
          <w:szCs w:val="22"/>
        </w:rPr>
      </w:pPr>
      <w:r>
        <w:rPr>
          <w:rFonts w:cs="Arial" w:ascii="Arial" w:hAnsi="Arial"/>
          <w:szCs w:val="22"/>
        </w:rPr>
        <w:t>Výroba hračiek, hier, bižutérie, suvenírov, sviečok, tieniacej techniky, hudobných nástrojov, metiel, kief a maliarskeho náradia</w:t>
      </w:r>
    </w:p>
    <w:p>
      <w:pPr>
        <w:pStyle w:val="ListParagraph"/>
        <w:numPr>
          <w:ilvl w:val="0"/>
          <w:numId w:val="2"/>
        </w:numPr>
        <w:bidi w:val="0"/>
        <w:spacing w:before="0" w:after="0"/>
        <w:contextualSpacing/>
        <w:jc w:val="left"/>
        <w:rPr>
          <w:rFonts w:ascii="Arial" w:hAnsi="Arial" w:cs="Arial"/>
          <w:szCs w:val="22"/>
        </w:rPr>
      </w:pPr>
      <w:r>
        <w:rPr>
          <w:rFonts w:cs="Arial" w:ascii="Arial" w:hAnsi="Arial"/>
          <w:szCs w:val="22"/>
        </w:rPr>
        <w:t>Prevádzkovanie kultúrnych, spoločenských, zábavných, športových zariadení a zariadení slúžiacich na regeneráciu a rekondíciu</w:t>
      </w:r>
    </w:p>
    <w:p>
      <w:pPr>
        <w:pStyle w:val="ListParagraph"/>
        <w:bidi w:val="0"/>
        <w:spacing w:before="0" w:after="0"/>
        <w:contextualSpacing/>
        <w:jc w:val="left"/>
        <w:rPr>
          <w:rFonts w:ascii="Arial" w:hAnsi="Arial" w:cs="Arial"/>
          <w:szCs w:val="22"/>
        </w:rPr>
      </w:pPr>
      <w:r>
        <w:rPr>
          <w:rFonts w:cs="Arial" w:ascii="Arial" w:hAnsi="Arial"/>
          <w:szCs w:val="22"/>
        </w:rPr>
      </w:r>
    </w:p>
    <w:p>
      <w:pPr>
        <w:pStyle w:val="ListParagraph"/>
        <w:bidi w:val="0"/>
        <w:spacing w:before="0" w:after="0"/>
        <w:contextualSpacing/>
        <w:jc w:val="left"/>
        <w:rPr>
          <w:rFonts w:ascii="Arial" w:hAnsi="Arial" w:cs="Arial"/>
          <w:b/>
          <w:szCs w:val="22"/>
        </w:rPr>
      </w:pPr>
      <w:r>
        <w:rPr>
          <w:rFonts w:cs="Arial" w:ascii="Arial" w:hAnsi="Arial"/>
          <w:b/>
          <w:szCs w:val="22"/>
        </w:rPr>
        <w:t>c/ Informácie o počte zamestnancov:</w:t>
      </w:r>
    </w:p>
    <w:p>
      <w:pPr>
        <w:pStyle w:val="ListParagraph"/>
        <w:bidi w:val="0"/>
        <w:spacing w:before="0" w:after="0"/>
        <w:contextualSpacing/>
        <w:jc w:val="left"/>
        <w:rPr>
          <w:szCs w:val="22"/>
        </w:rPr>
      </w:pPr>
      <w:r>
        <w:rPr>
          <w:szCs w:val="22"/>
        </w:rPr>
        <w:t xml:space="preserve">     </w:t>
      </w:r>
    </w:p>
    <w:p>
      <w:pPr>
        <w:pStyle w:val="Nzov"/>
        <w:numPr>
          <w:ilvl w:val="0"/>
          <w:numId w:val="3"/>
        </w:numPr>
        <w:bidi w:val="0"/>
        <w:spacing w:beforeAutospacing="0" w:before="0" w:after="0"/>
        <w:jc w:val="left"/>
        <w:rPr>
          <w:szCs w:val="22"/>
        </w:rPr>
      </w:pPr>
      <w:r>
        <w:rPr>
          <w:szCs w:val="22"/>
        </w:rPr>
        <w:t xml:space="preserve"> </w:t>
      </w:r>
      <w:r>
        <w:rPr>
          <w:szCs w:val="22"/>
        </w:rPr>
        <w:t>Informácie k prílohe č. 3 časti A. písm. c) o počte zamestnancov</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3859"/>
        <w:gridCol w:w="2767"/>
        <w:gridCol w:w="3012"/>
      </w:tblGrid>
      <w:tr>
        <w:trPr/>
        <w:tc>
          <w:tcPr>
            <w:tcW w:w="3859" w:type="dxa"/>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2767" w:type="dxa"/>
            <w:tcBorders>
              <w:top w:val="single" w:sz="12" w:space="0" w:color="000000"/>
              <w:left w:val="single" w:sz="12" w:space="0" w:color="000000"/>
              <w:right w:val="single" w:sz="12" w:space="0" w:color="000000"/>
            </w:tcBorders>
            <w:vAlign w:val="center"/>
          </w:tcPr>
          <w:p>
            <w:pPr>
              <w:pStyle w:val="TopHeader"/>
              <w:widowControl w:val="false"/>
              <w:bidi w:val="0"/>
              <w:rPr/>
            </w:pPr>
            <w:r>
              <w:rPr/>
              <w:t>Bežné účtovné obdobie</w:t>
            </w:r>
          </w:p>
        </w:tc>
        <w:tc>
          <w:tcPr>
            <w:tcW w:w="3012" w:type="dxa"/>
            <w:tcBorders>
              <w:top w:val="single" w:sz="12" w:space="0" w:color="000000"/>
              <w:left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340" w:hRule="atLeast"/>
        </w:trPr>
        <w:tc>
          <w:tcPr>
            <w:tcW w:w="3859"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Priemerný prepočítaný počet zamestnancov</w:t>
            </w:r>
          </w:p>
        </w:tc>
        <w:tc>
          <w:tcPr>
            <w:tcW w:w="2767" w:type="dxa"/>
            <w:tcBorders>
              <w:top w:val="single" w:sz="12" w:space="0" w:color="000000"/>
              <w:left w:val="single" w:sz="12" w:space="0" w:color="000000"/>
              <w:bottom w:val="single" w:sz="4" w:space="0" w:color="000000"/>
              <w:right w:val="single" w:sz="12" w:space="0" w:color="000000"/>
            </w:tcBorders>
          </w:tcPr>
          <w:p>
            <w:pPr>
              <w:pStyle w:val="Normal"/>
              <w:widowControl w:val="false"/>
              <w:bidi w:val="0"/>
              <w:spacing w:lineRule="auto" w:line="240" w:before="0" w:after="0"/>
              <w:jc w:val="center"/>
              <w:rPr>
                <w:szCs w:val="22"/>
              </w:rPr>
            </w:pPr>
            <w:r>
              <w:rPr>
                <w:szCs w:val="22"/>
              </w:rPr>
              <w:t>0</w:t>
            </w:r>
          </w:p>
        </w:tc>
        <w:tc>
          <w:tcPr>
            <w:tcW w:w="3012" w:type="dxa"/>
            <w:tcBorders>
              <w:top w:val="single" w:sz="12" w:space="0" w:color="000000"/>
              <w:left w:val="single" w:sz="12" w:space="0" w:color="000000"/>
              <w:bottom w:val="single" w:sz="4" w:space="0" w:color="000000"/>
              <w:right w:val="single" w:sz="12" w:space="0" w:color="000000"/>
            </w:tcBorders>
          </w:tcPr>
          <w:p>
            <w:pPr>
              <w:pStyle w:val="Normal"/>
              <w:widowControl w:val="false"/>
              <w:bidi w:val="0"/>
              <w:spacing w:lineRule="auto" w:line="240" w:before="0" w:after="0"/>
              <w:jc w:val="center"/>
              <w:rPr>
                <w:szCs w:val="22"/>
              </w:rPr>
            </w:pPr>
            <w:r>
              <w:rPr>
                <w:szCs w:val="22"/>
              </w:rPr>
              <w:t>0</w:t>
            </w:r>
          </w:p>
        </w:tc>
      </w:tr>
      <w:tr>
        <w:trPr>
          <w:trHeight w:val="285" w:hRule="atLeast"/>
        </w:trPr>
        <w:tc>
          <w:tcPr>
            <w:tcW w:w="385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Stav zamestnancov ku dňu, ku ktorému sa zostavuje účtovná závierka, z toho:</w:t>
            </w:r>
          </w:p>
        </w:tc>
        <w:tc>
          <w:tcPr>
            <w:tcW w:w="2767" w:type="dxa"/>
            <w:tcBorders>
              <w:top w:val="single" w:sz="4" w:space="0" w:color="000000"/>
              <w:left w:val="single" w:sz="12" w:space="0" w:color="000000"/>
              <w:bottom w:val="single" w:sz="4" w:space="0" w:color="000000"/>
              <w:right w:val="single" w:sz="12" w:space="0" w:color="000000"/>
            </w:tcBorders>
          </w:tcPr>
          <w:p>
            <w:pPr>
              <w:pStyle w:val="Normal"/>
              <w:widowControl w:val="false"/>
              <w:bidi w:val="0"/>
              <w:spacing w:lineRule="auto" w:line="240" w:before="0" w:after="0"/>
              <w:jc w:val="center"/>
              <w:rPr>
                <w:szCs w:val="22"/>
              </w:rPr>
            </w:pPr>
            <w:r>
              <w:rPr>
                <w:szCs w:val="22"/>
              </w:rPr>
              <w:t>0</w:t>
            </w:r>
          </w:p>
        </w:tc>
        <w:tc>
          <w:tcPr>
            <w:tcW w:w="3012" w:type="dxa"/>
            <w:tcBorders>
              <w:top w:val="single" w:sz="4" w:space="0" w:color="000000"/>
              <w:left w:val="single" w:sz="12" w:space="0" w:color="000000"/>
              <w:bottom w:val="single" w:sz="4" w:space="0" w:color="000000"/>
              <w:right w:val="single" w:sz="12" w:space="0" w:color="000000"/>
            </w:tcBorders>
          </w:tcPr>
          <w:p>
            <w:pPr>
              <w:pStyle w:val="Normal"/>
              <w:widowControl w:val="false"/>
              <w:bidi w:val="0"/>
              <w:spacing w:lineRule="auto" w:line="240" w:before="0" w:after="0"/>
              <w:jc w:val="center"/>
              <w:rPr>
                <w:szCs w:val="22"/>
              </w:rPr>
            </w:pPr>
            <w:r>
              <w:rPr>
                <w:szCs w:val="22"/>
              </w:rPr>
              <w:t>0</w:t>
            </w:r>
          </w:p>
        </w:tc>
      </w:tr>
      <w:tr>
        <w:trPr>
          <w:trHeight w:val="397" w:hRule="atLeast"/>
        </w:trPr>
        <w:tc>
          <w:tcPr>
            <w:tcW w:w="3859"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highlight w:val="green"/>
              </w:rPr>
            </w:pPr>
            <w:r>
              <w:rPr>
                <w:szCs w:val="22"/>
              </w:rPr>
              <w:t>počet vedúcich zamestnancov</w:t>
            </w:r>
          </w:p>
        </w:tc>
        <w:tc>
          <w:tcPr>
            <w:tcW w:w="2767" w:type="dxa"/>
            <w:tcBorders>
              <w:top w:val="single" w:sz="4" w:space="0" w:color="000000"/>
              <w:left w:val="single" w:sz="12" w:space="0" w:color="000000"/>
              <w:bottom w:val="single" w:sz="12" w:space="0" w:color="000000"/>
              <w:right w:val="single" w:sz="12" w:space="0" w:color="000000"/>
            </w:tcBorders>
          </w:tcPr>
          <w:p>
            <w:pPr>
              <w:pStyle w:val="Normal"/>
              <w:widowControl w:val="false"/>
              <w:bidi w:val="0"/>
              <w:jc w:val="center"/>
              <w:rPr>
                <w:highlight w:val="green"/>
              </w:rPr>
            </w:pPr>
            <w:r>
              <w:rPr>
                <w:highlight w:val="green"/>
              </w:rPr>
              <w:t>0</w:t>
            </w:r>
          </w:p>
        </w:tc>
        <w:tc>
          <w:tcPr>
            <w:tcW w:w="3012" w:type="dxa"/>
            <w:tcBorders>
              <w:top w:val="single" w:sz="4" w:space="0" w:color="000000"/>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0</w:t>
            </w:r>
          </w:p>
        </w:tc>
      </w:tr>
    </w:tbl>
    <w:p>
      <w:pPr>
        <w:pStyle w:val="Normal"/>
        <w:bidi w:val="0"/>
        <w:spacing w:before="0" w:after="0"/>
        <w:jc w:val="both"/>
        <w:rPr>
          <w:rFonts w:ascii="Arial" w:hAnsi="Arial" w:cs="Arial"/>
          <w:sz w:val="20"/>
          <w:szCs w:val="20"/>
        </w:rPr>
      </w:pPr>
      <w:r>
        <w:rPr>
          <w:rFonts w:cs="Arial" w:ascii="Arial" w:hAnsi="Arial"/>
          <w:sz w:val="20"/>
          <w:szCs w:val="20"/>
        </w:rPr>
      </w:r>
    </w:p>
    <w:p>
      <w:pPr>
        <w:pStyle w:val="Normal"/>
        <w:bidi w:val="0"/>
        <w:jc w:val="left"/>
        <w:rPr>
          <w:rFonts w:ascii="Arial" w:hAnsi="Arial" w:cs="Arial"/>
          <w:szCs w:val="22"/>
        </w:rPr>
      </w:pPr>
      <w:r>
        <w:rPr>
          <w:rFonts w:cs="Arial" w:ascii="Arial" w:hAnsi="Arial"/>
          <w:b/>
          <w:sz w:val="20"/>
          <w:szCs w:val="20"/>
        </w:rPr>
        <w:t xml:space="preserve"> </w:t>
      </w:r>
      <w:r>
        <w:rPr>
          <w:rFonts w:cs="Arial" w:ascii="Arial" w:hAnsi="Arial"/>
          <w:b/>
          <w:szCs w:val="22"/>
        </w:rPr>
        <w:t>d/ Údaje o neobmedzenom ručení</w:t>
      </w:r>
      <w:r>
        <w:rPr>
          <w:rFonts w:cs="Arial" w:ascii="Arial" w:hAnsi="Arial"/>
          <w:szCs w:val="22"/>
        </w:rPr>
        <w:t>.</w:t>
      </w:r>
    </w:p>
    <w:p>
      <w:pPr>
        <w:pStyle w:val="Normal"/>
        <w:bidi w:val="0"/>
        <w:jc w:val="left"/>
        <w:rPr>
          <w:rFonts w:ascii="Arial" w:hAnsi="Arial" w:cs="Arial"/>
          <w:szCs w:val="22"/>
        </w:rPr>
      </w:pPr>
      <w:r>
        <w:rPr>
          <w:rFonts w:cs="Arial" w:ascii="Arial" w:hAnsi="Arial"/>
          <w:szCs w:val="22"/>
        </w:rPr>
        <w:t>Spoločnosť nie je neobmedzene ručiace v iných spoločnostiach.</w:t>
      </w:r>
    </w:p>
    <w:p>
      <w:pPr>
        <w:pStyle w:val="Normal"/>
        <w:bidi w:val="0"/>
        <w:jc w:val="left"/>
        <w:rPr>
          <w:rFonts w:ascii="Arial" w:hAnsi="Arial" w:cs="Arial"/>
          <w:szCs w:val="22"/>
        </w:rPr>
      </w:pPr>
      <w:r>
        <w:rPr>
          <w:rFonts w:cs="Arial" w:ascii="Arial" w:hAnsi="Arial"/>
          <w:szCs w:val="22"/>
        </w:rPr>
        <w:t xml:space="preserve">                                                                                                                                   </w:t>
      </w:r>
    </w:p>
    <w:p>
      <w:pPr>
        <w:pStyle w:val="Normal"/>
        <w:bidi w:val="0"/>
        <w:jc w:val="left"/>
        <w:rPr>
          <w:rFonts w:ascii="Arial" w:hAnsi="Arial" w:cs="Arial"/>
          <w:b/>
          <w:szCs w:val="22"/>
        </w:rPr>
      </w:pPr>
      <w:r>
        <w:rPr>
          <w:rFonts w:cs="Arial" w:ascii="Arial" w:hAnsi="Arial"/>
          <w:b/>
          <w:szCs w:val="22"/>
        </w:rPr>
        <w:t xml:space="preserve">            </w:t>
      </w:r>
      <w:r>
        <w:rPr>
          <w:rFonts w:cs="Arial" w:ascii="Arial" w:hAnsi="Arial"/>
          <w:b/>
          <w:szCs w:val="22"/>
        </w:rPr>
        <w:t>e/ Právny dôvod na zostavenie účtovnej závierky</w:t>
      </w:r>
    </w:p>
    <w:p>
      <w:pPr>
        <w:pStyle w:val="Normal"/>
        <w:bidi w:val="0"/>
        <w:jc w:val="both"/>
        <w:rPr>
          <w:rFonts w:ascii="Arial" w:hAnsi="Arial" w:cs="Arial"/>
          <w:szCs w:val="22"/>
        </w:rPr>
      </w:pPr>
      <w:r>
        <w:rPr>
          <w:rFonts w:cs="Arial" w:ascii="Arial" w:hAnsi="Arial"/>
          <w:szCs w:val="22"/>
        </w:rPr>
        <w:t>Spoločnosť k 31. 12. 2025 zostavilo účtovnú závierku ako riadnu účtovnú závierku za obdobie od 11. 06. 2025  -  31. 12. 2025.</w:t>
      </w:r>
    </w:p>
    <w:p>
      <w:pPr>
        <w:pStyle w:val="Normal"/>
        <w:bidi w:val="0"/>
        <w:jc w:val="left"/>
        <w:rPr>
          <w:rFonts w:ascii="Arial" w:hAnsi="Arial" w:cs="Arial"/>
          <w:b/>
          <w:szCs w:val="22"/>
        </w:rPr>
      </w:pPr>
      <w:r>
        <w:rPr>
          <w:rFonts w:cs="Arial" w:ascii="Arial" w:hAnsi="Arial"/>
          <w:szCs w:val="22"/>
        </w:rPr>
        <w:t xml:space="preserve">             </w:t>
      </w:r>
      <w:r>
        <w:rPr>
          <w:rFonts w:cs="Arial" w:ascii="Arial" w:hAnsi="Arial"/>
          <w:b/>
          <w:szCs w:val="22"/>
        </w:rPr>
        <w:t>f/ Dátum schválenia účtovnej závierky za predchádzajúce účtovné obdobie</w:t>
      </w:r>
    </w:p>
    <w:p>
      <w:pPr>
        <w:pStyle w:val="Normal"/>
        <w:bidi w:val="0"/>
        <w:jc w:val="both"/>
        <w:rPr>
          <w:rFonts w:ascii="Arial" w:hAnsi="Arial" w:cs="Arial"/>
          <w:szCs w:val="22"/>
        </w:rPr>
      </w:pPr>
      <w:r>
        <w:rPr>
          <w:rFonts w:cs="Arial" w:ascii="Arial" w:hAnsi="Arial"/>
          <w:szCs w:val="22"/>
        </w:rPr>
        <w:t>Z dôvodu, že spoločnosť je novo vzniknutá v roku 2025 účtovnú závierku za predchádzajúci rok neschvaľovala.</w:t>
      </w:r>
    </w:p>
    <w:p>
      <w:pPr>
        <w:pStyle w:val="Normal"/>
        <w:bidi w:val="0"/>
        <w:jc w:val="both"/>
        <w:rPr>
          <w:rFonts w:ascii="Arial" w:hAnsi="Arial" w:cs="Arial"/>
          <w:szCs w:val="22"/>
        </w:rPr>
      </w:pPr>
      <w:r>
        <w:rPr>
          <w:rFonts w:cs="Arial" w:ascii="Arial" w:hAnsi="Arial"/>
          <w:szCs w:val="22"/>
        </w:rPr>
      </w:r>
    </w:p>
    <w:p>
      <w:pPr>
        <w:pStyle w:val="Normal"/>
        <w:bidi w:val="0"/>
        <w:jc w:val="both"/>
        <w:rPr>
          <w:rFonts w:ascii="Arial" w:hAnsi="Arial" w:cs="Arial"/>
          <w:b/>
          <w:sz w:val="28"/>
          <w:szCs w:val="28"/>
        </w:rPr>
      </w:pPr>
      <w:r>
        <w:rPr>
          <w:rFonts w:cs="Arial" w:ascii="Arial" w:hAnsi="Arial"/>
          <w:b/>
          <w:sz w:val="28"/>
          <w:szCs w:val="28"/>
        </w:rPr>
        <w:t>Informácie o orgánoch účtovnej jednotky:</w:t>
      </w:r>
    </w:p>
    <w:p>
      <w:pPr>
        <w:pStyle w:val="ListParagraph"/>
        <w:bidi w:val="0"/>
        <w:ind w:left="644" w:hanging="0"/>
        <w:jc w:val="left"/>
        <w:rPr>
          <w:rFonts w:ascii="Arial" w:hAnsi="Arial" w:cs="Arial"/>
          <w:b/>
          <w:sz w:val="28"/>
          <w:szCs w:val="28"/>
        </w:rPr>
      </w:pPr>
      <w:r>
        <w:rPr>
          <w:rFonts w:cs="Arial" w:ascii="Arial" w:hAnsi="Arial"/>
          <w:b/>
          <w:sz w:val="28"/>
          <w:szCs w:val="28"/>
        </w:rPr>
      </w:r>
    </w:p>
    <w:p>
      <w:pPr>
        <w:pStyle w:val="ListParagraph"/>
        <w:bidi w:val="0"/>
        <w:jc w:val="left"/>
        <w:rPr>
          <w:rFonts w:ascii="Arial" w:hAnsi="Arial" w:cs="Arial"/>
          <w:szCs w:val="22"/>
        </w:rPr>
      </w:pPr>
      <w:r>
        <w:rPr>
          <w:rFonts w:cs="Arial" w:ascii="Arial" w:hAnsi="Arial"/>
          <w:szCs w:val="22"/>
        </w:rPr>
        <w:t>Orgánmi spoločnosti je:</w:t>
      </w:r>
    </w:p>
    <w:p>
      <w:pPr>
        <w:pStyle w:val="ListParagraph"/>
        <w:bidi w:val="0"/>
        <w:jc w:val="left"/>
        <w:rPr>
          <w:rFonts w:ascii="Arial" w:hAnsi="Arial" w:cs="Arial"/>
          <w:szCs w:val="22"/>
        </w:rPr>
      </w:pPr>
      <w:r>
        <w:rPr>
          <w:rFonts w:cs="Arial" w:ascii="Arial" w:hAnsi="Arial"/>
          <w:szCs w:val="22"/>
        </w:rPr>
        <w:t>a/ valné zhromaždenie</w:t>
      </w:r>
    </w:p>
    <w:p>
      <w:pPr>
        <w:pStyle w:val="ListParagraph"/>
        <w:bidi w:val="0"/>
        <w:jc w:val="left"/>
        <w:rPr>
          <w:rFonts w:ascii="Arial" w:hAnsi="Arial" w:cs="Arial"/>
          <w:szCs w:val="22"/>
        </w:rPr>
      </w:pPr>
      <w:r>
        <w:rPr>
          <w:rFonts w:cs="Arial" w:ascii="Arial" w:hAnsi="Arial"/>
          <w:szCs w:val="22"/>
        </w:rPr>
      </w:r>
    </w:p>
    <w:p>
      <w:pPr>
        <w:pStyle w:val="ListParagraph"/>
        <w:bidi w:val="0"/>
        <w:jc w:val="both"/>
        <w:rPr>
          <w:rFonts w:ascii="Arial" w:hAnsi="Arial" w:cs="Arial"/>
          <w:szCs w:val="22"/>
        </w:rPr>
      </w:pPr>
      <w:r>
        <w:rPr>
          <w:rFonts w:cs="Arial" w:ascii="Arial" w:hAnsi="Arial"/>
          <w:szCs w:val="22"/>
        </w:rPr>
        <w:t>Konateľom spoločnosti bol pri zakladaní spoločnosti vymenovaný Marek Kuna, ktorý je zároveň jediným vlastníkom spoločnosti a má 100% výšku podielu na základnom imaní. Podiel na hlasovacích právach je tiež 100%.</w:t>
      </w:r>
    </w:p>
    <w:p>
      <w:pPr>
        <w:pStyle w:val="ListParagraph"/>
        <w:bidi w:val="0"/>
        <w:jc w:val="both"/>
        <w:rPr>
          <w:rFonts w:ascii="Arial" w:hAnsi="Arial" w:cs="Arial"/>
          <w:szCs w:val="22"/>
        </w:rPr>
      </w:pPr>
      <w:r>
        <w:rPr>
          <w:rFonts w:cs="Arial" w:ascii="Arial" w:hAnsi="Arial"/>
          <w:szCs w:val="22"/>
        </w:rPr>
      </w:r>
    </w:p>
    <w:p>
      <w:pPr>
        <w:pStyle w:val="ListParagraph"/>
        <w:bidi w:val="0"/>
        <w:jc w:val="left"/>
        <w:rPr>
          <w:rFonts w:ascii="Arial" w:hAnsi="Arial" w:cs="Arial"/>
          <w:sz w:val="20"/>
          <w:szCs w:val="20"/>
        </w:rPr>
      </w:pPr>
      <w:r>
        <w:rPr>
          <w:rFonts w:cs="Arial" w:ascii="Arial" w:hAnsi="Arial"/>
          <w:sz w:val="20"/>
          <w:szCs w:val="20"/>
        </w:rPr>
      </w:r>
    </w:p>
    <w:p>
      <w:pPr>
        <w:pStyle w:val="ListParagraph"/>
        <w:numPr>
          <w:ilvl w:val="0"/>
          <w:numId w:val="4"/>
        </w:numPr>
        <w:bidi w:val="0"/>
        <w:jc w:val="left"/>
        <w:rPr>
          <w:rFonts w:ascii="Arial" w:hAnsi="Arial" w:cs="Arial"/>
          <w:b/>
          <w:sz w:val="28"/>
          <w:szCs w:val="28"/>
        </w:rPr>
      </w:pPr>
      <w:r>
        <w:rPr>
          <w:rFonts w:cs="Arial" w:ascii="Arial" w:hAnsi="Arial"/>
          <w:b/>
          <w:sz w:val="28"/>
          <w:szCs w:val="28"/>
        </w:rPr>
        <w:t>Informácia o konsolidovanom celku.</w:t>
      </w:r>
    </w:p>
    <w:p>
      <w:pPr>
        <w:pStyle w:val="Normal"/>
        <w:bidi w:val="0"/>
        <w:ind w:left="360" w:hanging="0"/>
        <w:jc w:val="left"/>
        <w:rPr>
          <w:rFonts w:ascii="Arial" w:hAnsi="Arial" w:cs="Arial"/>
          <w:szCs w:val="22"/>
        </w:rPr>
      </w:pPr>
      <w:r>
        <w:rPr>
          <w:rFonts w:cs="Arial" w:ascii="Arial" w:hAnsi="Arial"/>
          <w:sz w:val="20"/>
          <w:szCs w:val="20"/>
        </w:rPr>
        <w:t xml:space="preserve">       </w:t>
      </w:r>
      <w:r>
        <w:rPr>
          <w:rFonts w:cs="Arial" w:ascii="Arial" w:hAnsi="Arial"/>
          <w:szCs w:val="22"/>
        </w:rPr>
        <w:t>Spoločnosť nie je súčasťou konsolidovaného celku.</w:t>
      </w:r>
    </w:p>
    <w:p>
      <w:pPr>
        <w:pStyle w:val="Normal"/>
        <w:bidi w:val="0"/>
        <w:ind w:left="360" w:hanging="0"/>
        <w:jc w:val="left"/>
        <w:rPr>
          <w:rFonts w:ascii="Arial" w:hAnsi="Arial" w:cs="Arial"/>
          <w:szCs w:val="22"/>
        </w:rPr>
      </w:pPr>
      <w:r>
        <w:rPr>
          <w:rFonts w:cs="Arial" w:ascii="Arial" w:hAnsi="Arial"/>
          <w:szCs w:val="22"/>
        </w:rPr>
      </w:r>
    </w:p>
    <w:p>
      <w:pPr>
        <w:pStyle w:val="ListParagraph"/>
        <w:numPr>
          <w:ilvl w:val="0"/>
          <w:numId w:val="4"/>
        </w:numPr>
        <w:bidi w:val="0"/>
        <w:jc w:val="left"/>
        <w:rPr>
          <w:rFonts w:ascii="Arial" w:hAnsi="Arial" w:cs="Arial"/>
          <w:b/>
          <w:sz w:val="28"/>
          <w:szCs w:val="28"/>
        </w:rPr>
      </w:pPr>
      <w:r>
        <w:rPr>
          <w:rFonts w:cs="Arial" w:ascii="Arial" w:hAnsi="Arial"/>
          <w:b/>
          <w:sz w:val="28"/>
          <w:szCs w:val="28"/>
        </w:rPr>
        <w:t>Ďalšie informácie</w:t>
      </w:r>
    </w:p>
    <w:p>
      <w:pPr>
        <w:pStyle w:val="ListParagraph"/>
        <w:bidi w:val="0"/>
        <w:ind w:left="502" w:hanging="0"/>
        <w:jc w:val="left"/>
        <w:rPr>
          <w:rFonts w:ascii="Arial" w:hAnsi="Arial" w:cs="Arial"/>
          <w:b/>
          <w:sz w:val="28"/>
          <w:szCs w:val="28"/>
        </w:rPr>
      </w:pPr>
      <w:r>
        <w:rPr>
          <w:rFonts w:cs="Arial" w:ascii="Arial" w:hAnsi="Arial"/>
          <w:b/>
          <w:sz w:val="28"/>
          <w:szCs w:val="28"/>
        </w:rPr>
      </w:r>
    </w:p>
    <w:p>
      <w:pPr>
        <w:pStyle w:val="ListParagraph"/>
        <w:bidi w:val="0"/>
        <w:ind w:left="644" w:hanging="0"/>
        <w:jc w:val="left"/>
        <w:rPr>
          <w:rFonts w:ascii="Arial" w:hAnsi="Arial" w:cs="Arial"/>
          <w:szCs w:val="22"/>
        </w:rPr>
      </w:pPr>
      <w:r>
        <w:rPr>
          <w:rFonts w:cs="Arial" w:ascii="Arial" w:hAnsi="Arial"/>
          <w:szCs w:val="22"/>
        </w:rPr>
        <w:t>a/ použité účtovné zásady a účtovné metódy</w:t>
      </w:r>
    </w:p>
    <w:p>
      <w:pPr>
        <w:pStyle w:val="ListParagraph"/>
        <w:bidi w:val="0"/>
        <w:ind w:left="644" w:hanging="0"/>
        <w:jc w:val="left"/>
        <w:rPr>
          <w:rFonts w:ascii="Arial" w:hAnsi="Arial" w:cs="Arial"/>
          <w:szCs w:val="22"/>
        </w:rPr>
      </w:pPr>
      <w:r>
        <w:rPr>
          <w:rFonts w:cs="Arial" w:ascii="Arial" w:hAnsi="Arial"/>
          <w:szCs w:val="22"/>
        </w:rPr>
        <w:t>b/ údaje vykázané na strane aktív súvahy</w:t>
      </w:r>
    </w:p>
    <w:p>
      <w:pPr>
        <w:pStyle w:val="ListParagraph"/>
        <w:bidi w:val="0"/>
        <w:ind w:left="644" w:hanging="0"/>
        <w:jc w:val="left"/>
        <w:rPr>
          <w:rFonts w:ascii="Arial" w:hAnsi="Arial" w:cs="Arial"/>
          <w:szCs w:val="22"/>
        </w:rPr>
      </w:pPr>
      <w:r>
        <w:rPr>
          <w:rFonts w:cs="Arial" w:ascii="Arial" w:hAnsi="Arial"/>
          <w:szCs w:val="22"/>
        </w:rPr>
        <w:t>c/ údaje vykázané na strane pasív súvahy</w:t>
      </w:r>
    </w:p>
    <w:p>
      <w:pPr>
        <w:pStyle w:val="ListParagraph"/>
        <w:bidi w:val="0"/>
        <w:ind w:left="644" w:hanging="0"/>
        <w:jc w:val="left"/>
        <w:rPr>
          <w:rFonts w:ascii="Arial" w:hAnsi="Arial" w:cs="Arial"/>
          <w:szCs w:val="22"/>
        </w:rPr>
      </w:pPr>
      <w:r>
        <w:rPr>
          <w:rFonts w:cs="Arial" w:ascii="Arial" w:hAnsi="Arial"/>
          <w:szCs w:val="22"/>
        </w:rPr>
        <w:t>d/ výnosy</w:t>
      </w:r>
    </w:p>
    <w:p>
      <w:pPr>
        <w:pStyle w:val="ListParagraph"/>
        <w:bidi w:val="0"/>
        <w:ind w:left="644" w:hanging="0"/>
        <w:jc w:val="left"/>
        <w:rPr>
          <w:rFonts w:ascii="Arial" w:hAnsi="Arial" w:cs="Arial"/>
          <w:szCs w:val="22"/>
        </w:rPr>
      </w:pPr>
      <w:r>
        <w:rPr>
          <w:rFonts w:cs="Arial" w:ascii="Arial" w:hAnsi="Arial"/>
          <w:szCs w:val="22"/>
        </w:rPr>
        <w:t>e/ náklady</w:t>
      </w:r>
    </w:p>
    <w:p>
      <w:pPr>
        <w:pStyle w:val="ListParagraph"/>
        <w:bidi w:val="0"/>
        <w:ind w:left="644" w:hanging="0"/>
        <w:jc w:val="left"/>
        <w:rPr>
          <w:rFonts w:ascii="Arial" w:hAnsi="Arial" w:cs="Arial"/>
          <w:szCs w:val="22"/>
        </w:rPr>
      </w:pPr>
      <w:r>
        <w:rPr>
          <w:rFonts w:cs="Arial" w:ascii="Arial" w:hAnsi="Arial"/>
          <w:szCs w:val="22"/>
        </w:rPr>
        <w:t>f/ daň z príjmov</w:t>
      </w:r>
    </w:p>
    <w:p>
      <w:pPr>
        <w:pStyle w:val="ListParagraph"/>
        <w:bidi w:val="0"/>
        <w:ind w:left="644" w:hanging="0"/>
        <w:jc w:val="left"/>
        <w:rPr>
          <w:rFonts w:ascii="Arial" w:hAnsi="Arial" w:cs="Arial"/>
          <w:szCs w:val="22"/>
        </w:rPr>
      </w:pPr>
      <w:r>
        <w:rPr>
          <w:rFonts w:cs="Arial" w:ascii="Arial" w:hAnsi="Arial"/>
          <w:szCs w:val="22"/>
        </w:rPr>
        <w:t>g/údaje na podsúvahových účtoch</w:t>
      </w:r>
    </w:p>
    <w:p>
      <w:pPr>
        <w:pStyle w:val="ListParagraph"/>
        <w:bidi w:val="0"/>
        <w:ind w:left="644" w:hanging="0"/>
        <w:jc w:val="left"/>
        <w:rPr>
          <w:rFonts w:ascii="Arial" w:hAnsi="Arial" w:cs="Arial"/>
          <w:szCs w:val="22"/>
        </w:rPr>
      </w:pPr>
      <w:r>
        <w:rPr>
          <w:rFonts w:cs="Arial" w:ascii="Arial" w:hAnsi="Arial"/>
          <w:szCs w:val="22"/>
        </w:rPr>
        <w:t>h/ iné aktíva a iné pasíva</w:t>
      </w:r>
    </w:p>
    <w:p>
      <w:pPr>
        <w:pStyle w:val="ListParagraph"/>
        <w:bidi w:val="0"/>
        <w:ind w:left="644" w:hanging="0"/>
        <w:jc w:val="left"/>
        <w:rPr>
          <w:rFonts w:ascii="Arial" w:hAnsi="Arial" w:cs="Arial"/>
          <w:szCs w:val="22"/>
        </w:rPr>
      </w:pPr>
      <w:r>
        <w:rPr>
          <w:rFonts w:cs="Arial" w:ascii="Arial" w:hAnsi="Arial"/>
          <w:szCs w:val="22"/>
        </w:rPr>
        <w:t>i/ spriaznené osoby</w:t>
      </w:r>
    </w:p>
    <w:p>
      <w:pPr>
        <w:pStyle w:val="ListParagraph"/>
        <w:bidi w:val="0"/>
        <w:ind w:left="644" w:hanging="0"/>
        <w:jc w:val="left"/>
        <w:rPr>
          <w:rFonts w:ascii="Arial" w:hAnsi="Arial" w:cs="Arial"/>
          <w:szCs w:val="22"/>
        </w:rPr>
      </w:pPr>
      <w:r>
        <w:rPr>
          <w:rFonts w:cs="Arial" w:ascii="Arial" w:hAnsi="Arial"/>
          <w:szCs w:val="22"/>
        </w:rPr>
        <w:t>j/ skutočnosti, ktoré nastali medzi dňom, ku ktorému sa zostavuje účtovná závierka a dňom jej zostavenia</w:t>
      </w:r>
    </w:p>
    <w:p>
      <w:pPr>
        <w:pStyle w:val="ListParagraph"/>
        <w:bidi w:val="0"/>
        <w:ind w:left="644" w:hanging="0"/>
        <w:jc w:val="left"/>
        <w:rPr>
          <w:rFonts w:ascii="Arial" w:hAnsi="Arial" w:cs="Arial"/>
          <w:szCs w:val="22"/>
        </w:rPr>
      </w:pPr>
      <w:r>
        <w:rPr>
          <w:rFonts w:cs="Arial" w:ascii="Arial" w:hAnsi="Arial"/>
          <w:szCs w:val="22"/>
        </w:rPr>
        <w:t>k/ prehľad zmien vlastného imania</w:t>
      </w:r>
    </w:p>
    <w:p>
      <w:pPr>
        <w:pStyle w:val="ListParagraph"/>
        <w:bidi w:val="0"/>
        <w:ind w:left="644" w:hanging="0"/>
        <w:jc w:val="left"/>
        <w:rPr>
          <w:rFonts w:ascii="Arial" w:hAnsi="Arial" w:cs="Arial"/>
          <w:szCs w:val="22"/>
        </w:rPr>
      </w:pPr>
      <w:r>
        <w:rPr/>
      </w:r>
    </w:p>
    <w:p>
      <w:pPr>
        <w:pStyle w:val="ListParagraph"/>
        <w:bidi w:val="0"/>
        <w:ind w:left="644" w:hanging="0"/>
        <w:jc w:val="left"/>
        <w:rPr>
          <w:rFonts w:ascii="Arial" w:hAnsi="Arial" w:cs="Arial"/>
          <w:szCs w:val="22"/>
        </w:rPr>
      </w:pPr>
      <w:r>
        <w:rPr/>
      </w:r>
    </w:p>
    <w:p>
      <w:pPr>
        <w:pStyle w:val="ListParagraph"/>
        <w:bidi w:val="0"/>
        <w:ind w:left="644" w:hanging="0"/>
        <w:jc w:val="left"/>
        <w:rPr>
          <w:rFonts w:ascii="Arial" w:hAnsi="Arial" w:cs="Arial"/>
          <w:b/>
          <w:sz w:val="20"/>
          <w:szCs w:val="20"/>
        </w:rPr>
      </w:pPr>
      <w:r>
        <w:rPr>
          <w:rFonts w:cs="Arial" w:ascii="Arial" w:hAnsi="Arial"/>
          <w:b/>
          <w:sz w:val="20"/>
          <w:szCs w:val="20"/>
        </w:rPr>
      </w:r>
    </w:p>
    <w:p>
      <w:pPr>
        <w:pStyle w:val="ListParagraph"/>
        <w:bidi w:val="0"/>
        <w:ind w:left="644" w:hanging="0"/>
        <w:jc w:val="left"/>
        <w:rPr>
          <w:rFonts w:ascii="Arial" w:hAnsi="Arial" w:cs="Arial"/>
          <w:b/>
          <w:sz w:val="20"/>
          <w:szCs w:val="20"/>
        </w:rPr>
      </w:pPr>
      <w:r>
        <w:rPr>
          <w:rFonts w:cs="Arial" w:ascii="Arial" w:hAnsi="Arial"/>
          <w:b/>
          <w:sz w:val="20"/>
          <w:szCs w:val="20"/>
        </w:rPr>
      </w:r>
    </w:p>
    <w:p>
      <w:pPr>
        <w:pStyle w:val="ListParagraph"/>
        <w:numPr>
          <w:ilvl w:val="0"/>
          <w:numId w:val="4"/>
        </w:numPr>
        <w:bidi w:val="0"/>
        <w:jc w:val="left"/>
        <w:rPr>
          <w:rFonts w:ascii="Arial" w:hAnsi="Arial" w:cs="Arial"/>
          <w:b/>
          <w:sz w:val="28"/>
          <w:szCs w:val="28"/>
        </w:rPr>
      </w:pPr>
      <w:r>
        <w:rPr>
          <w:rFonts w:cs="Arial" w:ascii="Arial" w:hAnsi="Arial"/>
          <w:b/>
          <w:sz w:val="28"/>
          <w:szCs w:val="28"/>
        </w:rPr>
        <w:t>Údaje o použitých účtovných zásadách a účtovných metódach</w:t>
      </w:r>
    </w:p>
    <w:p>
      <w:pPr>
        <w:pStyle w:val="ListParagraph"/>
        <w:bidi w:val="0"/>
        <w:jc w:val="left"/>
        <w:rPr>
          <w:rFonts w:ascii="Arial" w:hAnsi="Arial" w:cs="Arial"/>
          <w:b/>
          <w:sz w:val="16"/>
          <w:szCs w:val="16"/>
        </w:rPr>
      </w:pPr>
      <w:r>
        <w:rPr>
          <w:rFonts w:cs="Arial" w:ascii="Arial" w:hAnsi="Arial"/>
          <w:b/>
          <w:sz w:val="16"/>
          <w:szCs w:val="16"/>
        </w:rPr>
      </w:r>
    </w:p>
    <w:p>
      <w:pPr>
        <w:pStyle w:val="ListParagraph"/>
        <w:bidi w:val="0"/>
        <w:jc w:val="both"/>
        <w:rPr>
          <w:rFonts w:ascii="Arial" w:hAnsi="Arial" w:cs="Arial"/>
          <w:szCs w:val="22"/>
        </w:rPr>
      </w:pPr>
      <w:r>
        <w:rPr>
          <w:rFonts w:cs="Arial" w:ascii="Arial" w:hAnsi="Arial"/>
          <w:b/>
          <w:szCs w:val="22"/>
        </w:rPr>
        <w:t>a/ Použité účtovné zásady a účtovné metódy</w:t>
      </w:r>
      <w:r>
        <w:rPr>
          <w:rFonts w:cs="Arial" w:ascii="Arial" w:hAnsi="Arial"/>
          <w:szCs w:val="22"/>
        </w:rPr>
        <w:t>:</w:t>
      </w:r>
    </w:p>
    <w:p>
      <w:pPr>
        <w:pStyle w:val="ListParagraph"/>
        <w:bidi w:val="0"/>
        <w:jc w:val="both"/>
        <w:rPr>
          <w:rFonts w:ascii="Arial" w:hAnsi="Arial" w:cs="Arial"/>
          <w:szCs w:val="22"/>
        </w:rPr>
      </w:pPr>
      <w:r>
        <w:rPr>
          <w:rFonts w:cs="Arial" w:ascii="Arial" w:hAnsi="Arial"/>
          <w:szCs w:val="22"/>
        </w:rPr>
        <w:t>Účtovná závierka bola zostavená za predpokladu, že spoločnosť bude nepretržite pokračovať vo svojej činnosti. Účtovné metódy a všeobecné účtovné zásady boli účtovnou jednotkou konzistentne aplikované.</w:t>
      </w:r>
    </w:p>
    <w:p>
      <w:pPr>
        <w:pStyle w:val="ListParagraph"/>
        <w:bidi w:val="0"/>
        <w:jc w:val="both"/>
        <w:rPr>
          <w:rFonts w:ascii="Arial" w:hAnsi="Arial" w:cs="Arial"/>
          <w:szCs w:val="22"/>
        </w:rPr>
      </w:pPr>
      <w:r>
        <w:rPr>
          <w:rFonts w:cs="Arial" w:ascii="Arial" w:hAnsi="Arial"/>
          <w:szCs w:val="22"/>
        </w:rPr>
        <w:t>V účtovnom období 2025 spoločnosť nevykonalo žiadne opravy významných chýb minulých účtovných období.</w:t>
      </w:r>
    </w:p>
    <w:p>
      <w:pPr>
        <w:pStyle w:val="ListParagraph"/>
        <w:bidi w:val="0"/>
        <w:jc w:val="both"/>
        <w:rPr>
          <w:rFonts w:ascii="Arial" w:hAnsi="Arial" w:cs="Arial"/>
          <w:szCs w:val="22"/>
        </w:rPr>
      </w:pPr>
      <w:r>
        <w:rPr>
          <w:rFonts w:cs="Arial" w:ascii="Arial" w:hAnsi="Arial"/>
          <w:szCs w:val="22"/>
        </w:rPr>
      </w:r>
    </w:p>
    <w:p>
      <w:pPr>
        <w:pStyle w:val="ListParagraph"/>
        <w:bidi w:val="0"/>
        <w:jc w:val="both"/>
        <w:rPr>
          <w:rFonts w:ascii="Arial" w:hAnsi="Arial" w:cs="Arial"/>
          <w:szCs w:val="22"/>
        </w:rPr>
      </w:pPr>
      <w:r>
        <w:rPr>
          <w:rFonts w:cs="Arial" w:ascii="Arial" w:hAnsi="Arial"/>
          <w:b/>
          <w:szCs w:val="22"/>
        </w:rPr>
        <w:t>b/ zmeny účtovných zásad a zmeny účtovných metód, s uvedením dôvodu ich uplatnenia a ich vplyvu na hodnotu majetku, záväzkov, vlastného imania a výsledku hospodárenia účtovnej jednotky</w:t>
      </w:r>
      <w:r>
        <w:rPr>
          <w:rFonts w:cs="Arial" w:ascii="Arial" w:hAnsi="Arial"/>
          <w:szCs w:val="22"/>
        </w:rPr>
        <w:t>.</w:t>
      </w:r>
    </w:p>
    <w:p>
      <w:pPr>
        <w:pStyle w:val="ListParagraph"/>
        <w:bidi w:val="0"/>
        <w:jc w:val="both"/>
        <w:rPr>
          <w:rFonts w:ascii="Arial" w:hAnsi="Arial" w:cs="Arial"/>
          <w:szCs w:val="22"/>
        </w:rPr>
      </w:pPr>
      <w:r>
        <w:rPr>
          <w:rFonts w:cs="Arial" w:ascii="Arial" w:hAnsi="Arial"/>
          <w:szCs w:val="22"/>
        </w:rPr>
        <w:t>Spoločnosť nezmenila účtovné zásady a metódy účtovného obdobia</w:t>
      </w:r>
    </w:p>
    <w:p>
      <w:pPr>
        <w:pStyle w:val="ListParagraph"/>
        <w:bidi w:val="0"/>
        <w:jc w:val="both"/>
        <w:rPr>
          <w:rFonts w:ascii="Arial" w:hAnsi="Arial" w:cs="Arial"/>
          <w:szCs w:val="22"/>
        </w:rPr>
      </w:pPr>
      <w:r>
        <w:rPr>
          <w:rFonts w:cs="Arial" w:ascii="Arial" w:hAnsi="Arial"/>
          <w:szCs w:val="22"/>
        </w:rPr>
      </w:r>
    </w:p>
    <w:p>
      <w:pPr>
        <w:pStyle w:val="ListParagraph"/>
        <w:bidi w:val="0"/>
        <w:jc w:val="both"/>
        <w:rPr>
          <w:rFonts w:ascii="Arial" w:hAnsi="Arial" w:cs="Arial"/>
          <w:b/>
          <w:szCs w:val="22"/>
        </w:rPr>
      </w:pPr>
      <w:r>
        <w:rPr>
          <w:rFonts w:cs="Arial" w:ascii="Arial" w:hAnsi="Arial"/>
          <w:b/>
          <w:szCs w:val="22"/>
        </w:rPr>
        <w:t>c/ Spôsob oceňovania jednotlivých zložiek majetku a záväzkov v členení na:</w:t>
      </w:r>
    </w:p>
    <w:p>
      <w:pPr>
        <w:pStyle w:val="ListParagraph"/>
        <w:bidi w:val="0"/>
        <w:jc w:val="both"/>
        <w:rPr>
          <w:rFonts w:ascii="Arial" w:hAnsi="Arial" w:cs="Arial"/>
          <w:b/>
          <w:szCs w:val="22"/>
        </w:rPr>
      </w:pPr>
      <w:r>
        <w:rPr>
          <w:rFonts w:cs="Arial" w:ascii="Arial" w:hAnsi="Arial"/>
          <w:b/>
          <w:szCs w:val="22"/>
        </w:rPr>
      </w:r>
    </w:p>
    <w:p>
      <w:pPr>
        <w:pStyle w:val="ListParagraph"/>
        <w:bidi w:val="0"/>
        <w:jc w:val="both"/>
        <w:rPr>
          <w:rFonts w:ascii="Arial" w:hAnsi="Arial" w:cs="Arial"/>
          <w:szCs w:val="22"/>
        </w:rPr>
      </w:pPr>
      <w:r>
        <w:rPr>
          <w:rFonts w:cs="Arial" w:ascii="Arial" w:hAnsi="Arial"/>
          <w:b/>
          <w:szCs w:val="22"/>
        </w:rPr>
        <w:t>1. Dlhodobý nehmotný majetok a dlhodobý hmotný majetok (obstarávacia cena)</w:t>
      </w:r>
    </w:p>
    <w:p>
      <w:pPr>
        <w:pStyle w:val="ListParagraph"/>
        <w:bidi w:val="0"/>
        <w:jc w:val="both"/>
        <w:rPr>
          <w:rFonts w:ascii="Arial" w:hAnsi="Arial" w:cs="Arial"/>
          <w:szCs w:val="22"/>
        </w:rPr>
      </w:pPr>
      <w:r>
        <w:rPr>
          <w:rFonts w:cs="Arial" w:ascii="Arial" w:hAnsi="Arial"/>
          <w:szCs w:val="22"/>
        </w:rPr>
        <w:t>Dlhodobý majetok nakupovaný sa oceňuje obstarávacou cenou, ktorá zahŕňa cenu obstarania a náklady súvisiace s obstaraním (prepravu, montáž, poistné ...).</w:t>
      </w:r>
    </w:p>
    <w:p>
      <w:pPr>
        <w:pStyle w:val="ListParagraph"/>
        <w:bidi w:val="0"/>
        <w:jc w:val="both"/>
        <w:rPr>
          <w:rFonts w:ascii="Arial" w:hAnsi="Arial" w:cs="Arial"/>
          <w:szCs w:val="22"/>
        </w:rPr>
      </w:pPr>
      <w:r>
        <w:rPr>
          <w:rFonts w:cs="Arial" w:ascii="Arial" w:hAnsi="Arial"/>
          <w:szCs w:val="22"/>
        </w:rPr>
        <w:t>Súčasťou obstarávacej ceny dlhodobého hmotného majetku nie sú úroky z cudzích zdrojov ani realizované kurzové rozdiely, ktoré vznikli do momentu uvedenia dlhodobého majetku do používania.</w:t>
      </w:r>
    </w:p>
    <w:p>
      <w:pPr>
        <w:pStyle w:val="ListParagraph"/>
        <w:bidi w:val="0"/>
        <w:jc w:val="both"/>
        <w:rPr>
          <w:rFonts w:ascii="Arial" w:hAnsi="Arial" w:cs="Arial"/>
          <w:szCs w:val="22"/>
        </w:rPr>
      </w:pPr>
      <w:r>
        <w:rPr>
          <w:rFonts w:cs="Arial" w:ascii="Arial" w:hAnsi="Arial"/>
          <w:szCs w:val="22"/>
        </w:rPr>
        <w:t>Súčasťou obstarávacej ceny dlhodobého nehmotného majetku nie sú úroky z cudzích zdrojov, ktoré vznikli do momentu zaradenia dlhodobého nehmotného majetku do používania.</w:t>
      </w:r>
    </w:p>
    <w:p>
      <w:pPr>
        <w:pStyle w:val="ListParagraph"/>
        <w:bidi w:val="0"/>
        <w:jc w:val="both"/>
        <w:rPr>
          <w:rFonts w:ascii="Arial" w:hAnsi="Arial" w:cs="Arial"/>
          <w:szCs w:val="22"/>
        </w:rPr>
      </w:pPr>
      <w:r>
        <w:rPr>
          <w:rFonts w:cs="Arial" w:ascii="Arial" w:hAnsi="Arial"/>
          <w:szCs w:val="22"/>
        </w:rPr>
      </w:r>
    </w:p>
    <w:p>
      <w:pPr>
        <w:pStyle w:val="ListParagraph"/>
        <w:bidi w:val="0"/>
        <w:jc w:val="both"/>
        <w:rPr>
          <w:rFonts w:ascii="Arial" w:hAnsi="Arial" w:cs="Arial"/>
          <w:b/>
          <w:bCs/>
          <w:szCs w:val="22"/>
        </w:rPr>
      </w:pPr>
      <w:r>
        <w:rPr>
          <w:rFonts w:cs="Arial" w:ascii="Arial" w:hAnsi="Arial"/>
          <w:b/>
          <w:szCs w:val="22"/>
        </w:rPr>
        <w:t>2. Dlhodobý nehmotný majetok a dlhodobý hmotný majetok</w:t>
      </w:r>
      <w:r>
        <w:rPr>
          <w:rFonts w:cs="Arial" w:ascii="Arial" w:hAnsi="Arial"/>
          <w:szCs w:val="22"/>
        </w:rPr>
        <w:t xml:space="preserve"> </w:t>
      </w:r>
      <w:r>
        <w:rPr>
          <w:rFonts w:cs="Arial" w:ascii="Arial" w:hAnsi="Arial"/>
          <w:b/>
          <w:bCs/>
          <w:szCs w:val="22"/>
        </w:rPr>
        <w:t xml:space="preserve">(vlastné náklady) </w:t>
      </w:r>
      <w:r>
        <w:rPr>
          <w:rFonts w:cs="Arial" w:ascii="Arial" w:hAnsi="Arial"/>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pPr>
        <w:pStyle w:val="ListParagraph"/>
        <w:bidi w:val="0"/>
        <w:jc w:val="both"/>
        <w:rPr>
          <w:rFonts w:ascii="Arial" w:hAnsi="Arial" w:cs="Arial"/>
          <w:szCs w:val="22"/>
        </w:rPr>
      </w:pPr>
      <w:r>
        <w:rPr>
          <w:rFonts w:cs="Arial" w:ascii="Arial" w:hAnsi="Arial"/>
          <w:szCs w:val="22"/>
        </w:rPr>
      </w:r>
    </w:p>
    <w:p>
      <w:pPr>
        <w:pStyle w:val="ListParagraph"/>
        <w:bidi w:val="0"/>
        <w:jc w:val="both"/>
        <w:rPr>
          <w:rFonts w:ascii="Arial" w:hAnsi="Arial" w:cs="Arial"/>
          <w:b/>
          <w:bCs/>
          <w:szCs w:val="22"/>
        </w:rPr>
      </w:pPr>
      <w:r>
        <w:rPr>
          <w:rFonts w:cs="Arial" w:ascii="Arial" w:hAnsi="Arial"/>
          <w:b/>
          <w:szCs w:val="22"/>
        </w:rPr>
        <w:t>3. Dlhodobý nehmotný majetok a dlhodobý hmotný majetok</w:t>
      </w:r>
      <w:r>
        <w:rPr>
          <w:rFonts w:cs="Arial" w:ascii="Arial" w:hAnsi="Arial"/>
          <w:szCs w:val="22"/>
        </w:rPr>
        <w:t xml:space="preserve"> </w:t>
      </w:r>
      <w:r>
        <w:rPr>
          <w:rFonts w:cs="Arial" w:ascii="Arial" w:hAnsi="Arial"/>
          <w:b/>
          <w:bCs/>
          <w:szCs w:val="22"/>
        </w:rPr>
        <w:t>(reprodukčná cena)</w:t>
      </w:r>
    </w:p>
    <w:p>
      <w:pPr>
        <w:pStyle w:val="ListParagraph"/>
        <w:bidi w:val="0"/>
        <w:jc w:val="both"/>
        <w:rPr>
          <w:rFonts w:ascii="Arial" w:hAnsi="Arial" w:cs="Arial"/>
          <w:b/>
          <w:szCs w:val="22"/>
        </w:rPr>
      </w:pPr>
      <w:r>
        <w:rPr>
          <w:rFonts w:cs="Arial" w:ascii="Arial" w:hAnsi="Arial"/>
          <w:b/>
          <w:szCs w:val="22"/>
        </w:rPr>
      </w:r>
    </w:p>
    <w:p>
      <w:pPr>
        <w:pStyle w:val="ListParagraph"/>
        <w:bidi w:val="0"/>
        <w:jc w:val="both"/>
        <w:rPr>
          <w:rFonts w:ascii="Arial" w:hAnsi="Arial" w:cs="Arial"/>
          <w:b/>
          <w:szCs w:val="22"/>
        </w:rPr>
      </w:pPr>
      <w:r>
        <w:rPr>
          <w:rFonts w:cs="Arial" w:ascii="Arial" w:hAnsi="Arial"/>
          <w:b/>
          <w:szCs w:val="22"/>
        </w:rPr>
        <w:t>4. Pohľadávky, záväzky, pôžičky a úvery, rezervy</w:t>
      </w:r>
    </w:p>
    <w:p>
      <w:pPr>
        <w:pStyle w:val="ListParagraph"/>
        <w:bidi w:val="0"/>
        <w:jc w:val="both"/>
        <w:rPr>
          <w:rFonts w:ascii="Arial" w:hAnsi="Arial" w:cs="Arial"/>
          <w:szCs w:val="22"/>
        </w:rPr>
      </w:pPr>
      <w:r>
        <w:rPr>
          <w:rFonts w:cs="Arial" w:ascii="Arial" w:hAnsi="Arial"/>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pPr>
        <w:pStyle w:val="ListParagraph"/>
        <w:bidi w:val="0"/>
        <w:jc w:val="both"/>
        <w:rPr>
          <w:rFonts w:ascii="Arial" w:hAnsi="Arial" w:cs="Arial"/>
          <w:szCs w:val="22"/>
        </w:rPr>
      </w:pPr>
      <w:r>
        <w:rPr>
          <w:rFonts w:cs="Arial" w:ascii="Arial" w:hAnsi="Arial"/>
          <w:szCs w:val="22"/>
        </w:rPr>
        <w:t>Záväzky pri ich vzniku sa oceňujú menovitou hodnotou. Záväzky pri ich prevzatí sa oceňujú obstarávacou cenou. Ak sa pri inventarizácii zistí, že suma záväzkov je iná ako ich výška v účtovníctve, uvedú sa v účtovníctve a v účtovnej závierke v tomto zistenom ocenení.</w:t>
      </w:r>
    </w:p>
    <w:p>
      <w:pPr>
        <w:pStyle w:val="ListParagraph"/>
        <w:bidi w:val="0"/>
        <w:jc w:val="both"/>
        <w:rPr>
          <w:rFonts w:ascii="Arial" w:hAnsi="Arial" w:cs="Arial"/>
          <w:szCs w:val="22"/>
        </w:rPr>
      </w:pPr>
      <w:r>
        <w:rPr>
          <w:rFonts w:cs="Arial" w:ascii="Arial" w:hAnsi="Arial"/>
          <w:szCs w:val="22"/>
        </w:rPr>
        <w:t xml:space="preserve">Rezervy sú záväzky s neurčitým časovým vymedzením alebo výškou, tvoria sa na krytie známych rizík alebo strát z podnikania. Oceňujú sa v očakávanej výške záväzku. </w:t>
      </w:r>
    </w:p>
    <w:p>
      <w:pPr>
        <w:pStyle w:val="ListParagraph"/>
        <w:bidi w:val="0"/>
        <w:jc w:val="both"/>
        <w:rPr>
          <w:rFonts w:ascii="Arial" w:hAnsi="Arial" w:cs="Arial"/>
          <w:szCs w:val="22"/>
        </w:rPr>
      </w:pPr>
      <w:r>
        <w:rPr>
          <w:rFonts w:cs="Arial" w:ascii="Arial" w:hAnsi="Arial"/>
          <w:szCs w:val="22"/>
        </w:rPr>
      </w:r>
    </w:p>
    <w:p>
      <w:pPr>
        <w:pStyle w:val="ListParagraph"/>
        <w:bidi w:val="0"/>
        <w:jc w:val="both"/>
        <w:rPr>
          <w:rFonts w:ascii="Arial" w:hAnsi="Arial" w:cs="Arial"/>
          <w:b/>
          <w:szCs w:val="22"/>
        </w:rPr>
      </w:pPr>
      <w:r>
        <w:rPr>
          <w:rFonts w:cs="Arial" w:ascii="Arial" w:hAnsi="Arial"/>
          <w:b/>
          <w:szCs w:val="22"/>
        </w:rPr>
        <w:t>5. Krátkodobý finančný majetok: Peňažné prostriedky a ceniny</w:t>
      </w:r>
    </w:p>
    <w:p>
      <w:pPr>
        <w:pStyle w:val="ListParagraph"/>
        <w:bidi w:val="0"/>
        <w:jc w:val="both"/>
        <w:rPr>
          <w:rFonts w:ascii="Arial" w:hAnsi="Arial" w:cs="Arial"/>
          <w:szCs w:val="22"/>
        </w:rPr>
      </w:pPr>
      <w:r>
        <w:rPr>
          <w:rFonts w:cs="Arial" w:ascii="Arial" w:hAnsi="Arial"/>
          <w:szCs w:val="22"/>
        </w:rPr>
        <w:t>Peňažné prostriedky a ceniny sa oceňujú ich menovitou hodnotou. Zníženie ich hodnoty sa vyjadruje opravnou položkou.</w:t>
      </w:r>
    </w:p>
    <w:p>
      <w:pPr>
        <w:pStyle w:val="ListParagraph"/>
        <w:bidi w:val="0"/>
        <w:jc w:val="both"/>
        <w:rPr>
          <w:rFonts w:ascii="Arial" w:hAnsi="Arial" w:cs="Arial"/>
          <w:b/>
          <w:szCs w:val="22"/>
        </w:rPr>
      </w:pPr>
      <w:r>
        <w:rPr>
          <w:rFonts w:cs="Arial" w:ascii="Arial" w:hAnsi="Arial"/>
          <w:b/>
          <w:szCs w:val="22"/>
        </w:rPr>
      </w:r>
    </w:p>
    <w:p>
      <w:pPr>
        <w:pStyle w:val="ListParagraph"/>
        <w:bidi w:val="0"/>
        <w:jc w:val="both"/>
        <w:rPr>
          <w:rFonts w:ascii="Arial" w:hAnsi="Arial" w:cs="Arial"/>
          <w:b/>
          <w:szCs w:val="22"/>
        </w:rPr>
      </w:pPr>
      <w:r>
        <w:rPr>
          <w:rFonts w:cs="Arial" w:ascii="Arial" w:hAnsi="Arial"/>
          <w:b/>
          <w:szCs w:val="22"/>
        </w:rPr>
        <w:t>6. Časové rozlíšenie na strane aktív a pasív súvahy: Náklady budúcich období a príjmy budúcich období</w:t>
      </w:r>
    </w:p>
    <w:p>
      <w:pPr>
        <w:pStyle w:val="ListParagraph"/>
        <w:bidi w:val="0"/>
        <w:jc w:val="both"/>
        <w:rPr>
          <w:rFonts w:ascii="Arial" w:hAnsi="Arial" w:cs="Arial"/>
          <w:szCs w:val="22"/>
        </w:rPr>
      </w:pPr>
      <w:r>
        <w:rPr>
          <w:rFonts w:cs="Arial" w:ascii="Arial" w:hAnsi="Arial"/>
          <w:szCs w:val="22"/>
        </w:rPr>
        <w:t>Náklady budúcich období a príjmy budúcich období sa vykazujú vo výške, ktorá je potrebná na dodržanie zásady vecnej a časovej súvislosti s účtovným obdobím.</w:t>
      </w:r>
    </w:p>
    <w:p>
      <w:pPr>
        <w:pStyle w:val="ListParagraph"/>
        <w:bidi w:val="0"/>
        <w:jc w:val="both"/>
        <w:rPr>
          <w:rFonts w:ascii="Arial" w:hAnsi="Arial" w:cs="Arial"/>
          <w:szCs w:val="22"/>
        </w:rPr>
      </w:pPr>
      <w:r>
        <w:rPr>
          <w:rFonts w:cs="Arial" w:ascii="Arial" w:hAnsi="Arial"/>
          <w:szCs w:val="22"/>
        </w:rPr>
        <w:t>Výdavky budúcich období a výnosy budúcich období sa vykazujú vo výške, ktorá je potrebná na dodržanie zásady vecnej a časovej súvislosti s účtovným obdobím.</w:t>
      </w:r>
    </w:p>
    <w:p>
      <w:pPr>
        <w:pStyle w:val="ListParagraph"/>
        <w:bidi w:val="0"/>
        <w:jc w:val="both"/>
        <w:rPr>
          <w:rFonts w:ascii="Arial" w:hAnsi="Arial" w:cs="Arial"/>
          <w:szCs w:val="22"/>
        </w:rPr>
      </w:pPr>
      <w:r>
        <w:rPr>
          <w:rFonts w:cs="Arial" w:ascii="Arial" w:hAnsi="Arial"/>
          <w:szCs w:val="22"/>
        </w:rPr>
      </w:r>
    </w:p>
    <w:p>
      <w:pPr>
        <w:pStyle w:val="ListParagraph"/>
        <w:bidi w:val="0"/>
        <w:jc w:val="both"/>
        <w:rPr>
          <w:rFonts w:ascii="Arial" w:hAnsi="Arial" w:cs="Arial"/>
          <w:b/>
          <w:szCs w:val="22"/>
        </w:rPr>
      </w:pPr>
      <w:r>
        <w:rPr>
          <w:rFonts w:cs="Arial" w:ascii="Arial" w:hAnsi="Arial"/>
          <w:b/>
          <w:szCs w:val="22"/>
        </w:rPr>
        <w:t>7. Prenajatý majetok a majetok obstaraný na základe zmluvy o kúpe prenajatej veci</w:t>
      </w:r>
    </w:p>
    <w:p>
      <w:pPr>
        <w:pStyle w:val="ListParagraph"/>
        <w:bidi w:val="0"/>
        <w:jc w:val="both"/>
        <w:rPr>
          <w:rFonts w:ascii="Arial" w:hAnsi="Arial" w:cs="Arial"/>
          <w:bCs/>
          <w:szCs w:val="22"/>
        </w:rPr>
      </w:pPr>
      <w:r>
        <w:rPr>
          <w:rFonts w:cs="Arial" w:ascii="Arial" w:hAnsi="Arial"/>
          <w:bCs/>
          <w:szCs w:val="22"/>
        </w:rPr>
        <w:t>Prenajatý majetok a majetok obstaraný na základe zmluvy o kúpe prenajatej veci sa oceňuje menovitou hodnotou pri ich vzniku</w:t>
      </w:r>
    </w:p>
    <w:p>
      <w:pPr>
        <w:pStyle w:val="ListParagraph"/>
        <w:bidi w:val="0"/>
        <w:jc w:val="both"/>
        <w:rPr>
          <w:rFonts w:ascii="Arial" w:hAnsi="Arial" w:cs="Arial"/>
          <w:bCs/>
          <w:szCs w:val="22"/>
        </w:rPr>
      </w:pPr>
      <w:r>
        <w:rPr>
          <w:rFonts w:cs="Arial" w:ascii="Arial" w:hAnsi="Arial"/>
          <w:bCs/>
          <w:szCs w:val="22"/>
        </w:rPr>
      </w:r>
    </w:p>
    <w:p>
      <w:pPr>
        <w:pStyle w:val="ListParagraph"/>
        <w:bidi w:val="0"/>
        <w:jc w:val="both"/>
        <w:rPr>
          <w:rFonts w:ascii="Arial" w:hAnsi="Arial" w:cs="Arial"/>
          <w:b/>
          <w:szCs w:val="22"/>
        </w:rPr>
      </w:pPr>
      <w:r>
        <w:rPr>
          <w:rFonts w:cs="Arial" w:ascii="Arial" w:hAnsi="Arial"/>
          <w:b/>
          <w:szCs w:val="22"/>
        </w:rPr>
        <w:t>8. Splatná daň z príjmov a odložená daň</w:t>
      </w:r>
    </w:p>
    <w:p>
      <w:pPr>
        <w:pStyle w:val="ListParagraph"/>
        <w:bidi w:val="0"/>
        <w:jc w:val="both"/>
        <w:rPr>
          <w:rFonts w:ascii="Arial" w:hAnsi="Arial" w:cs="Arial"/>
          <w:szCs w:val="22"/>
        </w:rPr>
      </w:pPr>
      <w:r>
        <w:rPr>
          <w:rFonts w:cs="Arial" w:ascii="Arial" w:hAnsi="Arial"/>
          <w:szCs w:val="22"/>
        </w:rPr>
        <w:t>Splatná daň a odložené dane (odložená daňová pohľadávka a odložený daňový záväzok) sa vzťahujú na dočasné rozdiely medzi účtovnou hodnotou majetku a účtovnou hodnotou záväzkov vykázanou v súvahe a ich daňovou základňou, na možnosť umorovať daňovú stratu v budúcnosti, ktorou sa rozumie možnosť odpočítať daňovú stratu od základu dane v budúcnosti a na možnosť previesť nevyužité daňové odpočty a iné daňové nároky do budúcich období.</w:t>
      </w:r>
    </w:p>
    <w:p>
      <w:pPr>
        <w:pStyle w:val="ListParagraph"/>
        <w:bidi w:val="0"/>
        <w:jc w:val="both"/>
        <w:rPr>
          <w:rFonts w:ascii="Arial" w:hAnsi="Arial" w:cs="Arial"/>
          <w:szCs w:val="22"/>
        </w:rPr>
      </w:pPr>
      <w:r>
        <w:rPr>
          <w:rFonts w:cs="Arial" w:ascii="Arial" w:hAnsi="Arial"/>
          <w:szCs w:val="22"/>
        </w:rPr>
      </w:r>
    </w:p>
    <w:p>
      <w:pPr>
        <w:pStyle w:val="ListParagraph"/>
        <w:bidi w:val="0"/>
        <w:jc w:val="both"/>
        <w:rPr>
          <w:rFonts w:ascii="Arial" w:hAnsi="Arial" w:cs="Arial"/>
          <w:b/>
          <w:szCs w:val="22"/>
        </w:rPr>
      </w:pPr>
      <w:r>
        <w:rPr>
          <w:rFonts w:cs="Arial" w:ascii="Arial" w:hAnsi="Arial"/>
          <w:b/>
          <w:szCs w:val="22"/>
        </w:rPr>
        <w:t>d/ Tvorba odpisového plánu pre dlhodobý majetok</w:t>
      </w:r>
    </w:p>
    <w:p>
      <w:pPr>
        <w:pStyle w:val="ListParagraph"/>
        <w:bidi w:val="0"/>
        <w:jc w:val="both"/>
        <w:rPr>
          <w:rFonts w:ascii="Arial" w:hAnsi="Arial" w:cs="Arial"/>
          <w:b/>
          <w:szCs w:val="22"/>
        </w:rPr>
      </w:pPr>
      <w:r>
        <w:rPr>
          <w:rFonts w:cs="Arial" w:ascii="Arial" w:hAnsi="Arial"/>
          <w:b/>
          <w:szCs w:val="22"/>
        </w:rPr>
      </w:r>
    </w:p>
    <w:p>
      <w:pPr>
        <w:pStyle w:val="ListParagraph"/>
        <w:bidi w:val="0"/>
        <w:jc w:val="both"/>
        <w:rPr>
          <w:rFonts w:ascii="Arial" w:hAnsi="Arial" w:cs="Arial"/>
          <w:szCs w:val="22"/>
        </w:rPr>
      </w:pPr>
      <w:r>
        <w:rPr>
          <w:rFonts w:cs="Arial" w:ascii="Arial" w:hAnsi="Arial"/>
          <w:szCs w:val="22"/>
        </w:rPr>
        <w:t xml:space="preserve">Odpisy dlhodobého nehmotného majetku sú stanovené vychádzajúc   z predpokladanej doby jeho používania a predpokladaného priebehu jeho opotrebenia. Odpisovať sa začína prvým dňom mesiaca nasledujúceho po uvedení </w:t>
      </w:r>
    </w:p>
    <w:p>
      <w:pPr>
        <w:pStyle w:val="ListParagraph"/>
        <w:bidi w:val="0"/>
        <w:jc w:val="both"/>
        <w:rPr>
          <w:rFonts w:ascii="Arial" w:hAnsi="Arial" w:cs="Arial"/>
          <w:szCs w:val="22"/>
        </w:rPr>
      </w:pPr>
      <w:r>
        <w:rPr>
          <w:rFonts w:cs="Arial" w:ascii="Arial" w:hAnsi="Arial"/>
          <w:szCs w:val="22"/>
        </w:rPr>
        <w:t xml:space="preserve">dlhodobého majetku do používania. Drobný dlhodobý nehmotný majetok, ktorého obstarávacia cena je 2400 eur a nižšia, sa odpisuje jednorazovo pri uvedení do používania. </w:t>
      </w:r>
    </w:p>
    <w:p>
      <w:pPr>
        <w:pStyle w:val="ListParagraph"/>
        <w:bidi w:val="0"/>
        <w:jc w:val="both"/>
        <w:rPr>
          <w:rFonts w:ascii="Arial" w:hAnsi="Arial" w:cs="Arial"/>
          <w:szCs w:val="22"/>
        </w:rPr>
      </w:pPr>
      <w:r>
        <w:rPr>
          <w:rFonts w:cs="Arial" w:ascii="Arial" w:hAnsi="Arial"/>
          <w:szCs w:val="22"/>
        </w:rPr>
      </w:r>
    </w:p>
    <w:p>
      <w:pPr>
        <w:pStyle w:val="ListParagraph"/>
        <w:bidi w:val="0"/>
        <w:jc w:val="both"/>
        <w:rPr>
          <w:rFonts w:ascii="Arial" w:hAnsi="Arial" w:cs="Arial"/>
          <w:szCs w:val="22"/>
        </w:rPr>
      </w:pPr>
      <w:r>
        <w:rPr>
          <w:rFonts w:cs="Arial" w:ascii="Arial" w:hAnsi="Arial"/>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 ktorého obstarávacia cena je 1700 eur a nižšia, sa odpisuje jednorazovo pri uvedení do používania. Pozemky sa neodpisujú. Predpokladaná doba používania, metóda odpisovania a odpisová sadzba sú uvedené v nasledujúcej tabuľke:</w:t>
      </w:r>
    </w:p>
    <w:p>
      <w:pPr>
        <w:pStyle w:val="ListParagraph"/>
        <w:bidi w:val="0"/>
        <w:jc w:val="left"/>
        <w:rPr>
          <w:rFonts w:ascii="Arial" w:hAnsi="Arial" w:cs="Arial"/>
          <w:szCs w:val="22"/>
        </w:rPr>
      </w:pPr>
      <w:r>
        <w:rPr>
          <w:rFonts w:cs="Arial" w:ascii="Arial" w:hAnsi="Arial"/>
          <w:szCs w:val="22"/>
        </w:rPr>
      </w:r>
    </w:p>
    <w:p>
      <w:pPr>
        <w:pStyle w:val="ListParagraph"/>
        <w:bidi w:val="0"/>
        <w:jc w:val="left"/>
        <w:rPr>
          <w:rFonts w:ascii="Arial" w:hAnsi="Arial" w:cs="Arial"/>
          <w:szCs w:val="22"/>
        </w:rPr>
      </w:pPr>
      <w:r>
        <w:rPr>
          <w:rFonts w:cs="Arial" w:ascii="Arial" w:hAnsi="Arial"/>
          <w:szCs w:val="22"/>
        </w:rPr>
        <w:t>Odpisová skupina                            doba odpisovania                 ročný odpis</w:t>
      </w:r>
    </w:p>
    <w:p>
      <w:pPr>
        <w:pStyle w:val="ListParagraph"/>
        <w:numPr>
          <w:ilvl w:val="0"/>
          <w:numId w:val="5"/>
        </w:numPr>
        <w:bidi w:val="0"/>
        <w:jc w:val="left"/>
        <w:rPr>
          <w:rFonts w:ascii="Arial" w:hAnsi="Arial" w:cs="Arial"/>
          <w:szCs w:val="22"/>
        </w:rPr>
      </w:pPr>
      <w:r>
        <w:rPr>
          <w:rFonts w:cs="Arial" w:ascii="Arial" w:hAnsi="Arial"/>
          <w:szCs w:val="22"/>
        </w:rPr>
        <w:t xml:space="preserve">        </w:t>
      </w:r>
      <w:r>
        <w:rPr>
          <w:rFonts w:cs="Arial" w:ascii="Arial" w:hAnsi="Arial"/>
          <w:szCs w:val="22"/>
        </w:rPr>
        <w:t>4 roky                                1/4</w:t>
      </w:r>
    </w:p>
    <w:p>
      <w:pPr>
        <w:pStyle w:val="ListParagraph"/>
        <w:numPr>
          <w:ilvl w:val="0"/>
          <w:numId w:val="5"/>
        </w:numPr>
        <w:bidi w:val="0"/>
        <w:jc w:val="left"/>
        <w:rPr>
          <w:rFonts w:ascii="Arial" w:hAnsi="Arial" w:cs="Arial"/>
          <w:szCs w:val="22"/>
        </w:rPr>
      </w:pPr>
      <w:r>
        <w:rPr>
          <w:rFonts w:cs="Arial" w:ascii="Arial" w:hAnsi="Arial"/>
          <w:szCs w:val="22"/>
        </w:rPr>
        <w:t xml:space="preserve">        </w:t>
      </w:r>
      <w:r>
        <w:rPr>
          <w:rFonts w:cs="Arial" w:ascii="Arial" w:hAnsi="Arial"/>
          <w:szCs w:val="22"/>
        </w:rPr>
        <w:t>6 rokov                              1/6</w:t>
      </w:r>
    </w:p>
    <w:p>
      <w:pPr>
        <w:pStyle w:val="ListParagraph"/>
        <w:numPr>
          <w:ilvl w:val="0"/>
          <w:numId w:val="5"/>
        </w:numPr>
        <w:bidi w:val="0"/>
        <w:jc w:val="left"/>
        <w:rPr>
          <w:rFonts w:ascii="Arial" w:hAnsi="Arial" w:cs="Arial"/>
          <w:szCs w:val="22"/>
        </w:rPr>
      </w:pPr>
      <w:r>
        <w:rPr>
          <w:rFonts w:cs="Arial" w:ascii="Arial" w:hAnsi="Arial"/>
          <w:szCs w:val="22"/>
        </w:rPr>
        <w:t xml:space="preserve">        </w:t>
      </w:r>
      <w:r>
        <w:rPr>
          <w:rFonts w:cs="Arial" w:ascii="Arial" w:hAnsi="Arial"/>
          <w:szCs w:val="22"/>
        </w:rPr>
        <w:t xml:space="preserve">8 rokov                              1/8  </w:t>
      </w:r>
    </w:p>
    <w:p>
      <w:pPr>
        <w:pStyle w:val="ListParagraph"/>
        <w:numPr>
          <w:ilvl w:val="0"/>
          <w:numId w:val="5"/>
        </w:numPr>
        <w:bidi w:val="0"/>
        <w:jc w:val="left"/>
        <w:rPr>
          <w:rFonts w:ascii="Arial" w:hAnsi="Arial" w:cs="Arial"/>
          <w:szCs w:val="22"/>
        </w:rPr>
      </w:pPr>
      <w:r>
        <w:rPr>
          <w:rFonts w:cs="Arial" w:ascii="Arial" w:hAnsi="Arial"/>
          <w:szCs w:val="22"/>
        </w:rPr>
        <w:t xml:space="preserve">        </w:t>
      </w:r>
      <w:r>
        <w:rPr>
          <w:rFonts w:cs="Arial" w:ascii="Arial" w:hAnsi="Arial"/>
          <w:szCs w:val="22"/>
        </w:rPr>
        <w:t>12 rokov                            1/12</w:t>
      </w:r>
    </w:p>
    <w:p>
      <w:pPr>
        <w:pStyle w:val="ListParagraph"/>
        <w:numPr>
          <w:ilvl w:val="0"/>
          <w:numId w:val="5"/>
        </w:numPr>
        <w:bidi w:val="0"/>
        <w:jc w:val="left"/>
        <w:rPr>
          <w:rFonts w:ascii="Arial" w:hAnsi="Arial" w:cs="Arial"/>
          <w:szCs w:val="22"/>
        </w:rPr>
      </w:pPr>
      <w:r>
        <w:rPr>
          <w:rFonts w:cs="Arial" w:ascii="Arial" w:hAnsi="Arial"/>
          <w:szCs w:val="22"/>
        </w:rPr>
        <w:t xml:space="preserve">        </w:t>
      </w:r>
      <w:r>
        <w:rPr>
          <w:rFonts w:cs="Arial" w:ascii="Arial" w:hAnsi="Arial"/>
          <w:szCs w:val="22"/>
        </w:rPr>
        <w:t>20 rokov                            1/20</w:t>
      </w:r>
    </w:p>
    <w:p>
      <w:pPr>
        <w:pStyle w:val="ListParagraph"/>
        <w:numPr>
          <w:ilvl w:val="0"/>
          <w:numId w:val="5"/>
        </w:numPr>
        <w:bidi w:val="0"/>
        <w:jc w:val="left"/>
        <w:rPr>
          <w:rFonts w:ascii="Arial" w:hAnsi="Arial" w:cs="Arial"/>
          <w:szCs w:val="22"/>
        </w:rPr>
      </w:pPr>
      <w:r>
        <w:rPr>
          <w:rFonts w:cs="Arial" w:ascii="Arial" w:hAnsi="Arial"/>
          <w:szCs w:val="22"/>
        </w:rPr>
        <w:t xml:space="preserve">        </w:t>
      </w:r>
      <w:r>
        <w:rPr>
          <w:rFonts w:cs="Arial" w:ascii="Arial" w:hAnsi="Arial"/>
          <w:szCs w:val="22"/>
        </w:rPr>
        <w:t>40 rokov                            1/40</w:t>
      </w:r>
    </w:p>
    <w:p>
      <w:pPr>
        <w:pStyle w:val="ListParagraph"/>
        <w:bidi w:val="0"/>
        <w:jc w:val="left"/>
        <w:rPr>
          <w:rFonts w:ascii="Arial" w:hAnsi="Arial" w:cs="Arial"/>
          <w:szCs w:val="22"/>
        </w:rPr>
      </w:pPr>
      <w:r>
        <w:rPr>
          <w:rFonts w:cs="Arial" w:ascii="Arial" w:hAnsi="Arial"/>
          <w:szCs w:val="22"/>
        </w:rPr>
      </w:r>
    </w:p>
    <w:p>
      <w:pPr>
        <w:pStyle w:val="ListParagraph"/>
        <w:bidi w:val="0"/>
        <w:jc w:val="both"/>
        <w:rPr>
          <w:rFonts w:ascii="Arial" w:hAnsi="Arial" w:cs="Arial"/>
          <w:b/>
          <w:szCs w:val="22"/>
        </w:rPr>
      </w:pPr>
      <w:r>
        <w:rPr>
          <w:rFonts w:cs="Arial" w:ascii="Arial" w:hAnsi="Arial"/>
          <w:b/>
          <w:szCs w:val="22"/>
        </w:rPr>
        <w:t>e/ Dotácie zo štátneho rozpočtu.</w:t>
      </w:r>
    </w:p>
    <w:p>
      <w:pPr>
        <w:pStyle w:val="ListParagraph"/>
        <w:bidi w:val="0"/>
        <w:jc w:val="both"/>
        <w:rPr>
          <w:rFonts w:ascii="Arial" w:hAnsi="Arial" w:cs="Arial"/>
          <w:szCs w:val="22"/>
        </w:rPr>
      </w:pPr>
      <w:r>
        <w:rPr>
          <w:rFonts w:cs="Arial" w:ascii="Arial" w:hAnsi="Arial"/>
          <w:szCs w:val="22"/>
        </w:rPr>
        <w:t>O nároku na dotácie zo štátneho rozpočtu sa účtuje, ak je takmer isté, že sa splnia všetky podmienky súvisiace s dotáciou a súčasne, že sa dotácia poskytne.</w:t>
      </w:r>
    </w:p>
    <w:p>
      <w:pPr>
        <w:pStyle w:val="ListParagraph"/>
        <w:bidi w:val="0"/>
        <w:jc w:val="both"/>
        <w:rPr>
          <w:rFonts w:ascii="Arial" w:hAnsi="Arial" w:cs="Arial"/>
          <w:szCs w:val="22"/>
        </w:rPr>
      </w:pPr>
      <w:r>
        <w:rPr>
          <w:rFonts w:cs="Arial" w:ascii="Arial" w:hAnsi="Arial"/>
          <w:szCs w:val="22"/>
        </w:rPr>
        <w:t>Dotácie na hospodársku činnosť sa najskôr vykazujú ako výnosy budúcich období a do výkazu ziskov a strát sa rozpúšťajú ako výnosy z hospodárskej činnosti v časovej a vecnej súvislosti s vynaložením nákladov na príslušný účel.</w:t>
      </w:r>
    </w:p>
    <w:p>
      <w:pPr>
        <w:pStyle w:val="ListParagraph"/>
        <w:bidi w:val="0"/>
        <w:ind w:left="709" w:hanging="0"/>
        <w:jc w:val="both"/>
        <w:rPr>
          <w:rFonts w:ascii="Arial" w:hAnsi="Arial" w:cs="Arial"/>
          <w:szCs w:val="22"/>
        </w:rPr>
      </w:pPr>
      <w:r>
        <w:rPr>
          <w:rFonts w:cs="Arial" w:ascii="Arial" w:hAnsi="Arial"/>
          <w:szCs w:val="22"/>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pPr>
        <w:pStyle w:val="ListParagraph"/>
        <w:bidi w:val="0"/>
        <w:jc w:val="both"/>
        <w:rPr>
          <w:rFonts w:ascii="Arial" w:hAnsi="Arial" w:cs="Arial"/>
          <w:bCs/>
          <w:szCs w:val="22"/>
        </w:rPr>
      </w:pPr>
      <w:r>
        <w:rPr>
          <w:rFonts w:cs="Arial" w:ascii="Arial" w:hAnsi="Arial"/>
          <w:bCs/>
          <w:szCs w:val="22"/>
        </w:rPr>
      </w:r>
    </w:p>
    <w:p>
      <w:pPr>
        <w:pStyle w:val="ListParagraph"/>
        <w:bidi w:val="0"/>
        <w:jc w:val="both"/>
        <w:rPr>
          <w:rFonts w:ascii="Arial" w:hAnsi="Arial" w:cs="Arial"/>
          <w:b/>
          <w:szCs w:val="22"/>
        </w:rPr>
      </w:pPr>
      <w:r>
        <w:rPr>
          <w:rFonts w:cs="Arial" w:ascii="Arial" w:hAnsi="Arial"/>
          <w:b/>
          <w:szCs w:val="22"/>
        </w:rPr>
        <w:t>f/ Oprava významných chýb minulých účtovných období účtovanej v bežnom účtovnom období s uvedením sumy vplyvu na nerozdelený zisk minulých rokov, alebo na neuhradenú stratu minulých rokov.</w:t>
      </w:r>
    </w:p>
    <w:p>
      <w:pPr>
        <w:pStyle w:val="ListParagraph"/>
        <w:bidi w:val="0"/>
        <w:jc w:val="both"/>
        <w:rPr>
          <w:rFonts w:ascii="Arial" w:hAnsi="Arial" w:cs="Arial"/>
          <w:szCs w:val="22"/>
        </w:rPr>
      </w:pPr>
      <w:r>
        <w:rPr>
          <w:rFonts w:cs="Arial" w:ascii="Arial" w:hAnsi="Arial"/>
          <w:szCs w:val="22"/>
        </w:rPr>
        <w:t>Opravu významných chýb minulých účtovných období účtovanej v bežnom účtovnom období spoločnosť nemala.</w:t>
      </w:r>
    </w:p>
    <w:p>
      <w:pPr>
        <w:pStyle w:val="ListParagraph"/>
        <w:bidi w:val="0"/>
        <w:jc w:val="both"/>
        <w:rPr>
          <w:rFonts w:ascii="Arial" w:hAnsi="Arial" w:cs="Arial"/>
          <w:szCs w:val="22"/>
        </w:rPr>
      </w:pPr>
      <w:r>
        <w:rPr>
          <w:rFonts w:cs="Arial" w:ascii="Arial" w:hAnsi="Arial"/>
          <w:szCs w:val="22"/>
        </w:rPr>
      </w:r>
    </w:p>
    <w:p>
      <w:pPr>
        <w:pStyle w:val="ListParagraph"/>
        <w:bidi w:val="0"/>
        <w:jc w:val="both"/>
        <w:rPr>
          <w:rFonts w:ascii="Arial" w:hAnsi="Arial" w:cs="Arial"/>
          <w:sz w:val="20"/>
          <w:szCs w:val="20"/>
        </w:rPr>
      </w:pPr>
      <w:r>
        <w:rPr>
          <w:rFonts w:cs="Arial" w:ascii="Arial" w:hAnsi="Arial"/>
          <w:sz w:val="20"/>
          <w:szCs w:val="20"/>
        </w:rPr>
      </w:r>
    </w:p>
    <w:p>
      <w:pPr>
        <w:pStyle w:val="ListParagraph"/>
        <w:numPr>
          <w:ilvl w:val="0"/>
          <w:numId w:val="4"/>
        </w:numPr>
        <w:bidi w:val="0"/>
        <w:jc w:val="both"/>
        <w:rPr>
          <w:rFonts w:ascii="Arial" w:hAnsi="Arial" w:cs="Arial"/>
          <w:b/>
          <w:sz w:val="28"/>
          <w:szCs w:val="28"/>
        </w:rPr>
      </w:pPr>
      <w:r>
        <w:rPr>
          <w:rFonts w:cs="Arial" w:ascii="Arial" w:hAnsi="Arial"/>
          <w:b/>
          <w:sz w:val="28"/>
          <w:szCs w:val="28"/>
        </w:rPr>
        <w:t xml:space="preserve">Informácie o údajoch na strane aktív súvahy </w:t>
      </w:r>
    </w:p>
    <w:p>
      <w:pPr>
        <w:pStyle w:val="ListParagraph"/>
        <w:bidi w:val="0"/>
        <w:ind w:left="644" w:hanging="0"/>
        <w:jc w:val="both"/>
        <w:rPr>
          <w:rFonts w:ascii="Arial" w:hAnsi="Arial" w:cs="Arial"/>
          <w:b/>
          <w:sz w:val="28"/>
          <w:szCs w:val="28"/>
        </w:rPr>
      </w:pPr>
      <w:r>
        <w:rPr>
          <w:rFonts w:cs="Arial" w:ascii="Arial" w:hAnsi="Arial"/>
          <w:b/>
          <w:sz w:val="28"/>
          <w:szCs w:val="28"/>
        </w:rPr>
      </w:r>
    </w:p>
    <w:p>
      <w:pPr>
        <w:pStyle w:val="ListParagraph"/>
        <w:bidi w:val="0"/>
        <w:ind w:left="644" w:hanging="0"/>
        <w:jc w:val="both"/>
        <w:rPr>
          <w:rFonts w:ascii="Arial" w:hAnsi="Arial" w:cs="Arial"/>
          <w:b/>
          <w:szCs w:val="22"/>
        </w:rPr>
      </w:pPr>
      <w:r>
        <w:rPr>
          <w:rFonts w:cs="Arial" w:ascii="Arial" w:hAnsi="Arial"/>
          <w:b/>
          <w:szCs w:val="22"/>
        </w:rPr>
        <w:t xml:space="preserve">Informácie o dlhodobom nehmotnom majetku a dlhodobom hmotnom majetku </w:t>
      </w:r>
    </w:p>
    <w:p>
      <w:pPr>
        <w:pStyle w:val="ListParagraph"/>
        <w:bidi w:val="0"/>
        <w:ind w:left="644" w:hanging="0"/>
        <w:jc w:val="both"/>
        <w:rPr>
          <w:rFonts w:ascii="Arial" w:hAnsi="Arial" w:cs="Arial"/>
          <w:szCs w:val="22"/>
        </w:rPr>
      </w:pPr>
      <w:r>
        <w:rPr>
          <w:rFonts w:cs="Arial" w:ascii="Arial" w:hAnsi="Arial"/>
          <w:szCs w:val="22"/>
        </w:rPr>
        <w:t>Dlhodobý nehmotný majetok spoločnosť nemá. Spoločnosť v roku 2023 nakúpila osobný automobil a notebook, ktorý odpisuje.</w:t>
      </w:r>
    </w:p>
    <w:p>
      <w:pPr>
        <w:pStyle w:val="Nzov"/>
        <w:numPr>
          <w:ilvl w:val="0"/>
          <w:numId w:val="6"/>
        </w:numPr>
        <w:bidi w:val="0"/>
        <w:spacing w:beforeAutospacing="0" w:before="0" w:after="0"/>
        <w:jc w:val="left"/>
        <w:rPr>
          <w:szCs w:val="22"/>
        </w:rPr>
      </w:pPr>
      <w:r>
        <w:rPr>
          <w:szCs w:val="22"/>
        </w:rPr>
        <w:t>Informácie k prílohe č. 3 časti F. písm. a) o dlhodobom nehmotnom majetku</w:t>
      </w:r>
    </w:p>
    <w:p>
      <w:pPr>
        <w:pStyle w:val="Normal"/>
        <w:bidi w:val="0"/>
        <w:spacing w:lineRule="auto" w:line="240" w:before="0" w:after="0"/>
        <w:jc w:val="left"/>
        <w:rPr>
          <w:szCs w:val="22"/>
        </w:rPr>
      </w:pPr>
      <w:r>
        <w:rPr>
          <w:szCs w:val="22"/>
        </w:rPr>
        <w:t>Tabuľka č. 1</w:t>
      </w:r>
    </w:p>
    <w:tbl>
      <w:tblPr>
        <w:tblW w:w="4950" w:type="pct"/>
        <w:jc w:val="center"/>
        <w:tblInd w:w="0" w:type="dxa"/>
        <w:tblLayout w:type="fixed"/>
        <w:tblCellMar>
          <w:top w:w="0" w:type="dxa"/>
          <w:left w:w="30" w:type="dxa"/>
          <w:bottom w:w="0" w:type="dxa"/>
          <w:right w:w="30" w:type="dxa"/>
        </w:tblCellMar>
        <w:tblLook w:firstRow="1" w:noVBand="1" w:lastRow="0" w:firstColumn="1" w:lastColumn="0" w:noHBand="0" w:val="04a0"/>
      </w:tblPr>
      <w:tblGrid>
        <w:gridCol w:w="1943"/>
        <w:gridCol w:w="1045"/>
        <w:gridCol w:w="890"/>
        <w:gridCol w:w="906"/>
        <w:gridCol w:w="1023"/>
        <w:gridCol w:w="740"/>
        <w:gridCol w:w="893"/>
        <w:gridCol w:w="1205"/>
        <w:gridCol w:w="895"/>
      </w:tblGrid>
      <w:tr>
        <w:trPr>
          <w:trHeight w:val="334" w:hRule="atLeast"/>
        </w:trPr>
        <w:tc>
          <w:tcPr>
            <w:tcW w:w="1943" w:type="dxa"/>
            <w:vMerge w:val="restart"/>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Dlhodobý nehmotný majetok</w:t>
            </w:r>
          </w:p>
        </w:tc>
        <w:tc>
          <w:tcPr>
            <w:tcW w:w="7597" w:type="dxa"/>
            <w:gridSpan w:val="8"/>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Bežné účtovné obdobie</w:t>
            </w:r>
          </w:p>
        </w:tc>
      </w:tr>
      <w:tr>
        <w:trPr>
          <w:trHeight w:val="1124" w:hRule="atLeast"/>
        </w:trPr>
        <w:tc>
          <w:tcPr>
            <w:tcW w:w="1943"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045"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Aktivo-vané náklady na vývoj</w:t>
            </w:r>
          </w:p>
        </w:tc>
        <w:tc>
          <w:tcPr>
            <w:tcW w:w="890"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Softvér</w:t>
            </w:r>
          </w:p>
        </w:tc>
        <w:tc>
          <w:tcPr>
            <w:tcW w:w="906"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Oceni-teľné práva</w:t>
            </w:r>
          </w:p>
        </w:tc>
        <w:tc>
          <w:tcPr>
            <w:tcW w:w="1023"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Goodwill</w:t>
            </w:r>
          </w:p>
        </w:tc>
        <w:tc>
          <w:tcPr>
            <w:tcW w:w="740"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Ostat-ný DNM</w:t>
            </w:r>
          </w:p>
        </w:tc>
        <w:tc>
          <w:tcPr>
            <w:tcW w:w="893"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Obsta-</w:t>
            </w:r>
          </w:p>
          <w:p>
            <w:pPr>
              <w:pStyle w:val="Normal"/>
              <w:widowControl w:val="false"/>
              <w:bidi w:val="0"/>
              <w:spacing w:lineRule="auto" w:line="240" w:before="0" w:after="0"/>
              <w:jc w:val="center"/>
              <w:rPr>
                <w:b/>
                <w:bCs/>
                <w:szCs w:val="22"/>
              </w:rPr>
            </w:pPr>
            <w:r>
              <w:rPr>
                <w:b/>
                <w:bCs/>
                <w:szCs w:val="22"/>
              </w:rPr>
              <w:t>rávaný DNM</w:t>
            </w:r>
          </w:p>
        </w:tc>
        <w:tc>
          <w:tcPr>
            <w:tcW w:w="1205"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Poskytnuté preddavky na DNM</w:t>
            </w:r>
          </w:p>
        </w:tc>
        <w:tc>
          <w:tcPr>
            <w:tcW w:w="895"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Spolu</w:t>
            </w:r>
          </w:p>
        </w:tc>
      </w:tr>
      <w:tr>
        <w:trPr>
          <w:trHeight w:val="80" w:hRule="atLeast"/>
        </w:trPr>
        <w:tc>
          <w:tcPr>
            <w:tcW w:w="1943"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a</w:t>
            </w:r>
          </w:p>
        </w:tc>
        <w:tc>
          <w:tcPr>
            <w:tcW w:w="1045"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b</w:t>
            </w:r>
          </w:p>
        </w:tc>
        <w:tc>
          <w:tcPr>
            <w:tcW w:w="890"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c</w:t>
            </w:r>
          </w:p>
        </w:tc>
        <w:tc>
          <w:tcPr>
            <w:tcW w:w="906"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d</w:t>
            </w:r>
          </w:p>
        </w:tc>
        <w:tc>
          <w:tcPr>
            <w:tcW w:w="1023"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e</w:t>
            </w:r>
          </w:p>
        </w:tc>
        <w:tc>
          <w:tcPr>
            <w:tcW w:w="740"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f</w:t>
            </w:r>
          </w:p>
        </w:tc>
        <w:tc>
          <w:tcPr>
            <w:tcW w:w="893"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g</w:t>
            </w:r>
          </w:p>
        </w:tc>
        <w:tc>
          <w:tcPr>
            <w:tcW w:w="1205"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h</w:t>
            </w:r>
          </w:p>
        </w:tc>
        <w:tc>
          <w:tcPr>
            <w:tcW w:w="895"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i</w:t>
            </w:r>
          </w:p>
        </w:tc>
      </w:tr>
      <w:tr>
        <w:trPr>
          <w:trHeight w:val="266" w:hRule="atLeast"/>
        </w:trPr>
        <w:tc>
          <w:tcPr>
            <w:tcW w:w="9540" w:type="dxa"/>
            <w:gridSpan w:val="9"/>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Prvotné ocenenie</w:t>
            </w:r>
          </w:p>
        </w:tc>
      </w:tr>
      <w:tr>
        <w:trPr>
          <w:trHeight w:val="227" w:hRule="atLeast"/>
        </w:trPr>
        <w:tc>
          <w:tcPr>
            <w:tcW w:w="1943"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začiatku účtovného obdobia</w:t>
            </w:r>
          </w:p>
        </w:tc>
        <w:tc>
          <w:tcPr>
            <w:tcW w:w="1045"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45"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45"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45"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27" w:hRule="atLeast"/>
        </w:trPr>
        <w:tc>
          <w:tcPr>
            <w:tcW w:w="1943"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45"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9540" w:type="dxa"/>
            <w:gridSpan w:val="9"/>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Oprávky</w:t>
            </w:r>
          </w:p>
        </w:tc>
      </w:tr>
      <w:tr>
        <w:trPr>
          <w:trHeight w:val="278" w:hRule="atLeast"/>
        </w:trPr>
        <w:tc>
          <w:tcPr>
            <w:tcW w:w="1943"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začiatku účtovného obdobia</w:t>
            </w:r>
          </w:p>
        </w:tc>
        <w:tc>
          <w:tcPr>
            <w:tcW w:w="1045"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45"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45"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45"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27" w:hRule="atLeast"/>
        </w:trPr>
        <w:tc>
          <w:tcPr>
            <w:tcW w:w="1943"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45"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9540" w:type="dxa"/>
            <w:gridSpan w:val="9"/>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Opravné položky</w:t>
            </w:r>
          </w:p>
        </w:tc>
      </w:tr>
      <w:tr>
        <w:trPr>
          <w:trHeight w:val="278" w:hRule="atLeast"/>
        </w:trPr>
        <w:tc>
          <w:tcPr>
            <w:tcW w:w="1943"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začiatku účtovného obdobia</w:t>
            </w:r>
          </w:p>
        </w:tc>
        <w:tc>
          <w:tcPr>
            <w:tcW w:w="1045"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45"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45"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45"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650" w:hRule="atLeast"/>
        </w:trPr>
        <w:tc>
          <w:tcPr>
            <w:tcW w:w="1943"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45"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9540" w:type="dxa"/>
            <w:gridSpan w:val="9"/>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Zostatková hodnota</w:t>
            </w:r>
          </w:p>
        </w:tc>
      </w:tr>
      <w:tr>
        <w:trPr>
          <w:trHeight w:val="170" w:hRule="atLeast"/>
        </w:trPr>
        <w:tc>
          <w:tcPr>
            <w:tcW w:w="1943"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začiatku účtovného obdobia</w:t>
            </w:r>
          </w:p>
        </w:tc>
        <w:tc>
          <w:tcPr>
            <w:tcW w:w="1045"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27" w:hRule="atLeast"/>
        </w:trPr>
        <w:tc>
          <w:tcPr>
            <w:tcW w:w="1943"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45"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ormal"/>
        <w:bidi w:val="0"/>
        <w:jc w:val="left"/>
        <w:rPr/>
      </w:pPr>
      <w:r>
        <w:rPr/>
      </w:r>
    </w:p>
    <w:p>
      <w:pPr>
        <w:pStyle w:val="Nzov"/>
        <w:bidi w:val="0"/>
        <w:spacing w:beforeAutospacing="0" w:before="0" w:after="0"/>
        <w:jc w:val="left"/>
        <w:rPr>
          <w:b w:val="false"/>
          <w:szCs w:val="22"/>
        </w:rPr>
      </w:pPr>
      <w:r>
        <w:rPr>
          <w:b w:val="false"/>
          <w:szCs w:val="22"/>
        </w:rPr>
        <w:t>Tabuľka č. 2</w:t>
      </w:r>
    </w:p>
    <w:tbl>
      <w:tblPr>
        <w:tblW w:w="4950" w:type="pct"/>
        <w:jc w:val="center"/>
        <w:tblInd w:w="0" w:type="dxa"/>
        <w:tblLayout w:type="fixed"/>
        <w:tblCellMar>
          <w:top w:w="0" w:type="dxa"/>
          <w:left w:w="30" w:type="dxa"/>
          <w:bottom w:w="0" w:type="dxa"/>
          <w:right w:w="30" w:type="dxa"/>
        </w:tblCellMar>
        <w:tblLook w:firstRow="1" w:noVBand="1" w:lastRow="0" w:firstColumn="1" w:lastColumn="0" w:noHBand="0" w:val="04a0"/>
      </w:tblPr>
      <w:tblGrid>
        <w:gridCol w:w="1943"/>
        <w:gridCol w:w="1044"/>
        <w:gridCol w:w="890"/>
        <w:gridCol w:w="906"/>
        <w:gridCol w:w="1022"/>
        <w:gridCol w:w="703"/>
        <w:gridCol w:w="39"/>
        <w:gridCol w:w="893"/>
        <w:gridCol w:w="1205"/>
        <w:gridCol w:w="895"/>
      </w:tblGrid>
      <w:tr>
        <w:trPr>
          <w:trHeight w:val="334" w:hRule="atLeast"/>
        </w:trPr>
        <w:tc>
          <w:tcPr>
            <w:tcW w:w="1943" w:type="dxa"/>
            <w:vMerge w:val="restart"/>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Dlhodobý nehmotný majetok</w:t>
            </w:r>
          </w:p>
        </w:tc>
        <w:tc>
          <w:tcPr>
            <w:tcW w:w="7597" w:type="dxa"/>
            <w:gridSpan w:val="9"/>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Bezprostredne predchádzajúce účtovné obdobie</w:t>
            </w:r>
          </w:p>
        </w:tc>
      </w:tr>
      <w:tr>
        <w:trPr>
          <w:trHeight w:val="1124" w:hRule="atLeast"/>
        </w:trPr>
        <w:tc>
          <w:tcPr>
            <w:tcW w:w="1943"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044"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Aktivo-vané náklady na vývoj</w:t>
            </w:r>
          </w:p>
        </w:tc>
        <w:tc>
          <w:tcPr>
            <w:tcW w:w="890"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Softvér</w:t>
            </w:r>
          </w:p>
        </w:tc>
        <w:tc>
          <w:tcPr>
            <w:tcW w:w="906"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Oceni-teľné práva</w:t>
            </w:r>
          </w:p>
        </w:tc>
        <w:tc>
          <w:tcPr>
            <w:tcW w:w="1022"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Goodwill</w:t>
            </w:r>
          </w:p>
        </w:tc>
        <w:tc>
          <w:tcPr>
            <w:tcW w:w="742" w:type="dxa"/>
            <w:gridSpan w:val="2"/>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Ostat-ný DNM</w:t>
            </w:r>
          </w:p>
        </w:tc>
        <w:tc>
          <w:tcPr>
            <w:tcW w:w="893"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Obsta-</w:t>
            </w:r>
          </w:p>
          <w:p>
            <w:pPr>
              <w:pStyle w:val="Normal"/>
              <w:widowControl w:val="false"/>
              <w:bidi w:val="0"/>
              <w:spacing w:lineRule="auto" w:line="240" w:before="0" w:after="0"/>
              <w:jc w:val="center"/>
              <w:rPr>
                <w:b/>
                <w:bCs/>
                <w:szCs w:val="22"/>
              </w:rPr>
            </w:pPr>
            <w:r>
              <w:rPr>
                <w:b/>
                <w:bCs/>
                <w:szCs w:val="22"/>
              </w:rPr>
              <w:t>rávaný DNM</w:t>
            </w:r>
          </w:p>
        </w:tc>
        <w:tc>
          <w:tcPr>
            <w:tcW w:w="1205"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Poskytnuté preddavky na DNM</w:t>
            </w:r>
          </w:p>
        </w:tc>
        <w:tc>
          <w:tcPr>
            <w:tcW w:w="895"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Spolu</w:t>
            </w:r>
          </w:p>
        </w:tc>
      </w:tr>
      <w:tr>
        <w:trPr>
          <w:trHeight w:val="80" w:hRule="atLeast"/>
        </w:trPr>
        <w:tc>
          <w:tcPr>
            <w:tcW w:w="1943"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a</w:t>
            </w:r>
          </w:p>
        </w:tc>
        <w:tc>
          <w:tcPr>
            <w:tcW w:w="1044"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b</w:t>
            </w:r>
          </w:p>
        </w:tc>
        <w:tc>
          <w:tcPr>
            <w:tcW w:w="890"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c</w:t>
            </w:r>
          </w:p>
        </w:tc>
        <w:tc>
          <w:tcPr>
            <w:tcW w:w="906"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d</w:t>
            </w:r>
          </w:p>
        </w:tc>
        <w:tc>
          <w:tcPr>
            <w:tcW w:w="1022"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e</w:t>
            </w:r>
          </w:p>
        </w:tc>
        <w:tc>
          <w:tcPr>
            <w:tcW w:w="742" w:type="dxa"/>
            <w:gridSpan w:val="2"/>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f</w:t>
            </w:r>
          </w:p>
        </w:tc>
        <w:tc>
          <w:tcPr>
            <w:tcW w:w="893"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g</w:t>
            </w:r>
          </w:p>
        </w:tc>
        <w:tc>
          <w:tcPr>
            <w:tcW w:w="1205"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h</w:t>
            </w:r>
          </w:p>
        </w:tc>
        <w:tc>
          <w:tcPr>
            <w:tcW w:w="895"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i</w:t>
            </w:r>
          </w:p>
        </w:tc>
      </w:tr>
      <w:tr>
        <w:trPr>
          <w:trHeight w:val="266" w:hRule="atLeast"/>
        </w:trPr>
        <w:tc>
          <w:tcPr>
            <w:tcW w:w="9540" w:type="dxa"/>
            <w:gridSpan w:val="10"/>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Prvotné ocenenie</w:t>
            </w:r>
          </w:p>
        </w:tc>
      </w:tr>
      <w:tr>
        <w:trPr>
          <w:trHeight w:val="227" w:hRule="atLeast"/>
        </w:trPr>
        <w:tc>
          <w:tcPr>
            <w:tcW w:w="1943"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začiatku účtovného obdobia</w:t>
            </w:r>
          </w:p>
        </w:tc>
        <w:tc>
          <w:tcPr>
            <w:tcW w:w="1044"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44"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44"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44"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27" w:hRule="atLeast"/>
        </w:trPr>
        <w:tc>
          <w:tcPr>
            <w:tcW w:w="1943"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44"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9540" w:type="dxa"/>
            <w:gridSpan w:val="10"/>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Oprávky</w:t>
            </w:r>
          </w:p>
        </w:tc>
      </w:tr>
      <w:tr>
        <w:trPr>
          <w:trHeight w:val="278" w:hRule="atLeast"/>
        </w:trPr>
        <w:tc>
          <w:tcPr>
            <w:tcW w:w="1943"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začiatku účtovného obdobia</w:t>
            </w:r>
          </w:p>
        </w:tc>
        <w:tc>
          <w:tcPr>
            <w:tcW w:w="1044"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44"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44"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44"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27" w:hRule="atLeast"/>
        </w:trPr>
        <w:tc>
          <w:tcPr>
            <w:tcW w:w="1943"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44"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9540" w:type="dxa"/>
            <w:gridSpan w:val="10"/>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Opravné položky</w:t>
            </w:r>
          </w:p>
        </w:tc>
      </w:tr>
      <w:tr>
        <w:trPr>
          <w:trHeight w:val="278" w:hRule="atLeast"/>
        </w:trPr>
        <w:tc>
          <w:tcPr>
            <w:tcW w:w="1943"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začiatku účtovného obdobia</w:t>
            </w:r>
          </w:p>
        </w:tc>
        <w:tc>
          <w:tcPr>
            <w:tcW w:w="1044"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44"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44"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1943"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44"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650" w:hRule="atLeast"/>
        </w:trPr>
        <w:tc>
          <w:tcPr>
            <w:tcW w:w="1943"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44"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2"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9540" w:type="dxa"/>
            <w:gridSpan w:val="10"/>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Zostatková hodnota</w:t>
            </w:r>
          </w:p>
        </w:tc>
      </w:tr>
      <w:tr>
        <w:trPr>
          <w:trHeight w:val="170" w:hRule="atLeast"/>
        </w:trPr>
        <w:tc>
          <w:tcPr>
            <w:tcW w:w="1943"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začiatku účtovného obdobia</w:t>
            </w:r>
          </w:p>
        </w:tc>
        <w:tc>
          <w:tcPr>
            <w:tcW w:w="1044"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32"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27" w:hRule="atLeast"/>
        </w:trPr>
        <w:tc>
          <w:tcPr>
            <w:tcW w:w="1943"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44"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0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2"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32"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20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5"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ormal"/>
        <w:bidi w:val="0"/>
        <w:jc w:val="left"/>
        <w:rPr>
          <w:rFonts w:ascii="Arial" w:hAnsi="Arial" w:cs="Arial"/>
          <w:b/>
          <w:szCs w:val="22"/>
        </w:rPr>
      </w:pPr>
      <w:r>
        <w:rPr>
          <w:rFonts w:cs="Arial" w:ascii="Arial" w:hAnsi="Arial"/>
          <w:b/>
          <w:szCs w:val="22"/>
        </w:rPr>
      </w:r>
    </w:p>
    <w:p>
      <w:pPr>
        <w:pStyle w:val="Normal"/>
        <w:bidi w:val="0"/>
        <w:jc w:val="both"/>
        <w:rPr>
          <w:rFonts w:ascii="Arial" w:hAnsi="Arial" w:cs="Arial"/>
          <w:b/>
          <w:szCs w:val="22"/>
        </w:rPr>
      </w:pPr>
      <w:r>
        <w:rPr>
          <w:rFonts w:cs="Arial" w:ascii="Arial" w:hAnsi="Arial"/>
          <w:b/>
          <w:szCs w:val="22"/>
        </w:rPr>
        <w:t>spôsob a výška poistenia dlhodobého nehmotného a hmotného majetku</w:t>
      </w:r>
    </w:p>
    <w:p>
      <w:pPr>
        <w:pStyle w:val="Normal"/>
        <w:bidi w:val="0"/>
        <w:jc w:val="both"/>
        <w:rPr>
          <w:rFonts w:ascii="Arial" w:hAnsi="Arial" w:cs="Arial"/>
          <w:bCs/>
          <w:szCs w:val="22"/>
        </w:rPr>
      </w:pPr>
      <w:r>
        <w:rPr>
          <w:rFonts w:cs="Arial" w:ascii="Arial" w:hAnsi="Arial"/>
          <w:bCs/>
          <w:szCs w:val="22"/>
        </w:rPr>
        <w:t xml:space="preserve">Spoločnosť nemá dlhodobý hmotný a nehmotný majetok. </w:t>
      </w:r>
    </w:p>
    <w:p>
      <w:pPr>
        <w:pStyle w:val="Normal"/>
        <w:bidi w:val="0"/>
        <w:jc w:val="both"/>
        <w:rPr>
          <w:rFonts w:ascii="Arial" w:hAnsi="Arial" w:cs="Arial"/>
          <w:bCs/>
          <w:szCs w:val="22"/>
        </w:rPr>
      </w:pPr>
      <w:r>
        <w:rPr/>
      </w:r>
    </w:p>
    <w:p>
      <w:pPr>
        <w:pStyle w:val="Normal"/>
        <w:bidi w:val="0"/>
        <w:jc w:val="both"/>
        <w:rPr>
          <w:rFonts w:ascii="Arial" w:hAnsi="Arial" w:cs="Arial"/>
          <w:b/>
          <w:szCs w:val="22"/>
        </w:rPr>
      </w:pPr>
      <w:r>
        <w:rPr>
          <w:rFonts w:cs="Arial" w:ascii="Arial" w:hAnsi="Arial"/>
          <w:b/>
          <w:szCs w:val="22"/>
        </w:rPr>
        <w:t>dlhodobý hmotný a nehmotný majetok, na ktorý je zriadené záložné právo</w:t>
      </w:r>
    </w:p>
    <w:p>
      <w:pPr>
        <w:pStyle w:val="Normal"/>
        <w:bidi w:val="0"/>
        <w:jc w:val="both"/>
        <w:rPr/>
      </w:pPr>
      <w:r>
        <w:rPr>
          <w:rFonts w:cs="Arial" w:ascii="Arial" w:hAnsi="Arial"/>
          <w:szCs w:val="22"/>
        </w:rPr>
        <w:t>Na dlhodobom hmotnom a nehmotnom majetku nie je zriadené žiadne záložné právo</w:t>
      </w:r>
      <w:r>
        <w:rPr/>
        <w:t>.</w:t>
      </w:r>
    </w:p>
    <w:p>
      <w:pPr>
        <w:pStyle w:val="Normal"/>
        <w:bidi w:val="0"/>
        <w:jc w:val="both"/>
        <w:rPr/>
      </w:pPr>
      <w:r>
        <w:rPr/>
      </w:r>
    </w:p>
    <w:p>
      <w:pPr>
        <w:pStyle w:val="Nzov"/>
        <w:keepNext w:val="false"/>
        <w:numPr>
          <w:ilvl w:val="0"/>
          <w:numId w:val="6"/>
        </w:numPr>
        <w:bidi w:val="0"/>
        <w:spacing w:beforeAutospacing="0" w:before="0" w:after="0"/>
        <w:jc w:val="left"/>
        <w:rPr>
          <w:szCs w:val="22"/>
        </w:rPr>
      </w:pPr>
      <w:r>
        <w:rPr>
          <w:szCs w:val="22"/>
        </w:rPr>
        <w:t xml:space="preserve">Informácie k prílohe č. 3 časti F. písm. c) o dlhodobom nehmotnom majetku </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6746"/>
        <w:gridCol w:w="2891"/>
      </w:tblGrid>
      <w:tr>
        <w:trPr>
          <w:trHeight w:val="340" w:hRule="atLeast"/>
        </w:trPr>
        <w:tc>
          <w:tcPr>
            <w:tcW w:w="6746" w:type="dxa"/>
            <w:tcBorders>
              <w:top w:val="single" w:sz="12" w:space="0" w:color="000000"/>
              <w:left w:val="single" w:sz="12" w:space="0" w:color="000000"/>
              <w:right w:val="single" w:sz="12" w:space="0" w:color="000000"/>
            </w:tcBorders>
            <w:vAlign w:val="center"/>
          </w:tcPr>
          <w:p>
            <w:pPr>
              <w:pStyle w:val="TopHeader"/>
              <w:widowControl w:val="false"/>
              <w:bidi w:val="0"/>
              <w:rPr/>
            </w:pPr>
            <w:r>
              <w:rPr/>
              <w:t>Dlhodobý nehmotný majetok</w:t>
            </w:r>
          </w:p>
        </w:tc>
        <w:tc>
          <w:tcPr>
            <w:tcW w:w="2891" w:type="dxa"/>
            <w:tcBorders>
              <w:top w:val="single" w:sz="12" w:space="0" w:color="000000"/>
              <w:left w:val="single" w:sz="12" w:space="0" w:color="000000"/>
              <w:right w:val="single" w:sz="12" w:space="0" w:color="000000"/>
            </w:tcBorders>
            <w:vAlign w:val="center"/>
          </w:tcPr>
          <w:p>
            <w:pPr>
              <w:pStyle w:val="TopHeader"/>
              <w:widowControl w:val="false"/>
              <w:bidi w:val="0"/>
              <w:rPr/>
            </w:pPr>
            <w:r>
              <w:rPr/>
              <w:t>Hodnota za bežné účtovné obdobie</w:t>
            </w:r>
          </w:p>
        </w:tc>
      </w:tr>
      <w:tr>
        <w:trPr>
          <w:trHeight w:val="340" w:hRule="atLeast"/>
        </w:trPr>
        <w:tc>
          <w:tcPr>
            <w:tcW w:w="6746"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Dlhodobý nehmotný majetok, na ktorý je zriadené záložné právo</w:t>
            </w:r>
          </w:p>
        </w:tc>
        <w:tc>
          <w:tcPr>
            <w:tcW w:w="2891"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je</w:t>
            </w:r>
          </w:p>
        </w:tc>
      </w:tr>
    </w:tbl>
    <w:p>
      <w:pPr>
        <w:pStyle w:val="Normal"/>
        <w:bidi w:val="0"/>
        <w:jc w:val="left"/>
        <w:rPr/>
      </w:pPr>
      <w:r>
        <w:rPr/>
      </w:r>
    </w:p>
    <w:p>
      <w:pPr>
        <w:pStyle w:val="Normal"/>
        <w:bidi w:val="0"/>
        <w:jc w:val="both"/>
        <w:rPr>
          <w:rFonts w:ascii="Arial" w:hAnsi="Arial" w:cs="Arial"/>
          <w:b/>
          <w:szCs w:val="22"/>
        </w:rPr>
      </w:pPr>
      <w:r>
        <w:rPr>
          <w:rFonts w:cs="Arial" w:ascii="Arial" w:hAnsi="Arial"/>
          <w:b/>
          <w:szCs w:val="22"/>
        </w:rPr>
        <w:t>dlhodobý majetok, pri ktorom vlastnícke právo nadobudol veriteľ zmluvou o zabezpečovacom prevode práva, ale ktorý užíva účtovná jednotka na základe zmluvy o výpožičke</w:t>
      </w:r>
    </w:p>
    <w:p>
      <w:pPr>
        <w:pStyle w:val="Normal"/>
        <w:bidi w:val="0"/>
        <w:jc w:val="both"/>
        <w:rPr>
          <w:rFonts w:ascii="Arial" w:hAnsi="Arial" w:cs="Arial"/>
          <w:szCs w:val="22"/>
        </w:rPr>
      </w:pPr>
      <w:r>
        <w:rPr>
          <w:rFonts w:cs="Arial" w:ascii="Arial" w:hAnsi="Arial"/>
          <w:szCs w:val="22"/>
        </w:rPr>
        <w:t>Spoločnosť nie je majiteľom dlhodobého majetku, pri ktorom vlastnícke právo nadobudol veriteľ zmluvou o zabezpečovacom prevode práva.</w:t>
      </w:r>
    </w:p>
    <w:p>
      <w:pPr>
        <w:pStyle w:val="Normal"/>
        <w:bidi w:val="0"/>
        <w:jc w:val="both"/>
        <w:rPr>
          <w:rFonts w:ascii="Arial" w:hAnsi="Arial" w:cs="Arial"/>
          <w:szCs w:val="22"/>
        </w:rPr>
      </w:pPr>
      <w:r>
        <w:rPr/>
      </w:r>
    </w:p>
    <w:p>
      <w:pPr>
        <w:pStyle w:val="Normal"/>
        <w:bidi w:val="0"/>
        <w:jc w:val="both"/>
        <w:rPr>
          <w:rFonts w:ascii="Arial" w:hAnsi="Arial" w:cs="Arial"/>
          <w:b/>
          <w:szCs w:val="22"/>
        </w:rPr>
      </w:pPr>
      <w:r>
        <w:rPr>
          <w:rFonts w:cs="Arial" w:ascii="Arial" w:hAnsi="Arial"/>
          <w:b/>
          <w:szCs w:val="22"/>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pPr>
        <w:pStyle w:val="Normal"/>
        <w:bidi w:val="0"/>
        <w:jc w:val="both"/>
        <w:rPr>
          <w:rFonts w:ascii="Arial" w:hAnsi="Arial" w:cs="Arial"/>
          <w:szCs w:val="22"/>
        </w:rPr>
      </w:pPr>
      <w:r>
        <w:rPr>
          <w:rFonts w:cs="Arial" w:ascii="Arial" w:hAnsi="Arial"/>
          <w:szCs w:val="22"/>
        </w:rPr>
        <w:t>Spoločnosť nie je majiteľom dlhodobého nehnuteľného majetku, pri ktorom nebolo vlastnícke právo zapísané vkladom do katastra nehnuteľnosti</w:t>
      </w:r>
    </w:p>
    <w:p>
      <w:pPr>
        <w:pStyle w:val="Normal"/>
        <w:bidi w:val="0"/>
        <w:jc w:val="both"/>
        <w:rPr>
          <w:rFonts w:ascii="Arial" w:hAnsi="Arial" w:cs="Arial"/>
          <w:szCs w:val="22"/>
        </w:rPr>
      </w:pPr>
      <w:r>
        <w:rPr/>
      </w:r>
    </w:p>
    <w:p>
      <w:pPr>
        <w:pStyle w:val="Normal"/>
        <w:bidi w:val="0"/>
        <w:jc w:val="left"/>
        <w:rPr>
          <w:rFonts w:ascii="Arial" w:hAnsi="Arial" w:cs="Arial"/>
          <w:b/>
          <w:szCs w:val="22"/>
        </w:rPr>
      </w:pPr>
      <w:r>
        <w:rPr>
          <w:rFonts w:cs="Arial" w:ascii="Arial" w:hAnsi="Arial"/>
          <w:b/>
          <w:szCs w:val="22"/>
        </w:rPr>
        <w:t>majetok, ktorým je goodwill a o spôsobe výpočtu jeho hodnoty</w:t>
      </w:r>
    </w:p>
    <w:p>
      <w:pPr>
        <w:pStyle w:val="Normal"/>
        <w:bidi w:val="0"/>
        <w:jc w:val="left"/>
        <w:rPr>
          <w:rFonts w:ascii="Arial" w:hAnsi="Arial" w:cs="Arial"/>
          <w:szCs w:val="22"/>
        </w:rPr>
      </w:pPr>
      <w:r>
        <w:rPr>
          <w:rFonts w:cs="Arial" w:ascii="Arial" w:hAnsi="Arial"/>
          <w:szCs w:val="22"/>
        </w:rPr>
        <w:t>Spoločnosť goodwill nemá.</w:t>
      </w:r>
    </w:p>
    <w:p>
      <w:pPr>
        <w:pStyle w:val="Normal"/>
        <w:bidi w:val="0"/>
        <w:jc w:val="left"/>
        <w:rPr>
          <w:rFonts w:ascii="Arial" w:hAnsi="Arial" w:cs="Arial"/>
          <w:szCs w:val="22"/>
        </w:rPr>
      </w:pPr>
      <w:r>
        <w:rPr/>
      </w:r>
    </w:p>
    <w:p>
      <w:pPr>
        <w:pStyle w:val="Normal"/>
        <w:bidi w:val="0"/>
        <w:jc w:val="left"/>
        <w:rPr>
          <w:rFonts w:ascii="Arial" w:hAnsi="Arial" w:cs="Arial"/>
          <w:b/>
          <w:szCs w:val="22"/>
        </w:rPr>
      </w:pPr>
      <w:r>
        <w:rPr>
          <w:rFonts w:cs="Arial" w:ascii="Arial" w:hAnsi="Arial"/>
          <w:b/>
          <w:szCs w:val="22"/>
        </w:rPr>
        <w:t>údaje, ktoré sa účtujú na účte 097 – opravná položka k nadobudnutému majetku</w:t>
      </w:r>
    </w:p>
    <w:p>
      <w:pPr>
        <w:pStyle w:val="Normal"/>
        <w:bidi w:val="0"/>
        <w:jc w:val="left"/>
        <w:rPr>
          <w:rFonts w:ascii="Arial" w:hAnsi="Arial" w:cs="Arial"/>
          <w:szCs w:val="22"/>
        </w:rPr>
      </w:pPr>
      <w:r>
        <w:rPr>
          <w:rFonts w:cs="Arial" w:ascii="Arial" w:hAnsi="Arial"/>
          <w:szCs w:val="22"/>
        </w:rPr>
        <w:t>Spoločnosť netvorilo žiadne opravné položky k nadobudnutému majetku.</w:t>
      </w:r>
    </w:p>
    <w:p>
      <w:pPr>
        <w:pStyle w:val="Normal"/>
        <w:bidi w:val="0"/>
        <w:jc w:val="left"/>
        <w:rPr>
          <w:rFonts w:ascii="Arial" w:hAnsi="Arial" w:cs="Arial"/>
          <w:szCs w:val="22"/>
        </w:rPr>
      </w:pPr>
      <w:r>
        <w:rPr/>
      </w:r>
    </w:p>
    <w:p>
      <w:pPr>
        <w:pStyle w:val="Normal"/>
        <w:bidi w:val="0"/>
        <w:jc w:val="left"/>
        <w:rPr>
          <w:rFonts w:ascii="Arial" w:hAnsi="Arial" w:cs="Arial"/>
          <w:b/>
          <w:szCs w:val="22"/>
        </w:rPr>
      </w:pPr>
      <w:r>
        <w:rPr>
          <w:rFonts w:cs="Arial" w:ascii="Arial" w:hAnsi="Arial"/>
          <w:b/>
          <w:szCs w:val="22"/>
        </w:rPr>
        <w:t>výskumná a vývojová činnosť</w:t>
      </w:r>
    </w:p>
    <w:p>
      <w:pPr>
        <w:pStyle w:val="Normal"/>
        <w:bidi w:val="0"/>
        <w:jc w:val="left"/>
        <w:rPr>
          <w:rFonts w:ascii="Arial" w:hAnsi="Arial" w:cs="Arial"/>
        </w:rPr>
      </w:pPr>
      <w:r>
        <w:rPr>
          <w:rFonts w:cs="Arial" w:ascii="Arial" w:hAnsi="Arial"/>
          <w:szCs w:val="22"/>
        </w:rPr>
        <w:t>Spoločnosť nevykonáva žiadnu výskumnú a vývojovú činnosť</w:t>
      </w:r>
      <w:r>
        <w:rPr>
          <w:rFonts w:cs="Arial" w:ascii="Arial" w:hAnsi="Arial"/>
        </w:rPr>
        <w:t>.</w:t>
      </w:r>
    </w:p>
    <w:p>
      <w:pPr>
        <w:pStyle w:val="Normal"/>
        <w:bidi w:val="0"/>
        <w:jc w:val="left"/>
        <w:rPr>
          <w:rFonts w:ascii="Arial" w:hAnsi="Arial" w:cs="Arial"/>
        </w:rPr>
      </w:pPr>
      <w:r>
        <w:rPr>
          <w:rFonts w:cs="Arial" w:ascii="Arial" w:hAnsi="Arial"/>
        </w:rPr>
      </w:r>
    </w:p>
    <w:p>
      <w:pPr>
        <w:pStyle w:val="Nzov"/>
        <w:numPr>
          <w:ilvl w:val="0"/>
          <w:numId w:val="6"/>
        </w:numPr>
        <w:bidi w:val="0"/>
        <w:spacing w:beforeAutospacing="0" w:before="0" w:after="0"/>
        <w:jc w:val="left"/>
        <w:rPr>
          <w:szCs w:val="22"/>
        </w:rPr>
      </w:pPr>
      <w:r>
        <w:rPr>
          <w:szCs w:val="22"/>
        </w:rPr>
        <w:t>Informácie k prílohe č. 3 časti F. písm. a) o dlhodobom hmotnom majetku</w:t>
        <w:tab/>
      </w:r>
    </w:p>
    <w:p>
      <w:pPr>
        <w:pStyle w:val="Normal"/>
        <w:bidi w:val="0"/>
        <w:spacing w:lineRule="auto" w:line="240" w:before="0" w:after="0"/>
        <w:jc w:val="left"/>
        <w:rPr>
          <w:szCs w:val="22"/>
        </w:rPr>
      </w:pPr>
      <w:r>
        <w:rPr/>
        <w:t>T</w:t>
      </w:r>
      <w:r>
        <w:rPr>
          <w:szCs w:val="22"/>
        </w:rPr>
        <w:t>abuľka č. 1</w:t>
      </w:r>
    </w:p>
    <w:tbl>
      <w:tblPr>
        <w:tblW w:w="5000" w:type="pct"/>
        <w:jc w:val="center"/>
        <w:tblInd w:w="0" w:type="dxa"/>
        <w:tblLayout w:type="fixed"/>
        <w:tblCellMar>
          <w:top w:w="0" w:type="dxa"/>
          <w:left w:w="30" w:type="dxa"/>
          <w:bottom w:w="0" w:type="dxa"/>
          <w:right w:w="30" w:type="dxa"/>
        </w:tblCellMar>
        <w:tblLook w:firstRow="1" w:noVBand="1" w:lastRow="0" w:firstColumn="1" w:lastColumn="0" w:noHBand="0" w:val="04a0"/>
      </w:tblPr>
      <w:tblGrid>
        <w:gridCol w:w="1609"/>
        <w:gridCol w:w="11"/>
        <w:gridCol w:w="3"/>
        <w:gridCol w:w="1064"/>
        <w:gridCol w:w="890"/>
        <w:gridCol w:w="753"/>
        <w:gridCol w:w="11"/>
        <w:gridCol w:w="124"/>
        <w:gridCol w:w="1034"/>
        <w:gridCol w:w="21"/>
        <w:gridCol w:w="1013"/>
        <w:gridCol w:w="59"/>
        <w:gridCol w:w="680"/>
        <w:gridCol w:w="740"/>
        <w:gridCol w:w="886"/>
        <w:gridCol w:w="739"/>
      </w:tblGrid>
      <w:tr>
        <w:trPr>
          <w:trHeight w:val="145" w:hRule="atLeast"/>
        </w:trPr>
        <w:tc>
          <w:tcPr>
            <w:tcW w:w="1609" w:type="dxa"/>
            <w:vMerge w:val="restart"/>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Dlhodobý hmotný majetok</w:t>
            </w:r>
          </w:p>
        </w:tc>
        <w:tc>
          <w:tcPr>
            <w:tcW w:w="8028" w:type="dxa"/>
            <w:gridSpan w:val="15"/>
            <w:tcBorders>
              <w:top w:val="single" w:sz="12" w:space="0" w:color="000000"/>
              <w:left w:val="single" w:sz="12" w:space="0" w:color="000000"/>
              <w:right w:val="single" w:sz="12" w:space="0" w:color="000000"/>
            </w:tcBorders>
          </w:tcPr>
          <w:p>
            <w:pPr>
              <w:pStyle w:val="Normal"/>
              <w:widowControl w:val="false"/>
              <w:bidi w:val="0"/>
              <w:spacing w:lineRule="auto" w:line="240" w:before="0" w:after="0"/>
              <w:jc w:val="center"/>
              <w:rPr>
                <w:b/>
                <w:bCs/>
                <w:szCs w:val="22"/>
              </w:rPr>
            </w:pPr>
            <w:r>
              <w:rPr>
                <w:b/>
                <w:bCs/>
                <w:szCs w:val="22"/>
              </w:rPr>
              <w:t>Bežné účtovné obdobie</w:t>
            </w:r>
          </w:p>
        </w:tc>
      </w:tr>
      <w:tr>
        <w:trPr>
          <w:trHeight w:val="1537" w:hRule="atLeast"/>
        </w:trPr>
        <w:tc>
          <w:tcPr>
            <w:tcW w:w="1609"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078" w:type="dxa"/>
            <w:gridSpan w:val="3"/>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Pozemky</w:t>
            </w:r>
          </w:p>
        </w:tc>
        <w:tc>
          <w:tcPr>
            <w:tcW w:w="890"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Stavby</w:t>
            </w:r>
          </w:p>
        </w:tc>
        <w:tc>
          <w:tcPr>
            <w:tcW w:w="888" w:type="dxa"/>
            <w:gridSpan w:val="3"/>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Samos-tatné hnuteľ-né veci a</w:t>
            </w:r>
          </w:p>
          <w:p>
            <w:pPr>
              <w:pStyle w:val="Normal"/>
              <w:widowControl w:val="false"/>
              <w:bidi w:val="0"/>
              <w:spacing w:lineRule="auto" w:line="240" w:before="0" w:after="0"/>
              <w:jc w:val="center"/>
              <w:rPr>
                <w:b/>
                <w:bCs/>
                <w:szCs w:val="22"/>
              </w:rPr>
            </w:pPr>
            <w:r>
              <w:rPr>
                <w:b/>
                <w:bCs/>
                <w:szCs w:val="22"/>
              </w:rPr>
              <w:t>súbory hnuteľ-ných vecí</w:t>
            </w:r>
          </w:p>
        </w:tc>
        <w:tc>
          <w:tcPr>
            <w:tcW w:w="1034"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Pestova-teľské celky</w:t>
              <w:br/>
              <w:t xml:space="preserve"> trvalých porastov</w:t>
            </w:r>
          </w:p>
        </w:tc>
        <w:tc>
          <w:tcPr>
            <w:tcW w:w="1034" w:type="dxa"/>
            <w:gridSpan w:val="2"/>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Základné stádo a ťažné zvieratá</w:t>
            </w:r>
          </w:p>
        </w:tc>
        <w:tc>
          <w:tcPr>
            <w:tcW w:w="739" w:type="dxa"/>
            <w:gridSpan w:val="2"/>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Os-tatný DHM</w:t>
            </w:r>
          </w:p>
        </w:tc>
        <w:tc>
          <w:tcPr>
            <w:tcW w:w="740"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Ob-stará-vaný DHM</w:t>
            </w:r>
          </w:p>
        </w:tc>
        <w:tc>
          <w:tcPr>
            <w:tcW w:w="886"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Poskyt-nuté pred-davky na</w:t>
            </w:r>
          </w:p>
          <w:p>
            <w:pPr>
              <w:pStyle w:val="Normal"/>
              <w:widowControl w:val="false"/>
              <w:bidi w:val="0"/>
              <w:spacing w:lineRule="auto" w:line="240" w:before="0" w:after="0"/>
              <w:jc w:val="center"/>
              <w:rPr>
                <w:b/>
                <w:bCs/>
                <w:szCs w:val="22"/>
              </w:rPr>
            </w:pPr>
            <w:r>
              <w:rPr>
                <w:b/>
                <w:bCs/>
                <w:szCs w:val="22"/>
              </w:rPr>
              <w:t>DHM</w:t>
            </w:r>
          </w:p>
        </w:tc>
        <w:tc>
          <w:tcPr>
            <w:tcW w:w="739"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Spolu</w:t>
            </w:r>
          </w:p>
        </w:tc>
      </w:tr>
      <w:tr>
        <w:trPr>
          <w:trHeight w:val="155" w:hRule="atLeast"/>
        </w:trPr>
        <w:tc>
          <w:tcPr>
            <w:tcW w:w="1609"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A</w:t>
            </w:r>
          </w:p>
        </w:tc>
        <w:tc>
          <w:tcPr>
            <w:tcW w:w="1078" w:type="dxa"/>
            <w:gridSpan w:val="3"/>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b</w:t>
            </w:r>
          </w:p>
        </w:tc>
        <w:tc>
          <w:tcPr>
            <w:tcW w:w="890"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c</w:t>
            </w:r>
          </w:p>
        </w:tc>
        <w:tc>
          <w:tcPr>
            <w:tcW w:w="888" w:type="dxa"/>
            <w:gridSpan w:val="3"/>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d</w:t>
            </w:r>
          </w:p>
        </w:tc>
        <w:tc>
          <w:tcPr>
            <w:tcW w:w="103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e</w:t>
            </w:r>
          </w:p>
        </w:tc>
        <w:tc>
          <w:tcPr>
            <w:tcW w:w="1034" w:type="dxa"/>
            <w:gridSpan w:val="2"/>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F</w:t>
            </w:r>
          </w:p>
        </w:tc>
        <w:tc>
          <w:tcPr>
            <w:tcW w:w="739" w:type="dxa"/>
            <w:gridSpan w:val="2"/>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g</w:t>
            </w:r>
          </w:p>
        </w:tc>
        <w:tc>
          <w:tcPr>
            <w:tcW w:w="740"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h</w:t>
            </w:r>
          </w:p>
        </w:tc>
        <w:tc>
          <w:tcPr>
            <w:tcW w:w="886"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i</w:t>
            </w:r>
          </w:p>
        </w:tc>
        <w:tc>
          <w:tcPr>
            <w:tcW w:w="739"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j</w:t>
            </w:r>
          </w:p>
        </w:tc>
      </w:tr>
      <w:tr>
        <w:trPr>
          <w:trHeight w:val="278" w:hRule="atLeast"/>
        </w:trPr>
        <w:tc>
          <w:tcPr>
            <w:tcW w:w="9637" w:type="dxa"/>
            <w:gridSpan w:val="1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Prvotné ocenenie</w:t>
            </w:r>
          </w:p>
        </w:tc>
      </w:tr>
      <w:tr>
        <w:trPr>
          <w:trHeight w:val="278" w:hRule="atLeast"/>
        </w:trPr>
        <w:tc>
          <w:tcPr>
            <w:tcW w:w="1620" w:type="dxa"/>
            <w:gridSpan w:val="2"/>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w:t>
              <w:br/>
              <w:t>na začiatku účtovného obdobia</w:t>
            </w:r>
          </w:p>
        </w:tc>
        <w:tc>
          <w:tcPr>
            <w:tcW w:w="1067" w:type="dxa"/>
            <w:gridSpan w:val="2"/>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34"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93" w:type="dxa"/>
            <w:gridSpan w:val="3"/>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278" w:hRule="atLeast"/>
        </w:trPr>
        <w:tc>
          <w:tcPr>
            <w:tcW w:w="1620" w:type="dxa"/>
            <w:gridSpan w:val="2"/>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67" w:type="dxa"/>
            <w:gridSpan w:val="2"/>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34"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93" w:type="dxa"/>
            <w:gridSpan w:val="3"/>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278" w:hRule="atLeast"/>
        </w:trPr>
        <w:tc>
          <w:tcPr>
            <w:tcW w:w="9637" w:type="dxa"/>
            <w:gridSpan w:val="1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Oprávky</w:t>
            </w:r>
          </w:p>
        </w:tc>
      </w:tr>
      <w:tr>
        <w:trPr>
          <w:trHeight w:val="278" w:hRule="atLeast"/>
        </w:trPr>
        <w:tc>
          <w:tcPr>
            <w:tcW w:w="1620" w:type="dxa"/>
            <w:gridSpan w:val="2"/>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w:t>
              <w:br/>
              <w:t>na začiatku účtovného obdobia</w:t>
            </w:r>
          </w:p>
        </w:tc>
        <w:tc>
          <w:tcPr>
            <w:tcW w:w="1067" w:type="dxa"/>
            <w:gridSpan w:val="2"/>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55"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72"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7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7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7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278" w:hRule="atLeast"/>
        </w:trPr>
        <w:tc>
          <w:tcPr>
            <w:tcW w:w="1620" w:type="dxa"/>
            <w:gridSpan w:val="2"/>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67" w:type="dxa"/>
            <w:gridSpan w:val="2"/>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55"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72"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278" w:hRule="atLeast"/>
        </w:trPr>
        <w:tc>
          <w:tcPr>
            <w:tcW w:w="9637" w:type="dxa"/>
            <w:gridSpan w:val="1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Opravné položky</w:t>
            </w:r>
          </w:p>
        </w:tc>
      </w:tr>
      <w:tr>
        <w:trPr>
          <w:trHeight w:val="278" w:hRule="atLeast"/>
        </w:trPr>
        <w:tc>
          <w:tcPr>
            <w:tcW w:w="1609"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w:t>
              <w:br/>
              <w:t>na začiatku účtovného obdobia</w:t>
            </w:r>
          </w:p>
        </w:tc>
        <w:tc>
          <w:tcPr>
            <w:tcW w:w="1078" w:type="dxa"/>
            <w:gridSpan w:val="3"/>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64"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158"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93" w:type="dxa"/>
            <w:gridSpan w:val="3"/>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1609"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78" w:type="dxa"/>
            <w:gridSpan w:val="3"/>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5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09"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78" w:type="dxa"/>
            <w:gridSpan w:val="3"/>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5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09"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78" w:type="dxa"/>
            <w:gridSpan w:val="3"/>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5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09"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78" w:type="dxa"/>
            <w:gridSpan w:val="3"/>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64"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158"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93" w:type="dxa"/>
            <w:gridSpan w:val="3"/>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278" w:hRule="atLeast"/>
        </w:trPr>
        <w:tc>
          <w:tcPr>
            <w:tcW w:w="9637" w:type="dxa"/>
            <w:gridSpan w:val="1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Zostatková hodnota</w:t>
            </w:r>
          </w:p>
        </w:tc>
      </w:tr>
      <w:tr>
        <w:trPr>
          <w:trHeight w:val="278" w:hRule="atLeast"/>
        </w:trPr>
        <w:tc>
          <w:tcPr>
            <w:tcW w:w="1623" w:type="dxa"/>
            <w:gridSpan w:val="3"/>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w:t>
              <w:br/>
              <w:t>na začiatku účtovného obdobia</w:t>
            </w:r>
          </w:p>
        </w:tc>
        <w:tc>
          <w:tcPr>
            <w:tcW w:w="1064" w:type="dxa"/>
            <w:tcBorders>
              <w:top w:val="single" w:sz="12"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53"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190" w:type="dxa"/>
            <w:gridSpan w:val="4"/>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72" w:type="dxa"/>
            <w:gridSpan w:val="2"/>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12"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290" w:hRule="atLeast"/>
        </w:trPr>
        <w:tc>
          <w:tcPr>
            <w:tcW w:w="1623" w:type="dxa"/>
            <w:gridSpan w:val="3"/>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64" w:type="dxa"/>
            <w:tcBorders>
              <w:top w:val="single" w:sz="12"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53"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190" w:type="dxa"/>
            <w:gridSpan w:val="4"/>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72" w:type="dxa"/>
            <w:gridSpan w:val="2"/>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80"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12"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bl>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t>Tabuľka č. 2</w:t>
      </w:r>
    </w:p>
    <w:tbl>
      <w:tblPr>
        <w:tblW w:w="5000" w:type="pct"/>
        <w:jc w:val="center"/>
        <w:tblInd w:w="0" w:type="dxa"/>
        <w:tblLayout w:type="fixed"/>
        <w:tblCellMar>
          <w:top w:w="0" w:type="dxa"/>
          <w:left w:w="30" w:type="dxa"/>
          <w:bottom w:w="0" w:type="dxa"/>
          <w:right w:w="30" w:type="dxa"/>
        </w:tblCellMar>
        <w:tblLook w:firstRow="1" w:noVBand="1" w:lastRow="0" w:firstColumn="1" w:lastColumn="0" w:noHBand="0" w:val="04a0"/>
      </w:tblPr>
      <w:tblGrid>
        <w:gridCol w:w="1609"/>
        <w:gridCol w:w="11"/>
        <w:gridCol w:w="3"/>
        <w:gridCol w:w="1064"/>
        <w:gridCol w:w="890"/>
        <w:gridCol w:w="753"/>
        <w:gridCol w:w="11"/>
        <w:gridCol w:w="124"/>
        <w:gridCol w:w="1034"/>
        <w:gridCol w:w="21"/>
        <w:gridCol w:w="1005"/>
        <w:gridCol w:w="8"/>
        <w:gridCol w:w="739"/>
        <w:gridCol w:w="740"/>
        <w:gridCol w:w="886"/>
        <w:gridCol w:w="739"/>
      </w:tblGrid>
      <w:tr>
        <w:trPr>
          <w:trHeight w:val="145" w:hRule="atLeast"/>
        </w:trPr>
        <w:tc>
          <w:tcPr>
            <w:tcW w:w="1609" w:type="dxa"/>
            <w:vMerge w:val="restart"/>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Dlhodobý hmotný majetok</w:t>
            </w:r>
          </w:p>
        </w:tc>
        <w:tc>
          <w:tcPr>
            <w:tcW w:w="8028" w:type="dxa"/>
            <w:gridSpan w:val="15"/>
            <w:tcBorders>
              <w:top w:val="single" w:sz="12" w:space="0" w:color="000000"/>
              <w:left w:val="single" w:sz="12" w:space="0" w:color="000000"/>
              <w:right w:val="single" w:sz="12" w:space="0" w:color="000000"/>
            </w:tcBorders>
          </w:tcPr>
          <w:p>
            <w:pPr>
              <w:pStyle w:val="Normal"/>
              <w:widowControl w:val="false"/>
              <w:bidi w:val="0"/>
              <w:spacing w:lineRule="auto" w:line="240" w:before="0" w:after="0"/>
              <w:jc w:val="center"/>
              <w:rPr>
                <w:b/>
                <w:bCs/>
                <w:szCs w:val="22"/>
              </w:rPr>
            </w:pPr>
            <w:r>
              <w:rPr>
                <w:b/>
                <w:bCs/>
                <w:szCs w:val="22"/>
              </w:rPr>
              <w:t>Bezprostredne predchádzajúce účtovné obdobie</w:t>
            </w:r>
          </w:p>
        </w:tc>
      </w:tr>
      <w:tr>
        <w:trPr>
          <w:trHeight w:val="1537" w:hRule="atLeast"/>
        </w:trPr>
        <w:tc>
          <w:tcPr>
            <w:tcW w:w="1609"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078" w:type="dxa"/>
            <w:gridSpan w:val="3"/>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Pozemky</w:t>
            </w:r>
          </w:p>
        </w:tc>
        <w:tc>
          <w:tcPr>
            <w:tcW w:w="890"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Stavby</w:t>
            </w:r>
          </w:p>
        </w:tc>
        <w:tc>
          <w:tcPr>
            <w:tcW w:w="888" w:type="dxa"/>
            <w:gridSpan w:val="3"/>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Samos-tatné hnuteľ-né veci a</w:t>
            </w:r>
          </w:p>
          <w:p>
            <w:pPr>
              <w:pStyle w:val="Normal"/>
              <w:widowControl w:val="false"/>
              <w:bidi w:val="0"/>
              <w:spacing w:lineRule="auto" w:line="240" w:before="0" w:after="0"/>
              <w:jc w:val="center"/>
              <w:rPr>
                <w:b/>
                <w:bCs/>
                <w:szCs w:val="22"/>
              </w:rPr>
            </w:pPr>
            <w:r>
              <w:rPr>
                <w:b/>
                <w:bCs/>
                <w:szCs w:val="22"/>
              </w:rPr>
              <w:t>súbory hnuteľ-ných vecí</w:t>
            </w:r>
          </w:p>
        </w:tc>
        <w:tc>
          <w:tcPr>
            <w:tcW w:w="1034"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Pestova-teľské celky</w:t>
              <w:br/>
              <w:t xml:space="preserve"> trvalých porastov</w:t>
            </w:r>
          </w:p>
        </w:tc>
        <w:tc>
          <w:tcPr>
            <w:tcW w:w="1034" w:type="dxa"/>
            <w:gridSpan w:val="3"/>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Základné stádo a ťažné zvieratá</w:t>
            </w:r>
          </w:p>
        </w:tc>
        <w:tc>
          <w:tcPr>
            <w:tcW w:w="739"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Os-tatný DHM</w:t>
            </w:r>
          </w:p>
        </w:tc>
        <w:tc>
          <w:tcPr>
            <w:tcW w:w="740"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Ob-stará-vaný DHM</w:t>
            </w:r>
          </w:p>
        </w:tc>
        <w:tc>
          <w:tcPr>
            <w:tcW w:w="886"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Poskyt-nuté pred-davky na</w:t>
            </w:r>
          </w:p>
          <w:p>
            <w:pPr>
              <w:pStyle w:val="Normal"/>
              <w:widowControl w:val="false"/>
              <w:bidi w:val="0"/>
              <w:spacing w:lineRule="auto" w:line="240" w:before="0" w:after="0"/>
              <w:jc w:val="center"/>
              <w:rPr>
                <w:b/>
                <w:bCs/>
                <w:szCs w:val="22"/>
              </w:rPr>
            </w:pPr>
            <w:r>
              <w:rPr>
                <w:b/>
                <w:bCs/>
                <w:szCs w:val="22"/>
              </w:rPr>
              <w:t>DHM</w:t>
            </w:r>
          </w:p>
        </w:tc>
        <w:tc>
          <w:tcPr>
            <w:tcW w:w="739"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Spolu</w:t>
            </w:r>
          </w:p>
        </w:tc>
      </w:tr>
      <w:tr>
        <w:trPr>
          <w:trHeight w:val="155" w:hRule="atLeast"/>
        </w:trPr>
        <w:tc>
          <w:tcPr>
            <w:tcW w:w="1609"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a</w:t>
            </w:r>
          </w:p>
        </w:tc>
        <w:tc>
          <w:tcPr>
            <w:tcW w:w="1078" w:type="dxa"/>
            <w:gridSpan w:val="3"/>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b</w:t>
            </w:r>
          </w:p>
        </w:tc>
        <w:tc>
          <w:tcPr>
            <w:tcW w:w="890"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c</w:t>
            </w:r>
          </w:p>
        </w:tc>
        <w:tc>
          <w:tcPr>
            <w:tcW w:w="888" w:type="dxa"/>
            <w:gridSpan w:val="3"/>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d</w:t>
            </w:r>
          </w:p>
        </w:tc>
        <w:tc>
          <w:tcPr>
            <w:tcW w:w="103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e</w:t>
            </w:r>
          </w:p>
        </w:tc>
        <w:tc>
          <w:tcPr>
            <w:tcW w:w="1034" w:type="dxa"/>
            <w:gridSpan w:val="3"/>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f</w:t>
            </w:r>
          </w:p>
        </w:tc>
        <w:tc>
          <w:tcPr>
            <w:tcW w:w="739"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g</w:t>
            </w:r>
          </w:p>
        </w:tc>
        <w:tc>
          <w:tcPr>
            <w:tcW w:w="740"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h</w:t>
            </w:r>
          </w:p>
        </w:tc>
        <w:tc>
          <w:tcPr>
            <w:tcW w:w="886"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i</w:t>
            </w:r>
          </w:p>
        </w:tc>
        <w:tc>
          <w:tcPr>
            <w:tcW w:w="739"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bCs/>
                <w:szCs w:val="22"/>
              </w:rPr>
            </w:pPr>
            <w:r>
              <w:rPr>
                <w:bCs/>
                <w:szCs w:val="22"/>
              </w:rPr>
              <w:t>j</w:t>
            </w:r>
          </w:p>
        </w:tc>
      </w:tr>
      <w:tr>
        <w:trPr>
          <w:trHeight w:val="278" w:hRule="atLeast"/>
        </w:trPr>
        <w:tc>
          <w:tcPr>
            <w:tcW w:w="9637" w:type="dxa"/>
            <w:gridSpan w:val="1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Prvotné ocenenie</w:t>
            </w:r>
          </w:p>
        </w:tc>
      </w:tr>
      <w:tr>
        <w:trPr>
          <w:trHeight w:val="278" w:hRule="atLeast"/>
        </w:trPr>
        <w:tc>
          <w:tcPr>
            <w:tcW w:w="1620" w:type="dxa"/>
            <w:gridSpan w:val="2"/>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w:t>
              <w:br/>
              <w:t>na začiatku účtovného obdobia</w:t>
            </w:r>
          </w:p>
        </w:tc>
        <w:tc>
          <w:tcPr>
            <w:tcW w:w="1067" w:type="dxa"/>
            <w:gridSpan w:val="2"/>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34"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6"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1620" w:type="dxa"/>
            <w:gridSpan w:val="2"/>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67" w:type="dxa"/>
            <w:gridSpan w:val="2"/>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34"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6"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278" w:hRule="atLeast"/>
        </w:trPr>
        <w:tc>
          <w:tcPr>
            <w:tcW w:w="9637" w:type="dxa"/>
            <w:gridSpan w:val="1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Oprávky</w:t>
            </w:r>
          </w:p>
        </w:tc>
      </w:tr>
      <w:tr>
        <w:trPr>
          <w:trHeight w:val="278" w:hRule="atLeast"/>
        </w:trPr>
        <w:tc>
          <w:tcPr>
            <w:tcW w:w="1620" w:type="dxa"/>
            <w:gridSpan w:val="2"/>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w:t>
              <w:br/>
              <w:t>na začiatku účtovného obdobia</w:t>
            </w:r>
          </w:p>
        </w:tc>
        <w:tc>
          <w:tcPr>
            <w:tcW w:w="1067" w:type="dxa"/>
            <w:gridSpan w:val="2"/>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55"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0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20" w:type="dxa"/>
            <w:gridSpan w:val="2"/>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67" w:type="dxa"/>
            <w:gridSpan w:val="2"/>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1620" w:type="dxa"/>
            <w:gridSpan w:val="2"/>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67" w:type="dxa"/>
            <w:gridSpan w:val="2"/>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8" w:type="dxa"/>
            <w:gridSpan w:val="3"/>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055"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0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278" w:hRule="atLeast"/>
        </w:trPr>
        <w:tc>
          <w:tcPr>
            <w:tcW w:w="9637" w:type="dxa"/>
            <w:gridSpan w:val="1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Opravné položky</w:t>
            </w:r>
          </w:p>
        </w:tc>
      </w:tr>
      <w:tr>
        <w:trPr>
          <w:trHeight w:val="278" w:hRule="atLeast"/>
        </w:trPr>
        <w:tc>
          <w:tcPr>
            <w:tcW w:w="1609"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w:t>
              <w:br/>
              <w:t>na začiatku účtovného obdobia</w:t>
            </w:r>
          </w:p>
        </w:tc>
        <w:tc>
          <w:tcPr>
            <w:tcW w:w="1078" w:type="dxa"/>
            <w:gridSpan w:val="3"/>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64"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158"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6"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1609"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078" w:type="dxa"/>
            <w:gridSpan w:val="3"/>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5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09"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078" w:type="dxa"/>
            <w:gridSpan w:val="3"/>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5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09"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078" w:type="dxa"/>
            <w:gridSpan w:val="3"/>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5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09"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78" w:type="dxa"/>
            <w:gridSpan w:val="3"/>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64"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158"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26"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278" w:hRule="atLeast"/>
        </w:trPr>
        <w:tc>
          <w:tcPr>
            <w:tcW w:w="9637" w:type="dxa"/>
            <w:gridSpan w:val="1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Zostatková hodnota</w:t>
            </w:r>
          </w:p>
        </w:tc>
      </w:tr>
      <w:tr>
        <w:trPr>
          <w:trHeight w:val="278" w:hRule="atLeast"/>
        </w:trPr>
        <w:tc>
          <w:tcPr>
            <w:tcW w:w="1623" w:type="dxa"/>
            <w:gridSpan w:val="3"/>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w:t>
              <w:br/>
              <w:t>na začiatku účtovného obdobia</w:t>
            </w:r>
          </w:p>
        </w:tc>
        <w:tc>
          <w:tcPr>
            <w:tcW w:w="1064" w:type="dxa"/>
            <w:tcBorders>
              <w:top w:val="single" w:sz="12"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53"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190" w:type="dxa"/>
            <w:gridSpan w:val="4"/>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05"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12"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290" w:hRule="atLeast"/>
        </w:trPr>
        <w:tc>
          <w:tcPr>
            <w:tcW w:w="1623" w:type="dxa"/>
            <w:gridSpan w:val="3"/>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064" w:type="dxa"/>
            <w:tcBorders>
              <w:top w:val="single" w:sz="12"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90"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53"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1190" w:type="dxa"/>
            <w:gridSpan w:val="4"/>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05"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7" w:type="dxa"/>
            <w:gridSpan w:val="2"/>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0"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6"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39" w:type="dxa"/>
            <w:tcBorders>
              <w:top w:val="single" w:sz="12"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bl>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r>
    </w:p>
    <w:p>
      <w:pPr>
        <w:pStyle w:val="ListParagraph"/>
        <w:numPr>
          <w:ilvl w:val="0"/>
          <w:numId w:val="6"/>
        </w:numPr>
        <w:bidi w:val="0"/>
        <w:spacing w:lineRule="auto" w:line="240" w:before="0" w:after="0"/>
        <w:contextualSpacing/>
        <w:jc w:val="left"/>
        <w:rPr>
          <w:b/>
          <w:szCs w:val="22"/>
        </w:rPr>
      </w:pPr>
      <w:r>
        <w:rPr>
          <w:b/>
          <w:szCs w:val="22"/>
        </w:rPr>
        <w:t xml:space="preserve">Informácie k prílohe č. 3 časti F. písm. c) o dlhodobom hmotnom majetku </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6449"/>
        <w:gridCol w:w="3188"/>
      </w:tblGrid>
      <w:tr>
        <w:trPr/>
        <w:tc>
          <w:tcPr>
            <w:tcW w:w="6449" w:type="dxa"/>
            <w:tcBorders>
              <w:top w:val="single" w:sz="12" w:space="0" w:color="000000"/>
              <w:left w:val="single" w:sz="12" w:space="0" w:color="000000"/>
              <w:right w:val="single" w:sz="12" w:space="0" w:color="000000"/>
            </w:tcBorders>
            <w:vAlign w:val="center"/>
          </w:tcPr>
          <w:p>
            <w:pPr>
              <w:pStyle w:val="TopHeader"/>
              <w:widowControl w:val="false"/>
              <w:bidi w:val="0"/>
              <w:rPr/>
            </w:pPr>
            <w:r>
              <w:rPr/>
              <w:t>Dlhodobý hmotný majetok</w:t>
            </w:r>
          </w:p>
        </w:tc>
        <w:tc>
          <w:tcPr>
            <w:tcW w:w="3188" w:type="dxa"/>
            <w:tcBorders>
              <w:top w:val="single" w:sz="12" w:space="0" w:color="000000"/>
              <w:left w:val="single" w:sz="12" w:space="0" w:color="000000"/>
              <w:right w:val="single" w:sz="12" w:space="0" w:color="000000"/>
            </w:tcBorders>
            <w:vAlign w:val="center"/>
          </w:tcPr>
          <w:p>
            <w:pPr>
              <w:pStyle w:val="TopHeader"/>
              <w:widowControl w:val="false"/>
              <w:bidi w:val="0"/>
              <w:rPr/>
            </w:pPr>
            <w:r>
              <w:rPr/>
              <w:t>Hodnota za bežné účtovné obdobie</w:t>
            </w:r>
          </w:p>
        </w:tc>
      </w:tr>
      <w:tr>
        <w:trPr>
          <w:trHeight w:val="340" w:hRule="atLeast"/>
        </w:trPr>
        <w:tc>
          <w:tcPr>
            <w:tcW w:w="6449"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Dlhodobý hmotný majetok, na ktorý je zriadené záložné právo</w:t>
            </w:r>
          </w:p>
        </w:tc>
        <w:tc>
          <w:tcPr>
            <w:tcW w:w="3188"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je</w:t>
            </w:r>
          </w:p>
        </w:tc>
      </w:tr>
    </w:tbl>
    <w:p>
      <w:pPr>
        <w:pStyle w:val="Nzov"/>
        <w:keepNext w:val="false"/>
        <w:bidi w:val="0"/>
        <w:spacing w:beforeAutospacing="0" w:before="0" w:after="0"/>
        <w:jc w:val="left"/>
        <w:rPr>
          <w:szCs w:val="22"/>
        </w:rPr>
      </w:pPr>
      <w:r>
        <w:rPr>
          <w:szCs w:val="22"/>
        </w:rPr>
      </w:r>
    </w:p>
    <w:p>
      <w:pPr>
        <w:pStyle w:val="Normal"/>
        <w:bidi w:val="0"/>
        <w:spacing w:before="0" w:after="0"/>
        <w:jc w:val="left"/>
        <w:rPr>
          <w:rFonts w:ascii="Arial" w:hAnsi="Arial" w:cs="Arial"/>
          <w:b/>
        </w:rPr>
      </w:pPr>
      <w:r>
        <w:rPr>
          <w:rFonts w:cs="Arial" w:ascii="Arial" w:hAnsi="Arial"/>
          <w:b/>
        </w:rPr>
        <w:t>štruktúra dlhodobého finančného majetku</w:t>
      </w:r>
    </w:p>
    <w:p>
      <w:pPr>
        <w:pStyle w:val="Normal"/>
        <w:bidi w:val="0"/>
        <w:spacing w:before="0" w:after="0"/>
        <w:jc w:val="left"/>
        <w:rPr>
          <w:rFonts w:ascii="Arial" w:hAnsi="Arial" w:cs="Arial"/>
        </w:rPr>
      </w:pPr>
      <w:r>
        <w:rPr>
          <w:rFonts w:cs="Arial" w:ascii="Arial" w:hAnsi="Arial"/>
        </w:rPr>
        <w:t>Spoločnosť dlhodobý finančný majetok nemá.</w:t>
      </w:r>
    </w:p>
    <w:p>
      <w:pPr>
        <w:pStyle w:val="Normal"/>
        <w:bidi w:val="0"/>
        <w:spacing w:before="0" w:after="0"/>
        <w:jc w:val="left"/>
        <w:rPr>
          <w:rFonts w:ascii="Arial" w:hAnsi="Arial" w:cs="Arial"/>
        </w:rPr>
      </w:pPr>
      <w:r>
        <w:rPr>
          <w:rFonts w:cs="Arial" w:ascii="Arial" w:hAnsi="Arial"/>
        </w:rPr>
      </w:r>
    </w:p>
    <w:p>
      <w:pPr>
        <w:pStyle w:val="Normal"/>
        <w:bidi w:val="0"/>
        <w:spacing w:before="0" w:after="0"/>
        <w:jc w:val="left"/>
        <w:rPr>
          <w:rFonts w:ascii="Arial" w:hAnsi="Arial" w:cs="Arial"/>
          <w:b/>
        </w:rPr>
      </w:pPr>
      <w:r>
        <w:rPr>
          <w:rFonts w:cs="Arial" w:ascii="Arial" w:hAnsi="Arial"/>
          <w:b/>
        </w:rPr>
        <w:t>obstarávacia cena zložiek dlhodobého finančného majetku</w:t>
      </w:r>
    </w:p>
    <w:p>
      <w:pPr>
        <w:pStyle w:val="Normal"/>
        <w:bidi w:val="0"/>
        <w:spacing w:before="0" w:after="0"/>
        <w:jc w:val="left"/>
        <w:rPr>
          <w:rFonts w:ascii="Arial" w:hAnsi="Arial" w:cs="Arial"/>
        </w:rPr>
      </w:pPr>
      <w:r>
        <w:rPr>
          <w:rFonts w:cs="Arial" w:ascii="Arial" w:hAnsi="Arial"/>
        </w:rPr>
        <w:t>Spoločnosť dlhodobý finančný majetok nemá.</w:t>
      </w:r>
    </w:p>
    <w:p>
      <w:pPr>
        <w:pStyle w:val="Normal"/>
        <w:bidi w:val="0"/>
        <w:spacing w:before="0" w:after="0"/>
        <w:jc w:val="left"/>
        <w:rPr/>
      </w:pPr>
      <w:r>
        <w:rPr/>
      </w:r>
    </w:p>
    <w:p>
      <w:pPr>
        <w:pStyle w:val="Nzov"/>
        <w:keepNext w:val="false"/>
        <w:numPr>
          <w:ilvl w:val="0"/>
          <w:numId w:val="6"/>
        </w:numPr>
        <w:bidi w:val="0"/>
        <w:spacing w:beforeAutospacing="0" w:before="0" w:after="0"/>
        <w:jc w:val="left"/>
        <w:rPr>
          <w:szCs w:val="22"/>
        </w:rPr>
      </w:pPr>
      <w:r>
        <w:rPr>
          <w:szCs w:val="22"/>
        </w:rPr>
        <w:t>Informácie k prílohe č. 3 časti F. písm. j) o  dlhodobom finančnom majetku</w:t>
      </w:r>
    </w:p>
    <w:p>
      <w:pPr>
        <w:pStyle w:val="Normal"/>
        <w:bidi w:val="0"/>
        <w:spacing w:lineRule="auto" w:line="240" w:before="0" w:after="0"/>
        <w:jc w:val="left"/>
        <w:rPr>
          <w:szCs w:val="22"/>
        </w:rPr>
      </w:pPr>
      <w:r>
        <w:rPr>
          <w:szCs w:val="22"/>
        </w:rPr>
        <w:t>Tabuľka č. 1</w:t>
      </w:r>
    </w:p>
    <w:tbl>
      <w:tblPr>
        <w:tblW w:w="5000" w:type="pct"/>
        <w:jc w:val="center"/>
        <w:tblInd w:w="0" w:type="dxa"/>
        <w:tblLayout w:type="fixed"/>
        <w:tblCellMar>
          <w:top w:w="0" w:type="dxa"/>
          <w:left w:w="30" w:type="dxa"/>
          <w:bottom w:w="0" w:type="dxa"/>
          <w:right w:w="30" w:type="dxa"/>
        </w:tblCellMar>
        <w:tblLook w:firstRow="1" w:noVBand="1" w:lastRow="0" w:firstColumn="1" w:lastColumn="0" w:noHBand="0" w:val="04a0"/>
      </w:tblPr>
      <w:tblGrid>
        <w:gridCol w:w="1355"/>
        <w:gridCol w:w="1187"/>
        <w:gridCol w:w="1135"/>
        <w:gridCol w:w="48"/>
        <w:gridCol w:w="925"/>
        <w:gridCol w:w="109"/>
        <w:gridCol w:w="887"/>
        <w:gridCol w:w="741"/>
        <w:gridCol w:w="885"/>
        <w:gridCol w:w="690"/>
        <w:gridCol w:w="13"/>
        <w:gridCol w:w="916"/>
        <w:gridCol w:w="746"/>
      </w:tblGrid>
      <w:tr>
        <w:trPr>
          <w:trHeight w:val="277" w:hRule="atLeast"/>
        </w:trPr>
        <w:tc>
          <w:tcPr>
            <w:tcW w:w="1355"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Dlhodobý finančný majetok</w:t>
            </w:r>
          </w:p>
        </w:tc>
        <w:tc>
          <w:tcPr>
            <w:tcW w:w="8282" w:type="dxa"/>
            <w:gridSpan w:val="12"/>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r>
      <w:tr>
        <w:trPr>
          <w:trHeight w:val="1393" w:hRule="atLeast"/>
        </w:trPr>
        <w:tc>
          <w:tcPr>
            <w:tcW w:w="1355"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187" w:type="dxa"/>
            <w:tcBorders>
              <w:top w:val="single" w:sz="12" w:space="0" w:color="000000"/>
              <w:left w:val="single" w:sz="12" w:space="0" w:color="000000"/>
              <w:right w:val="single" w:sz="12" w:space="0" w:color="000000"/>
            </w:tcBorders>
            <w:vAlign w:val="center"/>
          </w:tcPr>
          <w:p>
            <w:pPr>
              <w:pStyle w:val="TopHeader"/>
              <w:widowControl w:val="false"/>
              <w:bidi w:val="0"/>
              <w:rPr/>
            </w:pPr>
            <w:r>
              <w:rPr/>
              <w:t>Podielové CP a podiely v DÚJ</w:t>
            </w:r>
          </w:p>
        </w:tc>
        <w:tc>
          <w:tcPr>
            <w:tcW w:w="1135" w:type="dxa"/>
            <w:tcBorders>
              <w:top w:val="single" w:sz="12" w:space="0" w:color="000000"/>
              <w:left w:val="single" w:sz="12" w:space="0" w:color="000000"/>
              <w:right w:val="single" w:sz="12" w:space="0" w:color="000000"/>
            </w:tcBorders>
            <w:vAlign w:val="center"/>
          </w:tcPr>
          <w:p>
            <w:pPr>
              <w:pStyle w:val="TopHeader"/>
              <w:widowControl w:val="false"/>
              <w:bidi w:val="0"/>
              <w:rPr/>
            </w:pPr>
            <w:r>
              <w:rPr/>
              <w:t xml:space="preserve">Podielové </w:t>
              <w:br/>
              <w:t xml:space="preserve">CP a podiely </w:t>
              <w:br/>
              <w:t>v spoloč-nosti s pods-tatným vplyvom</w:t>
            </w:r>
          </w:p>
        </w:tc>
        <w:tc>
          <w:tcPr>
            <w:tcW w:w="1082" w:type="dxa"/>
            <w:gridSpan w:val="3"/>
            <w:tcBorders>
              <w:top w:val="single" w:sz="12" w:space="0" w:color="000000"/>
              <w:left w:val="single" w:sz="12" w:space="0" w:color="000000"/>
              <w:right w:val="single" w:sz="12" w:space="0" w:color="000000"/>
            </w:tcBorders>
            <w:vAlign w:val="center"/>
          </w:tcPr>
          <w:p>
            <w:pPr>
              <w:pStyle w:val="TopHeader"/>
              <w:widowControl w:val="false"/>
              <w:bidi w:val="0"/>
              <w:rPr/>
            </w:pPr>
            <w:r>
              <w:rPr/>
              <w:t>Ostatné dlhodobé CP a podiely</w:t>
            </w:r>
          </w:p>
        </w:tc>
        <w:tc>
          <w:tcPr>
            <w:tcW w:w="887" w:type="dxa"/>
            <w:tcBorders>
              <w:top w:val="single" w:sz="12" w:space="0" w:color="000000"/>
              <w:left w:val="single" w:sz="12" w:space="0" w:color="000000"/>
              <w:right w:val="single" w:sz="12" w:space="0" w:color="000000"/>
            </w:tcBorders>
            <w:vAlign w:val="center"/>
          </w:tcPr>
          <w:p>
            <w:pPr>
              <w:pStyle w:val="TopHeader"/>
              <w:widowControl w:val="false"/>
              <w:bidi w:val="0"/>
              <w:rPr/>
            </w:pPr>
            <w:r>
              <w:rPr/>
              <w:t xml:space="preserve">Pôžičky ÚJ </w:t>
              <w:br/>
              <w:t>v kons. celku</w:t>
            </w:r>
          </w:p>
        </w:tc>
        <w:tc>
          <w:tcPr>
            <w:tcW w:w="741" w:type="dxa"/>
            <w:tcBorders>
              <w:top w:val="single" w:sz="12" w:space="0" w:color="000000"/>
              <w:left w:val="single" w:sz="12" w:space="0" w:color="000000"/>
              <w:right w:val="single" w:sz="12" w:space="0" w:color="000000"/>
            </w:tcBorders>
            <w:vAlign w:val="center"/>
          </w:tcPr>
          <w:p>
            <w:pPr>
              <w:pStyle w:val="TopHeader"/>
              <w:widowControl w:val="false"/>
              <w:bidi w:val="0"/>
              <w:rPr/>
            </w:pPr>
            <w:r>
              <w:rPr/>
              <w:t>Ostat-ný DFM</w:t>
            </w:r>
          </w:p>
        </w:tc>
        <w:tc>
          <w:tcPr>
            <w:tcW w:w="885" w:type="dxa"/>
            <w:tcBorders>
              <w:top w:val="single" w:sz="12" w:space="0" w:color="000000"/>
              <w:left w:val="single" w:sz="12" w:space="0" w:color="000000"/>
              <w:right w:val="single" w:sz="12" w:space="0" w:color="000000"/>
            </w:tcBorders>
            <w:vAlign w:val="center"/>
          </w:tcPr>
          <w:p>
            <w:pPr>
              <w:pStyle w:val="TopHeader"/>
              <w:widowControl w:val="false"/>
              <w:bidi w:val="0"/>
              <w:rPr/>
            </w:pPr>
            <w:r>
              <w:rPr/>
              <w:t>Pôžičky s  dobou splat-nosti najviac jeden rok</w:t>
            </w:r>
          </w:p>
        </w:tc>
        <w:tc>
          <w:tcPr>
            <w:tcW w:w="690" w:type="dxa"/>
            <w:tcBorders>
              <w:top w:val="single" w:sz="12" w:space="0" w:color="000000"/>
              <w:left w:val="single" w:sz="12" w:space="0" w:color="000000"/>
              <w:right w:val="single" w:sz="12" w:space="0" w:color="000000"/>
            </w:tcBorders>
            <w:vAlign w:val="center"/>
          </w:tcPr>
          <w:p>
            <w:pPr>
              <w:pStyle w:val="TopHeader"/>
              <w:widowControl w:val="false"/>
              <w:bidi w:val="0"/>
              <w:rPr/>
            </w:pPr>
            <w:r>
              <w:rPr/>
              <w:t xml:space="preserve">Ob-stará-vaný </w:t>
              <w:br/>
              <w:t>DFM</w:t>
            </w:r>
          </w:p>
        </w:tc>
        <w:tc>
          <w:tcPr>
            <w:tcW w:w="929" w:type="dxa"/>
            <w:gridSpan w:val="2"/>
            <w:tcBorders>
              <w:top w:val="single" w:sz="12" w:space="0" w:color="000000"/>
              <w:left w:val="single" w:sz="12" w:space="0" w:color="000000"/>
              <w:right w:val="single" w:sz="12" w:space="0" w:color="000000"/>
            </w:tcBorders>
            <w:vAlign w:val="center"/>
          </w:tcPr>
          <w:p>
            <w:pPr>
              <w:pStyle w:val="TopHeader"/>
              <w:widowControl w:val="false"/>
              <w:bidi w:val="0"/>
              <w:rPr/>
            </w:pPr>
            <w:r>
              <w:rPr/>
              <w:t>Poskyt-nuté pred-davky na</w:t>
            </w:r>
          </w:p>
          <w:p>
            <w:pPr>
              <w:pStyle w:val="TopHeader"/>
              <w:widowControl w:val="false"/>
              <w:bidi w:val="0"/>
              <w:rPr/>
            </w:pPr>
            <w:r>
              <w:rPr/>
              <w:t>DFM</w:t>
            </w:r>
          </w:p>
        </w:tc>
        <w:tc>
          <w:tcPr>
            <w:tcW w:w="746" w:type="dxa"/>
            <w:tcBorders>
              <w:top w:val="single" w:sz="12" w:space="0" w:color="000000"/>
              <w:left w:val="single" w:sz="12" w:space="0" w:color="000000"/>
              <w:right w:val="single" w:sz="12" w:space="0" w:color="000000"/>
            </w:tcBorders>
            <w:vAlign w:val="center"/>
          </w:tcPr>
          <w:p>
            <w:pPr>
              <w:pStyle w:val="TopHeader"/>
              <w:widowControl w:val="false"/>
              <w:bidi w:val="0"/>
              <w:rPr/>
            </w:pPr>
            <w:r>
              <w:rPr/>
              <w:t>Spolu</w:t>
            </w:r>
          </w:p>
        </w:tc>
      </w:tr>
      <w:tr>
        <w:trPr>
          <w:trHeight w:val="195" w:hRule="atLeast"/>
        </w:trPr>
        <w:tc>
          <w:tcPr>
            <w:tcW w:w="135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1187"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13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1082" w:type="dxa"/>
            <w:gridSpan w:val="3"/>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c>
          <w:tcPr>
            <w:tcW w:w="887"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e</w:t>
            </w:r>
          </w:p>
        </w:tc>
        <w:tc>
          <w:tcPr>
            <w:tcW w:w="74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f</w:t>
            </w:r>
          </w:p>
        </w:tc>
        <w:tc>
          <w:tcPr>
            <w:tcW w:w="88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g</w:t>
            </w:r>
          </w:p>
        </w:tc>
        <w:tc>
          <w:tcPr>
            <w:tcW w:w="690"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h</w:t>
            </w:r>
          </w:p>
        </w:tc>
        <w:tc>
          <w:tcPr>
            <w:tcW w:w="929" w:type="dxa"/>
            <w:gridSpan w:val="2"/>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i</w:t>
            </w:r>
          </w:p>
        </w:tc>
        <w:tc>
          <w:tcPr>
            <w:tcW w:w="746" w:type="dxa"/>
            <w:tcBorders>
              <w:left w:val="single" w:sz="12" w:space="0" w:color="000000"/>
              <w:bottom w:val="single" w:sz="12" w:space="0" w:color="000000"/>
              <w:right w:val="single" w:sz="12" w:space="0" w:color="000000"/>
            </w:tcBorders>
          </w:tcPr>
          <w:p>
            <w:pPr>
              <w:pStyle w:val="TopHeader"/>
              <w:widowControl w:val="false"/>
              <w:bidi w:val="0"/>
              <w:rPr>
                <w:b w:val="false"/>
              </w:rPr>
            </w:pPr>
            <w:r>
              <w:rPr>
                <w:b w:val="false"/>
              </w:rPr>
              <w:t>j</w:t>
            </w:r>
          </w:p>
        </w:tc>
      </w:tr>
      <w:tr>
        <w:trPr>
          <w:trHeight w:val="278" w:hRule="atLeast"/>
        </w:trPr>
        <w:tc>
          <w:tcPr>
            <w:tcW w:w="9637" w:type="dxa"/>
            <w:gridSpan w:val="13"/>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Prvotné ocenenie</w:t>
            </w:r>
          </w:p>
        </w:tc>
      </w:tr>
      <w:tr>
        <w:trPr>
          <w:trHeight w:val="278" w:hRule="atLeast"/>
        </w:trPr>
        <w:tc>
          <w:tcPr>
            <w:tcW w:w="1355"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začiatku účtovného obdobia</w:t>
            </w:r>
          </w:p>
        </w:tc>
        <w:tc>
          <w:tcPr>
            <w:tcW w:w="1187"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3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82" w:type="dxa"/>
            <w:gridSpan w:val="3"/>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8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8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8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1355"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187"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3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82" w:type="dxa"/>
            <w:gridSpan w:val="3"/>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9637" w:type="dxa"/>
            <w:gridSpan w:val="13"/>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Opravné položky</w:t>
            </w:r>
          </w:p>
        </w:tc>
      </w:tr>
      <w:tr>
        <w:trPr>
          <w:trHeight w:val="278" w:hRule="atLeast"/>
        </w:trPr>
        <w:tc>
          <w:tcPr>
            <w:tcW w:w="1355"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w:t>
            </w:r>
          </w:p>
          <w:p>
            <w:pPr>
              <w:pStyle w:val="Normal"/>
              <w:widowControl w:val="false"/>
              <w:bidi w:val="0"/>
              <w:spacing w:lineRule="auto" w:line="240" w:before="0" w:after="0"/>
              <w:jc w:val="left"/>
              <w:rPr>
                <w:b/>
                <w:bCs/>
                <w:szCs w:val="22"/>
              </w:rPr>
            </w:pPr>
            <w:r>
              <w:rPr>
                <w:b/>
                <w:bCs/>
                <w:szCs w:val="22"/>
              </w:rPr>
              <w:t>na začiatku účtovného obdobia</w:t>
            </w:r>
          </w:p>
        </w:tc>
        <w:tc>
          <w:tcPr>
            <w:tcW w:w="1187"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9"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1355"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187"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9"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9637" w:type="dxa"/>
            <w:gridSpan w:val="13"/>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Účtovná hodnota</w:t>
            </w:r>
          </w:p>
        </w:tc>
      </w:tr>
      <w:tr>
        <w:trPr>
          <w:trHeight w:val="278" w:hRule="atLeast"/>
        </w:trPr>
        <w:tc>
          <w:tcPr>
            <w:tcW w:w="1355"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w:t>
            </w:r>
          </w:p>
          <w:p>
            <w:pPr>
              <w:pStyle w:val="Normal"/>
              <w:widowControl w:val="false"/>
              <w:bidi w:val="0"/>
              <w:spacing w:lineRule="auto" w:line="240" w:before="0" w:after="0"/>
              <w:jc w:val="left"/>
              <w:rPr>
                <w:b/>
                <w:bCs/>
                <w:szCs w:val="22"/>
              </w:rPr>
            </w:pPr>
            <w:r>
              <w:rPr>
                <w:b/>
                <w:bCs/>
                <w:szCs w:val="22"/>
              </w:rPr>
              <w:t>na začiatku účtovného obdobia</w:t>
            </w:r>
          </w:p>
        </w:tc>
        <w:tc>
          <w:tcPr>
            <w:tcW w:w="1187"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96"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90" w:hRule="atLeast"/>
        </w:trPr>
        <w:tc>
          <w:tcPr>
            <w:tcW w:w="1355"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187"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96"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t>Tabuľka č. 2</w:t>
      </w:r>
    </w:p>
    <w:tbl>
      <w:tblPr>
        <w:tblW w:w="5000" w:type="pct"/>
        <w:jc w:val="center"/>
        <w:tblInd w:w="0" w:type="dxa"/>
        <w:tblLayout w:type="fixed"/>
        <w:tblCellMar>
          <w:top w:w="0" w:type="dxa"/>
          <w:left w:w="30" w:type="dxa"/>
          <w:bottom w:w="0" w:type="dxa"/>
          <w:right w:w="30" w:type="dxa"/>
        </w:tblCellMar>
        <w:tblLook w:firstRow="1" w:noVBand="1" w:lastRow="0" w:firstColumn="1" w:lastColumn="0" w:noHBand="0" w:val="04a0"/>
      </w:tblPr>
      <w:tblGrid>
        <w:gridCol w:w="1355"/>
        <w:gridCol w:w="1187"/>
        <w:gridCol w:w="1135"/>
        <w:gridCol w:w="48"/>
        <w:gridCol w:w="925"/>
        <w:gridCol w:w="109"/>
        <w:gridCol w:w="887"/>
        <w:gridCol w:w="741"/>
        <w:gridCol w:w="885"/>
        <w:gridCol w:w="690"/>
        <w:gridCol w:w="13"/>
        <w:gridCol w:w="916"/>
        <w:gridCol w:w="746"/>
      </w:tblGrid>
      <w:tr>
        <w:trPr>
          <w:trHeight w:val="277" w:hRule="atLeast"/>
        </w:trPr>
        <w:tc>
          <w:tcPr>
            <w:tcW w:w="1355"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Dlhodobý finančný majetok</w:t>
            </w:r>
          </w:p>
        </w:tc>
        <w:tc>
          <w:tcPr>
            <w:tcW w:w="8282" w:type="dxa"/>
            <w:gridSpan w:val="12"/>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1393" w:hRule="atLeast"/>
        </w:trPr>
        <w:tc>
          <w:tcPr>
            <w:tcW w:w="1355"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187" w:type="dxa"/>
            <w:tcBorders>
              <w:top w:val="single" w:sz="12" w:space="0" w:color="000000"/>
              <w:left w:val="single" w:sz="12" w:space="0" w:color="000000"/>
              <w:right w:val="single" w:sz="12" w:space="0" w:color="000000"/>
            </w:tcBorders>
            <w:vAlign w:val="center"/>
          </w:tcPr>
          <w:p>
            <w:pPr>
              <w:pStyle w:val="TopHeader"/>
              <w:widowControl w:val="false"/>
              <w:bidi w:val="0"/>
              <w:rPr/>
            </w:pPr>
            <w:r>
              <w:rPr/>
              <w:t>Podielové CP a podiely v DÚJ</w:t>
            </w:r>
          </w:p>
        </w:tc>
        <w:tc>
          <w:tcPr>
            <w:tcW w:w="1135" w:type="dxa"/>
            <w:tcBorders>
              <w:top w:val="single" w:sz="12" w:space="0" w:color="000000"/>
              <w:left w:val="single" w:sz="12" w:space="0" w:color="000000"/>
              <w:right w:val="single" w:sz="12" w:space="0" w:color="000000"/>
            </w:tcBorders>
            <w:vAlign w:val="center"/>
          </w:tcPr>
          <w:p>
            <w:pPr>
              <w:pStyle w:val="TopHeader"/>
              <w:widowControl w:val="false"/>
              <w:bidi w:val="0"/>
              <w:rPr/>
            </w:pPr>
            <w:r>
              <w:rPr/>
              <w:t xml:space="preserve">Podielové </w:t>
              <w:br/>
              <w:t xml:space="preserve">CP a podiely </w:t>
              <w:br/>
              <w:t>v spoloč-nosti s pods-tatným vplyvom</w:t>
            </w:r>
          </w:p>
        </w:tc>
        <w:tc>
          <w:tcPr>
            <w:tcW w:w="1082" w:type="dxa"/>
            <w:gridSpan w:val="3"/>
            <w:tcBorders>
              <w:top w:val="single" w:sz="12" w:space="0" w:color="000000"/>
              <w:left w:val="single" w:sz="12" w:space="0" w:color="000000"/>
              <w:right w:val="single" w:sz="12" w:space="0" w:color="000000"/>
            </w:tcBorders>
            <w:vAlign w:val="center"/>
          </w:tcPr>
          <w:p>
            <w:pPr>
              <w:pStyle w:val="TopHeader"/>
              <w:widowControl w:val="false"/>
              <w:bidi w:val="0"/>
              <w:rPr/>
            </w:pPr>
            <w:r>
              <w:rPr/>
              <w:t>Ostatné dlhodobé CP a podiely</w:t>
            </w:r>
          </w:p>
        </w:tc>
        <w:tc>
          <w:tcPr>
            <w:tcW w:w="887" w:type="dxa"/>
            <w:tcBorders>
              <w:top w:val="single" w:sz="12" w:space="0" w:color="000000"/>
              <w:left w:val="single" w:sz="12" w:space="0" w:color="000000"/>
              <w:right w:val="single" w:sz="12" w:space="0" w:color="000000"/>
            </w:tcBorders>
            <w:vAlign w:val="center"/>
          </w:tcPr>
          <w:p>
            <w:pPr>
              <w:pStyle w:val="TopHeader"/>
              <w:widowControl w:val="false"/>
              <w:bidi w:val="0"/>
              <w:rPr/>
            </w:pPr>
            <w:r>
              <w:rPr/>
              <w:t xml:space="preserve">Pôžičky ÚJ </w:t>
              <w:br/>
              <w:t>v kons. celku</w:t>
            </w:r>
          </w:p>
        </w:tc>
        <w:tc>
          <w:tcPr>
            <w:tcW w:w="741" w:type="dxa"/>
            <w:tcBorders>
              <w:top w:val="single" w:sz="12" w:space="0" w:color="000000"/>
              <w:left w:val="single" w:sz="12" w:space="0" w:color="000000"/>
              <w:right w:val="single" w:sz="12" w:space="0" w:color="000000"/>
            </w:tcBorders>
            <w:vAlign w:val="center"/>
          </w:tcPr>
          <w:p>
            <w:pPr>
              <w:pStyle w:val="TopHeader"/>
              <w:widowControl w:val="false"/>
              <w:bidi w:val="0"/>
              <w:rPr/>
            </w:pPr>
            <w:r>
              <w:rPr/>
              <w:t>Ostat-ný DFM</w:t>
            </w:r>
          </w:p>
        </w:tc>
        <w:tc>
          <w:tcPr>
            <w:tcW w:w="885" w:type="dxa"/>
            <w:tcBorders>
              <w:top w:val="single" w:sz="12" w:space="0" w:color="000000"/>
              <w:left w:val="single" w:sz="12" w:space="0" w:color="000000"/>
              <w:right w:val="single" w:sz="12" w:space="0" w:color="000000"/>
            </w:tcBorders>
            <w:vAlign w:val="center"/>
          </w:tcPr>
          <w:p>
            <w:pPr>
              <w:pStyle w:val="TopHeader"/>
              <w:widowControl w:val="false"/>
              <w:bidi w:val="0"/>
              <w:rPr/>
            </w:pPr>
            <w:r>
              <w:rPr/>
              <w:t>Pôžičky s  dobou splat-nosti najviac jeden rok</w:t>
            </w:r>
          </w:p>
        </w:tc>
        <w:tc>
          <w:tcPr>
            <w:tcW w:w="690" w:type="dxa"/>
            <w:tcBorders>
              <w:top w:val="single" w:sz="12" w:space="0" w:color="000000"/>
              <w:left w:val="single" w:sz="12" w:space="0" w:color="000000"/>
              <w:right w:val="single" w:sz="12" w:space="0" w:color="000000"/>
            </w:tcBorders>
            <w:vAlign w:val="center"/>
          </w:tcPr>
          <w:p>
            <w:pPr>
              <w:pStyle w:val="TopHeader"/>
              <w:widowControl w:val="false"/>
              <w:bidi w:val="0"/>
              <w:rPr/>
            </w:pPr>
            <w:r>
              <w:rPr/>
              <w:t xml:space="preserve">Ob-stará-vaný </w:t>
              <w:br/>
              <w:t>DFM</w:t>
            </w:r>
          </w:p>
        </w:tc>
        <w:tc>
          <w:tcPr>
            <w:tcW w:w="929" w:type="dxa"/>
            <w:gridSpan w:val="2"/>
            <w:tcBorders>
              <w:top w:val="single" w:sz="12" w:space="0" w:color="000000"/>
              <w:left w:val="single" w:sz="12" w:space="0" w:color="000000"/>
              <w:right w:val="single" w:sz="12" w:space="0" w:color="000000"/>
            </w:tcBorders>
            <w:vAlign w:val="center"/>
          </w:tcPr>
          <w:p>
            <w:pPr>
              <w:pStyle w:val="TopHeader"/>
              <w:widowControl w:val="false"/>
              <w:bidi w:val="0"/>
              <w:rPr/>
            </w:pPr>
            <w:r>
              <w:rPr/>
              <w:t>Poskyt-nuté pred-davky na</w:t>
            </w:r>
          </w:p>
          <w:p>
            <w:pPr>
              <w:pStyle w:val="TopHeader"/>
              <w:widowControl w:val="false"/>
              <w:bidi w:val="0"/>
              <w:rPr/>
            </w:pPr>
            <w:r>
              <w:rPr/>
              <w:t>DFM</w:t>
            </w:r>
          </w:p>
        </w:tc>
        <w:tc>
          <w:tcPr>
            <w:tcW w:w="746" w:type="dxa"/>
            <w:tcBorders>
              <w:top w:val="single" w:sz="12" w:space="0" w:color="000000"/>
              <w:left w:val="single" w:sz="12" w:space="0" w:color="000000"/>
              <w:right w:val="single" w:sz="12" w:space="0" w:color="000000"/>
            </w:tcBorders>
            <w:vAlign w:val="center"/>
          </w:tcPr>
          <w:p>
            <w:pPr>
              <w:pStyle w:val="TopHeader"/>
              <w:widowControl w:val="false"/>
              <w:bidi w:val="0"/>
              <w:rPr/>
            </w:pPr>
            <w:r>
              <w:rPr/>
              <w:t>Spolu</w:t>
            </w:r>
          </w:p>
        </w:tc>
      </w:tr>
      <w:tr>
        <w:trPr>
          <w:trHeight w:val="195" w:hRule="atLeast"/>
        </w:trPr>
        <w:tc>
          <w:tcPr>
            <w:tcW w:w="135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1187"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13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1082" w:type="dxa"/>
            <w:gridSpan w:val="3"/>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c>
          <w:tcPr>
            <w:tcW w:w="887"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e</w:t>
            </w:r>
          </w:p>
        </w:tc>
        <w:tc>
          <w:tcPr>
            <w:tcW w:w="74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f</w:t>
            </w:r>
          </w:p>
        </w:tc>
        <w:tc>
          <w:tcPr>
            <w:tcW w:w="88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g</w:t>
            </w:r>
          </w:p>
        </w:tc>
        <w:tc>
          <w:tcPr>
            <w:tcW w:w="690"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h</w:t>
            </w:r>
          </w:p>
        </w:tc>
        <w:tc>
          <w:tcPr>
            <w:tcW w:w="929" w:type="dxa"/>
            <w:gridSpan w:val="2"/>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i</w:t>
            </w:r>
          </w:p>
        </w:tc>
        <w:tc>
          <w:tcPr>
            <w:tcW w:w="746" w:type="dxa"/>
            <w:tcBorders>
              <w:left w:val="single" w:sz="12" w:space="0" w:color="000000"/>
              <w:bottom w:val="single" w:sz="12" w:space="0" w:color="000000"/>
              <w:right w:val="single" w:sz="12" w:space="0" w:color="000000"/>
            </w:tcBorders>
          </w:tcPr>
          <w:p>
            <w:pPr>
              <w:pStyle w:val="TopHeader"/>
              <w:widowControl w:val="false"/>
              <w:bidi w:val="0"/>
              <w:rPr>
                <w:b w:val="false"/>
              </w:rPr>
            </w:pPr>
            <w:r>
              <w:rPr>
                <w:b w:val="false"/>
              </w:rPr>
              <w:t>j</w:t>
            </w:r>
          </w:p>
        </w:tc>
      </w:tr>
      <w:tr>
        <w:trPr>
          <w:trHeight w:val="278" w:hRule="atLeast"/>
        </w:trPr>
        <w:tc>
          <w:tcPr>
            <w:tcW w:w="9637" w:type="dxa"/>
            <w:gridSpan w:val="13"/>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Prvotné ocenenie</w:t>
            </w:r>
          </w:p>
        </w:tc>
      </w:tr>
      <w:tr>
        <w:trPr>
          <w:trHeight w:val="278" w:hRule="atLeast"/>
        </w:trPr>
        <w:tc>
          <w:tcPr>
            <w:tcW w:w="1355"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začiatku účtovného obdobia</w:t>
            </w:r>
          </w:p>
        </w:tc>
        <w:tc>
          <w:tcPr>
            <w:tcW w:w="1187"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3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82" w:type="dxa"/>
            <w:gridSpan w:val="3"/>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8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8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8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1355"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187"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3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82" w:type="dxa"/>
            <w:gridSpan w:val="3"/>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9637" w:type="dxa"/>
            <w:gridSpan w:val="13"/>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Opravné položky</w:t>
            </w:r>
          </w:p>
        </w:tc>
      </w:tr>
      <w:tr>
        <w:trPr>
          <w:trHeight w:val="278" w:hRule="atLeast"/>
        </w:trPr>
        <w:tc>
          <w:tcPr>
            <w:tcW w:w="1355"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w:t>
            </w:r>
          </w:p>
          <w:p>
            <w:pPr>
              <w:pStyle w:val="Normal"/>
              <w:widowControl w:val="false"/>
              <w:bidi w:val="0"/>
              <w:spacing w:lineRule="auto" w:line="240" w:before="0" w:after="0"/>
              <w:jc w:val="left"/>
              <w:rPr>
                <w:b/>
                <w:bCs/>
                <w:szCs w:val="22"/>
              </w:rPr>
            </w:pPr>
            <w:r>
              <w:rPr>
                <w:b/>
                <w:bCs/>
                <w:szCs w:val="22"/>
              </w:rPr>
              <w:t>na začiatku účtovného obdobia</w:t>
            </w:r>
          </w:p>
        </w:tc>
        <w:tc>
          <w:tcPr>
            <w:tcW w:w="1187"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90"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9"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Prírastky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Úbytky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355"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Presuny</w:t>
            </w:r>
          </w:p>
        </w:tc>
        <w:tc>
          <w:tcPr>
            <w:tcW w:w="118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1355"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187"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034"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7"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690"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9"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78" w:hRule="atLeast"/>
        </w:trPr>
        <w:tc>
          <w:tcPr>
            <w:tcW w:w="9637" w:type="dxa"/>
            <w:gridSpan w:val="13"/>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Účtovná hodnota</w:t>
            </w:r>
          </w:p>
        </w:tc>
      </w:tr>
      <w:tr>
        <w:trPr>
          <w:trHeight w:val="278" w:hRule="atLeast"/>
        </w:trPr>
        <w:tc>
          <w:tcPr>
            <w:tcW w:w="1355"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w:t>
            </w:r>
          </w:p>
          <w:p>
            <w:pPr>
              <w:pStyle w:val="Normal"/>
              <w:widowControl w:val="false"/>
              <w:bidi w:val="0"/>
              <w:spacing w:lineRule="auto" w:line="240" w:before="0" w:after="0"/>
              <w:jc w:val="left"/>
              <w:rPr>
                <w:b/>
                <w:bCs/>
                <w:szCs w:val="22"/>
              </w:rPr>
            </w:pPr>
            <w:r>
              <w:rPr>
                <w:b/>
                <w:bCs/>
                <w:szCs w:val="22"/>
              </w:rPr>
              <w:t>na začiatku účtovného obdobia</w:t>
            </w:r>
          </w:p>
        </w:tc>
        <w:tc>
          <w:tcPr>
            <w:tcW w:w="1187"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96"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290" w:hRule="atLeast"/>
        </w:trPr>
        <w:tc>
          <w:tcPr>
            <w:tcW w:w="1355"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Stav na konci účtovného obdobia</w:t>
            </w:r>
          </w:p>
        </w:tc>
        <w:tc>
          <w:tcPr>
            <w:tcW w:w="1187"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3"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2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96"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885"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03" w:type="dxa"/>
            <w:gridSpan w:val="2"/>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91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746"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ormal"/>
        <w:bidi w:val="0"/>
        <w:spacing w:lineRule="auto" w:line="240" w:before="0" w:after="0"/>
        <w:jc w:val="left"/>
        <w:rPr>
          <w:szCs w:val="22"/>
        </w:rPr>
      </w:pPr>
      <w:r>
        <w:rPr>
          <w:szCs w:val="22"/>
        </w:rPr>
      </w:r>
    </w:p>
    <w:p>
      <w:pPr>
        <w:pStyle w:val="Nzov"/>
        <w:keepNext w:val="false"/>
        <w:widowControl w:val="false"/>
        <w:numPr>
          <w:ilvl w:val="0"/>
          <w:numId w:val="6"/>
        </w:numPr>
        <w:bidi w:val="0"/>
        <w:spacing w:beforeAutospacing="0" w:before="0" w:after="0"/>
        <w:jc w:val="left"/>
        <w:rPr>
          <w:bCs w:val="false"/>
          <w:kern w:val="0"/>
          <w:szCs w:val="22"/>
        </w:rPr>
      </w:pPr>
      <w:r>
        <w:rPr>
          <w:bCs w:val="false"/>
          <w:kern w:val="0"/>
          <w:szCs w:val="22"/>
        </w:rPr>
        <w:t>Informácie k </w:t>
      </w:r>
      <w:r>
        <w:rPr>
          <w:szCs w:val="22"/>
        </w:rPr>
        <w:t>prílohe č. 3 </w:t>
      </w:r>
      <w:r>
        <w:rPr>
          <w:bCs w:val="false"/>
          <w:kern w:val="0"/>
          <w:szCs w:val="22"/>
        </w:rPr>
        <w:t xml:space="preserve">časti F. písm. m) o dlhodobom finančnom majetku </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6597"/>
        <w:gridCol w:w="3040"/>
      </w:tblGrid>
      <w:tr>
        <w:trPr>
          <w:trHeight w:val="340" w:hRule="atLeast"/>
        </w:trPr>
        <w:tc>
          <w:tcPr>
            <w:tcW w:w="6597" w:type="dxa"/>
            <w:tcBorders>
              <w:top w:val="single" w:sz="12" w:space="0" w:color="000000"/>
              <w:left w:val="single" w:sz="12" w:space="0" w:color="000000"/>
              <w:right w:val="single" w:sz="12" w:space="0" w:color="000000"/>
            </w:tcBorders>
            <w:vAlign w:val="center"/>
          </w:tcPr>
          <w:p>
            <w:pPr>
              <w:pStyle w:val="TopHeader"/>
              <w:widowControl w:val="false"/>
              <w:bidi w:val="0"/>
              <w:rPr/>
            </w:pPr>
            <w:r>
              <w:rPr/>
              <w:t>Dlhodobý finančný majetok</w:t>
            </w:r>
          </w:p>
        </w:tc>
        <w:tc>
          <w:tcPr>
            <w:tcW w:w="3040" w:type="dxa"/>
            <w:tcBorders>
              <w:top w:val="single" w:sz="12" w:space="0" w:color="000000"/>
              <w:left w:val="single" w:sz="12" w:space="0" w:color="000000"/>
              <w:right w:val="single" w:sz="12" w:space="0" w:color="000000"/>
            </w:tcBorders>
            <w:vAlign w:val="center"/>
          </w:tcPr>
          <w:p>
            <w:pPr>
              <w:pStyle w:val="TopHeader"/>
              <w:widowControl w:val="false"/>
              <w:bidi w:val="0"/>
              <w:rPr/>
            </w:pPr>
            <w:r>
              <w:rPr/>
              <w:t xml:space="preserve">Hodnota </w:t>
            </w:r>
            <w:r>
              <w:rPr>
                <w:bCs w:val="false"/>
              </w:rPr>
              <w:t>za bežné účtovné obdobie</w:t>
            </w:r>
          </w:p>
        </w:tc>
      </w:tr>
      <w:tr>
        <w:trPr>
          <w:trHeight w:val="340" w:hRule="atLeast"/>
        </w:trPr>
        <w:tc>
          <w:tcPr>
            <w:tcW w:w="6597"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Dlhodobý finančný majetok, na ktorý je zriadené záložné právo</w:t>
            </w:r>
          </w:p>
        </w:tc>
        <w:tc>
          <w:tcPr>
            <w:tcW w:w="3040"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je</w:t>
            </w:r>
          </w:p>
        </w:tc>
      </w:tr>
    </w:tbl>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r>
    </w:p>
    <w:p>
      <w:pPr>
        <w:pStyle w:val="Nzov"/>
        <w:numPr>
          <w:ilvl w:val="0"/>
          <w:numId w:val="6"/>
        </w:numPr>
        <w:bidi w:val="0"/>
        <w:spacing w:beforeAutospacing="0" w:before="0" w:after="0"/>
        <w:jc w:val="left"/>
        <w:rPr>
          <w:szCs w:val="22"/>
        </w:rPr>
      </w:pPr>
      <w:r>
        <w:rPr>
          <w:szCs w:val="22"/>
        </w:rPr>
        <w:t>Informácie k prílohe č. 3  časti F. písm. i) o štruktúre dlhodobého finančného majetku</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2011"/>
        <w:gridCol w:w="1177"/>
        <w:gridCol w:w="1779"/>
        <w:gridCol w:w="1519"/>
        <w:gridCol w:w="1743"/>
        <w:gridCol w:w="1408"/>
      </w:tblGrid>
      <w:tr>
        <w:trPr/>
        <w:tc>
          <w:tcPr>
            <w:tcW w:w="2011"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Obchodné meno a sídlo spoločnosti, v ktorej má ÚJ umiestnený DFM</w:t>
            </w:r>
          </w:p>
        </w:tc>
        <w:tc>
          <w:tcPr>
            <w:tcW w:w="7626" w:type="dxa"/>
            <w:gridSpan w:val="5"/>
            <w:tcBorders>
              <w:top w:val="single" w:sz="12" w:space="0" w:color="000000"/>
              <w:left w:val="single" w:sz="12" w:space="0" w:color="000000"/>
              <w:bottom w:val="single" w:sz="6" w:space="0" w:color="000000"/>
              <w:right w:val="single" w:sz="12" w:space="0" w:color="000000"/>
            </w:tcBorders>
            <w:vAlign w:val="center"/>
          </w:tcPr>
          <w:p>
            <w:pPr>
              <w:pStyle w:val="TopHeader"/>
              <w:widowControl w:val="false"/>
              <w:bidi w:val="0"/>
              <w:rPr/>
            </w:pPr>
            <w:r>
              <w:rPr/>
              <w:t>Bežné účtovné obdobie</w:t>
            </w:r>
          </w:p>
        </w:tc>
      </w:tr>
      <w:tr>
        <w:trPr>
          <w:trHeight w:val="1394" w:hRule="atLeast"/>
        </w:trPr>
        <w:tc>
          <w:tcPr>
            <w:tcW w:w="2011"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177" w:type="dxa"/>
            <w:tcBorders>
              <w:top w:val="single" w:sz="12" w:space="0" w:color="000000"/>
              <w:left w:val="single" w:sz="12" w:space="0" w:color="000000"/>
              <w:right w:val="single" w:sz="12" w:space="0" w:color="000000"/>
            </w:tcBorders>
            <w:vAlign w:val="center"/>
          </w:tcPr>
          <w:p>
            <w:pPr>
              <w:pStyle w:val="TopHeader"/>
              <w:widowControl w:val="false"/>
              <w:bidi w:val="0"/>
              <w:rPr/>
            </w:pPr>
            <w:r>
              <w:rPr/>
              <w:t>Podiel ÚJ na ZI</w:t>
            </w:r>
          </w:p>
          <w:p>
            <w:pPr>
              <w:pStyle w:val="TopHeader"/>
              <w:widowControl w:val="false"/>
              <w:bidi w:val="0"/>
              <w:rPr/>
            </w:pPr>
            <w:r>
              <w:rPr/>
              <w:t>v  %</w:t>
            </w:r>
          </w:p>
        </w:tc>
        <w:tc>
          <w:tcPr>
            <w:tcW w:w="1779" w:type="dxa"/>
            <w:tcBorders>
              <w:top w:val="single" w:sz="12" w:space="0" w:color="000000"/>
              <w:left w:val="single" w:sz="12" w:space="0" w:color="000000"/>
              <w:right w:val="single" w:sz="12" w:space="0" w:color="000000"/>
            </w:tcBorders>
            <w:vAlign w:val="center"/>
          </w:tcPr>
          <w:p>
            <w:pPr>
              <w:pStyle w:val="TopHeader"/>
              <w:widowControl w:val="false"/>
              <w:bidi w:val="0"/>
              <w:rPr/>
            </w:pPr>
            <w:r>
              <w:rPr/>
              <w:t>Podiel ÚJ na hlasovacích právach</w:t>
            </w:r>
          </w:p>
          <w:p>
            <w:pPr>
              <w:pStyle w:val="TopHeader"/>
              <w:widowControl w:val="false"/>
              <w:bidi w:val="0"/>
              <w:rPr/>
            </w:pPr>
            <w:r>
              <w:rPr/>
              <w:t>v %</w:t>
            </w:r>
          </w:p>
        </w:tc>
        <w:tc>
          <w:tcPr>
            <w:tcW w:w="1519" w:type="dxa"/>
            <w:tcBorders>
              <w:top w:val="single" w:sz="12" w:space="0" w:color="000000"/>
              <w:left w:val="single" w:sz="12" w:space="0" w:color="000000"/>
              <w:right w:val="single" w:sz="12" w:space="0" w:color="000000"/>
            </w:tcBorders>
            <w:vAlign w:val="center"/>
          </w:tcPr>
          <w:p>
            <w:pPr>
              <w:pStyle w:val="TopHeader"/>
              <w:widowControl w:val="false"/>
              <w:bidi w:val="0"/>
              <w:rPr/>
            </w:pPr>
            <w:r>
              <w:rPr/>
              <w:t>Hodnota  vlastného imania ÚJ, v ktorej má ÚJ umiestnený DFM</w:t>
            </w:r>
          </w:p>
        </w:tc>
        <w:tc>
          <w:tcPr>
            <w:tcW w:w="1743" w:type="dxa"/>
            <w:tcBorders>
              <w:top w:val="single" w:sz="12" w:space="0" w:color="000000"/>
              <w:left w:val="single" w:sz="12" w:space="0" w:color="000000"/>
              <w:right w:val="single" w:sz="12" w:space="0" w:color="000000"/>
            </w:tcBorders>
            <w:vAlign w:val="center"/>
          </w:tcPr>
          <w:p>
            <w:pPr>
              <w:pStyle w:val="TopHeader"/>
              <w:widowControl w:val="false"/>
              <w:bidi w:val="0"/>
              <w:rPr/>
            </w:pPr>
            <w:r>
              <w:rPr/>
              <w:t>Výsledok hospodárenia ÚJ, v ktorej má ÚJ umiestnený DFM</w:t>
            </w:r>
          </w:p>
        </w:tc>
        <w:tc>
          <w:tcPr>
            <w:tcW w:w="1408" w:type="dxa"/>
            <w:tcBorders>
              <w:top w:val="single" w:sz="12" w:space="0" w:color="000000"/>
              <w:left w:val="single" w:sz="12" w:space="0" w:color="000000"/>
              <w:right w:val="single" w:sz="12" w:space="0" w:color="000000"/>
            </w:tcBorders>
            <w:vAlign w:val="center"/>
          </w:tcPr>
          <w:p>
            <w:pPr>
              <w:pStyle w:val="TopHeader"/>
              <w:widowControl w:val="false"/>
              <w:bidi w:val="0"/>
              <w:rPr/>
            </w:pPr>
            <w:r>
              <w:rPr/>
              <w:t>Účtovná hodnota </w:t>
              <w:br/>
              <w:t>DFM</w:t>
            </w:r>
          </w:p>
        </w:tc>
      </w:tr>
      <w:tr>
        <w:trPr>
          <w:trHeight w:val="227" w:hRule="exact"/>
        </w:trPr>
        <w:tc>
          <w:tcPr>
            <w:tcW w:w="201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1177"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779"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1519"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c>
          <w:tcPr>
            <w:tcW w:w="1743"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e</w:t>
            </w:r>
          </w:p>
        </w:tc>
        <w:tc>
          <w:tcPr>
            <w:tcW w:w="1408"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f</w:t>
            </w:r>
          </w:p>
        </w:tc>
      </w:tr>
      <w:tr>
        <w:trPr>
          <w:trHeight w:val="329" w:hRule="atLeast"/>
        </w:trPr>
        <w:tc>
          <w:tcPr>
            <w:tcW w:w="9637" w:type="dxa"/>
            <w:gridSpan w:val="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szCs w:val="22"/>
              </w:rPr>
              <w:t>Dcérske účtovné jednotky</w:t>
            </w:r>
          </w:p>
        </w:tc>
      </w:tr>
      <w:tr>
        <w:trPr>
          <w:trHeight w:val="369" w:hRule="atLeast"/>
        </w:trPr>
        <w:tc>
          <w:tcPr>
            <w:tcW w:w="2011"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c>
          <w:tcPr>
            <w:tcW w:w="1177"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519"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4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08"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011"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17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08"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011"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177"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519"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4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08"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29" w:hRule="atLeast"/>
        </w:trPr>
        <w:tc>
          <w:tcPr>
            <w:tcW w:w="9637" w:type="dxa"/>
            <w:gridSpan w:val="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szCs w:val="22"/>
              </w:rPr>
              <w:t>Účtovné jednotky s podstatným vplyvom</w:t>
            </w:r>
          </w:p>
        </w:tc>
      </w:tr>
      <w:tr>
        <w:trPr>
          <w:trHeight w:val="369" w:hRule="atLeast"/>
        </w:trPr>
        <w:tc>
          <w:tcPr>
            <w:tcW w:w="2011"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c>
          <w:tcPr>
            <w:tcW w:w="1177"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519"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4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08"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011"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17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08"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011"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177"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519"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4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08"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9637" w:type="dxa"/>
            <w:gridSpan w:val="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szCs w:val="22"/>
              </w:rPr>
              <w:t>Ostatné realizovateľné CP a podiely</w:t>
            </w:r>
          </w:p>
        </w:tc>
      </w:tr>
      <w:tr>
        <w:trPr>
          <w:trHeight w:val="369" w:hRule="atLeast"/>
        </w:trPr>
        <w:tc>
          <w:tcPr>
            <w:tcW w:w="2011"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c>
          <w:tcPr>
            <w:tcW w:w="1177"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519"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4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08"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011"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177"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08"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011"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177"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519"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4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08"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9637" w:type="dxa"/>
            <w:gridSpan w:val="6"/>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szCs w:val="22"/>
              </w:rPr>
              <w:t>Obstarávaný DFM na účely vykonania vplyvu v inej ÚJ</w:t>
            </w:r>
          </w:p>
        </w:tc>
      </w:tr>
      <w:tr>
        <w:trPr>
          <w:trHeight w:val="369" w:hRule="atLeast"/>
        </w:trPr>
        <w:tc>
          <w:tcPr>
            <w:tcW w:w="2011"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Nie je</w:t>
            </w:r>
          </w:p>
        </w:tc>
        <w:tc>
          <w:tcPr>
            <w:tcW w:w="1177"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519"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43"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08"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011"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r>
          </w:p>
        </w:tc>
        <w:tc>
          <w:tcPr>
            <w:tcW w:w="1177"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519"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743"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08"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011"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DFM spolu</w:t>
            </w:r>
          </w:p>
        </w:tc>
        <w:tc>
          <w:tcPr>
            <w:tcW w:w="1177" w:type="dxa"/>
            <w:tcBorders>
              <w:top w:val="single" w:sz="12"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center"/>
              <w:rPr>
                <w:szCs w:val="22"/>
              </w:rPr>
            </w:pPr>
            <w:r>
              <w:rPr>
                <w:szCs w:val="22"/>
              </w:rPr>
              <w:t>x</w:t>
            </w:r>
          </w:p>
        </w:tc>
        <w:tc>
          <w:tcPr>
            <w:tcW w:w="1779"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center"/>
              <w:rPr>
                <w:szCs w:val="22"/>
              </w:rPr>
            </w:pPr>
            <w:r>
              <w:rPr>
                <w:szCs w:val="22"/>
              </w:rPr>
              <w:t>x</w:t>
            </w:r>
          </w:p>
        </w:tc>
        <w:tc>
          <w:tcPr>
            <w:tcW w:w="1519"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center"/>
              <w:rPr>
                <w:szCs w:val="22"/>
              </w:rPr>
            </w:pPr>
            <w:r>
              <w:rPr>
                <w:szCs w:val="22"/>
              </w:rPr>
              <w:t>x</w:t>
            </w:r>
          </w:p>
        </w:tc>
        <w:tc>
          <w:tcPr>
            <w:tcW w:w="1743"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center"/>
              <w:rPr>
                <w:szCs w:val="22"/>
              </w:rPr>
            </w:pPr>
            <w:r>
              <w:rPr>
                <w:szCs w:val="22"/>
              </w:rPr>
              <w:t>x</w:t>
            </w:r>
          </w:p>
        </w:tc>
        <w:tc>
          <w:tcPr>
            <w:tcW w:w="1408" w:type="dxa"/>
            <w:tcBorders>
              <w:top w:val="single" w:sz="12"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ormal"/>
        <w:bidi w:val="0"/>
        <w:jc w:val="left"/>
        <w:rPr>
          <w:rFonts w:ascii="Arial" w:hAnsi="Arial" w:cs="Arial"/>
          <w:b/>
        </w:rPr>
      </w:pPr>
      <w:r>
        <w:rPr>
          <w:rFonts w:cs="Arial" w:ascii="Arial" w:hAnsi="Arial"/>
          <w:b/>
        </w:rPr>
      </w:r>
    </w:p>
    <w:p>
      <w:pPr>
        <w:pStyle w:val="Normal"/>
        <w:bidi w:val="0"/>
        <w:jc w:val="both"/>
        <w:rPr>
          <w:rFonts w:ascii="Arial" w:hAnsi="Arial" w:cs="Arial"/>
          <w:b/>
        </w:rPr>
      </w:pPr>
      <w:r>
        <w:rPr>
          <w:rFonts w:cs="Arial" w:ascii="Arial" w:hAnsi="Arial"/>
          <w:b/>
        </w:rPr>
        <w:t>opravné položky dlhodobého finančného majetku</w:t>
      </w:r>
    </w:p>
    <w:p>
      <w:pPr>
        <w:pStyle w:val="Normal"/>
        <w:bidi w:val="0"/>
        <w:jc w:val="both"/>
        <w:rPr>
          <w:rFonts w:ascii="Arial" w:hAnsi="Arial" w:cs="Arial"/>
        </w:rPr>
      </w:pPr>
      <w:r>
        <w:rPr>
          <w:rFonts w:cs="Arial" w:ascii="Arial" w:hAnsi="Arial"/>
        </w:rPr>
        <w:t>Spoločnosť opravné položky dlhodobého finančného majetku netvorilo.</w:t>
      </w:r>
    </w:p>
    <w:p>
      <w:pPr>
        <w:pStyle w:val="Normal"/>
        <w:bidi w:val="0"/>
        <w:jc w:val="both"/>
        <w:rPr>
          <w:rFonts w:ascii="Arial" w:hAnsi="Arial" w:cs="Arial"/>
        </w:rPr>
      </w:pPr>
      <w:r>
        <w:rPr/>
      </w:r>
    </w:p>
    <w:p>
      <w:pPr>
        <w:pStyle w:val="Normal"/>
        <w:bidi w:val="0"/>
        <w:jc w:val="both"/>
        <w:rPr>
          <w:rFonts w:ascii="Arial" w:hAnsi="Arial" w:cs="Arial"/>
          <w:b/>
        </w:rPr>
      </w:pPr>
      <w:r>
        <w:rPr>
          <w:rFonts w:cs="Arial" w:ascii="Arial" w:hAnsi="Arial"/>
          <w:b/>
        </w:rPr>
        <w:t>zmeny v jednotlivých zložkách dlhodobého finančného majetku</w:t>
      </w:r>
    </w:p>
    <w:p>
      <w:pPr>
        <w:pStyle w:val="Normal"/>
        <w:bidi w:val="0"/>
        <w:jc w:val="both"/>
        <w:rPr>
          <w:rFonts w:ascii="Arial" w:hAnsi="Arial" w:cs="Arial"/>
        </w:rPr>
      </w:pPr>
      <w:r>
        <w:rPr>
          <w:rFonts w:cs="Arial" w:ascii="Arial" w:hAnsi="Arial"/>
        </w:rPr>
        <w:t>Spoločnosť nemalo žiadne zmeny v zložkách dlhodobého finančného majetku.</w:t>
      </w:r>
    </w:p>
    <w:p>
      <w:pPr>
        <w:pStyle w:val="Normal"/>
        <w:bidi w:val="0"/>
        <w:jc w:val="both"/>
        <w:rPr>
          <w:rFonts w:ascii="Arial" w:hAnsi="Arial" w:cs="Arial"/>
        </w:rPr>
      </w:pPr>
      <w:r>
        <w:rPr/>
      </w:r>
    </w:p>
    <w:p>
      <w:pPr>
        <w:pStyle w:val="Normal"/>
        <w:bidi w:val="0"/>
        <w:jc w:val="both"/>
        <w:rPr>
          <w:rFonts w:ascii="Arial" w:hAnsi="Arial" w:cs="Arial"/>
          <w:b/>
        </w:rPr>
      </w:pPr>
      <w:r>
        <w:rPr>
          <w:rFonts w:cs="Arial" w:ascii="Arial" w:hAnsi="Arial"/>
          <w:b/>
        </w:rPr>
        <w:t>dlhodobý finančný majetok, na ktorý je zriadené záložné právo a dlhodobý majetok, pri ktorom má účtovná jednotka obmedzené právo s ním nakladať</w:t>
      </w:r>
    </w:p>
    <w:p>
      <w:pPr>
        <w:pStyle w:val="Normal"/>
        <w:bidi w:val="0"/>
        <w:jc w:val="both"/>
        <w:rPr>
          <w:rFonts w:ascii="Arial" w:hAnsi="Arial" w:cs="Arial"/>
        </w:rPr>
      </w:pPr>
      <w:r>
        <w:rPr>
          <w:rFonts w:cs="Arial" w:ascii="Arial" w:hAnsi="Arial"/>
        </w:rPr>
        <w:t>Spoločnosť nemá žiadny dlhodobý finančný majetok, na ktorý je zriadené záložné právo.</w:t>
      </w:r>
    </w:p>
    <w:p>
      <w:pPr>
        <w:pStyle w:val="Normal"/>
        <w:bidi w:val="0"/>
        <w:jc w:val="both"/>
        <w:rPr>
          <w:rFonts w:ascii="Arial" w:hAnsi="Arial" w:cs="Arial"/>
        </w:rPr>
      </w:pPr>
      <w:r>
        <w:rPr/>
      </w:r>
    </w:p>
    <w:p>
      <w:pPr>
        <w:pStyle w:val="Normal"/>
        <w:bidi w:val="0"/>
        <w:jc w:val="both"/>
        <w:rPr>
          <w:rFonts w:ascii="Arial" w:hAnsi="Arial" w:cs="Arial"/>
          <w:b/>
        </w:rPr>
      </w:pPr>
      <w:r>
        <w:rPr>
          <w:rFonts w:cs="Arial" w:ascii="Arial" w:hAnsi="Arial"/>
          <w:b/>
        </w:rPr>
        <w:t>ocenenie dlhodobého finančného majetku reálnou hodnotou</w:t>
      </w:r>
    </w:p>
    <w:p>
      <w:pPr>
        <w:pStyle w:val="Normal"/>
        <w:bidi w:val="0"/>
        <w:jc w:val="both"/>
        <w:rPr>
          <w:rFonts w:ascii="Arial" w:hAnsi="Arial" w:cs="Arial"/>
        </w:rPr>
      </w:pPr>
      <w:r>
        <w:rPr>
          <w:rFonts w:cs="Arial" w:ascii="Arial" w:hAnsi="Arial"/>
        </w:rPr>
        <w:t>Spoločnosť nemá žiadny finančný majetok ocenený reálnou hodnotou.</w:t>
      </w:r>
    </w:p>
    <w:p>
      <w:pPr>
        <w:pStyle w:val="Normal"/>
        <w:bidi w:val="0"/>
        <w:jc w:val="both"/>
        <w:rPr>
          <w:rFonts w:ascii="Arial" w:hAnsi="Arial" w:cs="Arial"/>
        </w:rPr>
      </w:pPr>
      <w:r>
        <w:rPr/>
      </w:r>
    </w:p>
    <w:p>
      <w:pPr>
        <w:pStyle w:val="Nzov"/>
        <w:keepNext w:val="false"/>
        <w:widowControl w:val="false"/>
        <w:numPr>
          <w:ilvl w:val="0"/>
          <w:numId w:val="6"/>
        </w:numPr>
        <w:bidi w:val="0"/>
        <w:spacing w:beforeAutospacing="0" w:before="0" w:after="0"/>
        <w:ind w:left="357" w:hanging="357"/>
        <w:jc w:val="left"/>
        <w:rPr>
          <w:szCs w:val="22"/>
        </w:rPr>
      </w:pPr>
      <w:r>
        <w:rPr>
          <w:szCs w:val="22"/>
        </w:rPr>
        <w:t xml:space="preserve">Informácie k prílohe č. 3 časti F. písm. j) a l) o dlhových CP držaných do splatnosti </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2571"/>
        <w:gridCol w:w="761"/>
        <w:gridCol w:w="1336"/>
        <w:gridCol w:w="1188"/>
        <w:gridCol w:w="1187"/>
        <w:gridCol w:w="1482"/>
        <w:gridCol w:w="1112"/>
      </w:tblGrid>
      <w:tr>
        <w:trPr>
          <w:trHeight w:val="644" w:hRule="atLeast"/>
        </w:trPr>
        <w:tc>
          <w:tcPr>
            <w:tcW w:w="2571" w:type="dxa"/>
            <w:tcBorders>
              <w:top w:val="single" w:sz="12" w:space="0" w:color="000000"/>
              <w:left w:val="single" w:sz="12" w:space="0" w:color="000000"/>
              <w:right w:val="single" w:sz="12" w:space="0" w:color="000000"/>
            </w:tcBorders>
            <w:vAlign w:val="center"/>
          </w:tcPr>
          <w:p>
            <w:pPr>
              <w:pStyle w:val="TopHeader"/>
              <w:widowControl w:val="false"/>
              <w:bidi w:val="0"/>
              <w:rPr/>
            </w:pPr>
            <w:r>
              <w:rPr/>
              <w:t>Dlhové CP</w:t>
              <w:br/>
              <w:t xml:space="preserve"> držané do splatnosti</w:t>
            </w:r>
          </w:p>
        </w:tc>
        <w:tc>
          <w:tcPr>
            <w:tcW w:w="761" w:type="dxa"/>
            <w:tcBorders>
              <w:top w:val="single" w:sz="12" w:space="0" w:color="000000"/>
              <w:left w:val="single" w:sz="12" w:space="0" w:color="000000"/>
              <w:right w:val="single" w:sz="12" w:space="0" w:color="000000"/>
            </w:tcBorders>
            <w:vAlign w:val="center"/>
          </w:tcPr>
          <w:p>
            <w:pPr>
              <w:pStyle w:val="TopHeader"/>
              <w:widowControl w:val="false"/>
              <w:bidi w:val="0"/>
              <w:rPr/>
            </w:pPr>
            <w:r>
              <w:rPr/>
              <w:t>Druh CP</w:t>
            </w:r>
          </w:p>
        </w:tc>
        <w:tc>
          <w:tcPr>
            <w:tcW w:w="1336"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na začiatku účtovného obdobia</w:t>
            </w:r>
          </w:p>
        </w:tc>
        <w:tc>
          <w:tcPr>
            <w:tcW w:w="1188" w:type="dxa"/>
            <w:tcBorders>
              <w:top w:val="single" w:sz="12" w:space="0" w:color="000000"/>
              <w:left w:val="single" w:sz="12" w:space="0" w:color="000000"/>
              <w:right w:val="single" w:sz="12" w:space="0" w:color="000000"/>
            </w:tcBorders>
            <w:vAlign w:val="center"/>
          </w:tcPr>
          <w:p>
            <w:pPr>
              <w:pStyle w:val="TopHeader"/>
              <w:widowControl w:val="false"/>
              <w:bidi w:val="0"/>
              <w:rPr/>
            </w:pPr>
            <w:r>
              <w:rPr/>
              <w:t>Zvýšenie hodnoty</w:t>
            </w:r>
          </w:p>
        </w:tc>
        <w:tc>
          <w:tcPr>
            <w:tcW w:w="1187" w:type="dxa"/>
            <w:tcBorders>
              <w:top w:val="single" w:sz="12" w:space="0" w:color="000000"/>
              <w:left w:val="single" w:sz="12" w:space="0" w:color="000000"/>
              <w:right w:val="single" w:sz="12" w:space="0" w:color="000000"/>
            </w:tcBorders>
            <w:vAlign w:val="center"/>
          </w:tcPr>
          <w:p>
            <w:pPr>
              <w:pStyle w:val="TopHeader"/>
              <w:widowControl w:val="false"/>
              <w:bidi w:val="0"/>
              <w:rPr/>
            </w:pPr>
            <w:r>
              <w:rPr/>
              <w:t>Zníženie hodnoty</w:t>
            </w:r>
          </w:p>
        </w:tc>
        <w:tc>
          <w:tcPr>
            <w:tcW w:w="1482" w:type="dxa"/>
            <w:tcBorders>
              <w:top w:val="single" w:sz="12" w:space="0" w:color="000000"/>
              <w:left w:val="single" w:sz="12" w:space="0" w:color="000000"/>
              <w:right w:val="single" w:sz="12" w:space="0" w:color="000000"/>
            </w:tcBorders>
            <w:vAlign w:val="center"/>
          </w:tcPr>
          <w:p>
            <w:pPr>
              <w:pStyle w:val="TopHeader"/>
              <w:widowControl w:val="false"/>
              <w:bidi w:val="0"/>
              <w:rPr/>
            </w:pPr>
            <w:r>
              <w:rPr/>
              <w:t>Vyradenie dlhového CP z účtovníctva</w:t>
            </w:r>
          </w:p>
          <w:p>
            <w:pPr>
              <w:pStyle w:val="TopHeader"/>
              <w:widowControl w:val="false"/>
              <w:bidi w:val="0"/>
              <w:rPr/>
            </w:pPr>
            <w:r>
              <w:rPr/>
              <w:t>v účtovnom období</w:t>
            </w:r>
          </w:p>
        </w:tc>
        <w:tc>
          <w:tcPr>
            <w:tcW w:w="1112"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w:t>
              <w:br/>
              <w:t>na konci účtov-ného obdobia</w:t>
            </w:r>
          </w:p>
        </w:tc>
      </w:tr>
      <w:tr>
        <w:trPr>
          <w:trHeight w:val="227" w:hRule="exact"/>
        </w:trPr>
        <w:tc>
          <w:tcPr>
            <w:tcW w:w="257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76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336"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1188"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c>
          <w:tcPr>
            <w:tcW w:w="1187"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e</w:t>
            </w:r>
          </w:p>
        </w:tc>
        <w:tc>
          <w:tcPr>
            <w:tcW w:w="1482"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f</w:t>
            </w:r>
          </w:p>
        </w:tc>
        <w:tc>
          <w:tcPr>
            <w:tcW w:w="1112"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g</w:t>
            </w:r>
          </w:p>
        </w:tc>
      </w:tr>
      <w:tr>
        <w:trPr>
          <w:trHeight w:val="340" w:hRule="atLeast"/>
        </w:trPr>
        <w:tc>
          <w:tcPr>
            <w:tcW w:w="2571"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Do splatnosti viac ako päť rokov</w:t>
            </w:r>
          </w:p>
        </w:tc>
        <w:tc>
          <w:tcPr>
            <w:tcW w:w="761" w:type="dxa"/>
            <w:tcBorders>
              <w:top w:val="single" w:sz="12"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336"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t>Nie sú</w:t>
            </w:r>
          </w:p>
        </w:tc>
        <w:tc>
          <w:tcPr>
            <w:tcW w:w="1188"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7"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12"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12" w:type="dxa"/>
            <w:tcBorders>
              <w:top w:val="single" w:sz="12"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c>
          <w:tcPr>
            <w:tcW w:w="257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Do splatnosti  viac ako tri roky a najviac päť rokov vrátane</w:t>
            </w:r>
          </w:p>
        </w:tc>
        <w:tc>
          <w:tcPr>
            <w:tcW w:w="761"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3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t>Nie sú</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12"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c>
          <w:tcPr>
            <w:tcW w:w="257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Do splatnosti viac ako jeden rok a najviac tri roky vrátane</w:t>
            </w:r>
          </w:p>
        </w:tc>
        <w:tc>
          <w:tcPr>
            <w:tcW w:w="761"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3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t>Nie sú</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12"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c>
          <w:tcPr>
            <w:tcW w:w="257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Do splatnosti do jedného roka vrátane</w:t>
            </w:r>
          </w:p>
        </w:tc>
        <w:tc>
          <w:tcPr>
            <w:tcW w:w="761"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3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t>Nie sú</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1112"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c>
          <w:tcPr>
            <w:tcW w:w="2571"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Dlhové CP držané do splatnosti spolu</w:t>
            </w:r>
          </w:p>
        </w:tc>
        <w:tc>
          <w:tcPr>
            <w:tcW w:w="761" w:type="dxa"/>
            <w:tcBorders>
              <w:top w:val="single" w:sz="6"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center"/>
              <w:rPr>
                <w:szCs w:val="22"/>
              </w:rPr>
            </w:pPr>
            <w:r>
              <w:rPr>
                <w:szCs w:val="22"/>
              </w:rPr>
              <w:t>x</w:t>
            </w:r>
          </w:p>
        </w:tc>
        <w:tc>
          <w:tcPr>
            <w:tcW w:w="1336"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b/>
                <w:szCs w:val="22"/>
              </w:rPr>
            </w:pPr>
            <w:r>
              <w:rPr>
                <w:b/>
                <w:szCs w:val="22"/>
              </w:rPr>
            </w:r>
          </w:p>
        </w:tc>
        <w:tc>
          <w:tcPr>
            <w:tcW w:w="1188"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b/>
                <w:szCs w:val="22"/>
              </w:rPr>
            </w:pPr>
            <w:r>
              <w:rPr>
                <w:b/>
                <w:szCs w:val="22"/>
              </w:rPr>
            </w:r>
          </w:p>
        </w:tc>
        <w:tc>
          <w:tcPr>
            <w:tcW w:w="1187"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b/>
                <w:szCs w:val="22"/>
              </w:rPr>
            </w:pPr>
            <w:r>
              <w:rPr>
                <w:b/>
                <w:szCs w:val="22"/>
              </w:rPr>
            </w:r>
          </w:p>
        </w:tc>
        <w:tc>
          <w:tcPr>
            <w:tcW w:w="1482" w:type="dxa"/>
            <w:tcBorders>
              <w:top w:val="single" w:sz="6"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b/>
                <w:szCs w:val="22"/>
              </w:rPr>
            </w:pPr>
            <w:r>
              <w:rPr>
                <w:b/>
                <w:szCs w:val="22"/>
              </w:rPr>
            </w:r>
          </w:p>
        </w:tc>
        <w:tc>
          <w:tcPr>
            <w:tcW w:w="1112" w:type="dxa"/>
            <w:tcBorders>
              <w:top w:val="single" w:sz="6"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r>
          </w:p>
        </w:tc>
      </w:tr>
    </w:tbl>
    <w:p>
      <w:pPr>
        <w:pStyle w:val="Normal"/>
        <w:bidi w:val="0"/>
        <w:spacing w:lineRule="auto" w:line="240" w:before="0" w:after="120"/>
        <w:jc w:val="left"/>
        <w:rPr>
          <w:szCs w:val="22"/>
        </w:rPr>
      </w:pPr>
      <w:r>
        <w:rPr>
          <w:szCs w:val="22"/>
        </w:rPr>
      </w:r>
    </w:p>
    <w:p>
      <w:pPr>
        <w:pStyle w:val="Normal"/>
        <w:bidi w:val="0"/>
        <w:spacing w:lineRule="auto" w:line="240" w:before="0" w:after="120"/>
        <w:jc w:val="left"/>
        <w:rPr>
          <w:szCs w:val="22"/>
        </w:rPr>
      </w:pPr>
      <w:r>
        <w:rPr>
          <w:szCs w:val="22"/>
        </w:rPr>
      </w:r>
    </w:p>
    <w:p>
      <w:pPr>
        <w:pStyle w:val="Normal"/>
        <w:bidi w:val="0"/>
        <w:spacing w:lineRule="auto" w:line="240" w:before="0" w:after="120"/>
        <w:jc w:val="left"/>
        <w:rPr>
          <w:szCs w:val="22"/>
        </w:rPr>
      </w:pPr>
      <w:r>
        <w:rPr>
          <w:szCs w:val="22"/>
        </w:rPr>
      </w:r>
    </w:p>
    <w:p>
      <w:pPr>
        <w:pStyle w:val="Normal"/>
        <w:bidi w:val="0"/>
        <w:spacing w:lineRule="auto" w:line="240" w:before="0" w:after="120"/>
        <w:jc w:val="left"/>
        <w:rPr>
          <w:szCs w:val="22"/>
        </w:rPr>
      </w:pPr>
      <w:r>
        <w:rPr>
          <w:szCs w:val="22"/>
        </w:rPr>
      </w:r>
    </w:p>
    <w:p>
      <w:pPr>
        <w:pStyle w:val="Nzov"/>
        <w:keepNext w:val="false"/>
        <w:widowControl w:val="false"/>
        <w:numPr>
          <w:ilvl w:val="0"/>
          <w:numId w:val="6"/>
        </w:numPr>
        <w:bidi w:val="0"/>
        <w:spacing w:beforeAutospacing="0" w:before="0" w:after="0"/>
        <w:jc w:val="left"/>
        <w:rPr>
          <w:szCs w:val="22"/>
        </w:rPr>
      </w:pPr>
      <w:r>
        <w:rPr>
          <w:szCs w:val="22"/>
        </w:rPr>
        <w:t>Informácie k prílohe č. 3 časti F. písm. j) a l) o poskytnutých dlhodobých pôžičkách</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2901"/>
        <w:gridCol w:w="1527"/>
        <w:gridCol w:w="1194"/>
        <w:gridCol w:w="1164"/>
        <w:gridCol w:w="1597"/>
        <w:gridCol w:w="1254"/>
      </w:tblGrid>
      <w:tr>
        <w:trPr>
          <w:trHeight w:val="996" w:hRule="atLeast"/>
        </w:trPr>
        <w:tc>
          <w:tcPr>
            <w:tcW w:w="2901" w:type="dxa"/>
            <w:tcBorders>
              <w:top w:val="single" w:sz="12" w:space="0" w:color="000000"/>
              <w:left w:val="single" w:sz="12" w:space="0" w:color="000000"/>
              <w:right w:val="single" w:sz="12" w:space="0" w:color="000000"/>
            </w:tcBorders>
            <w:vAlign w:val="center"/>
          </w:tcPr>
          <w:p>
            <w:pPr>
              <w:pStyle w:val="TopHeader"/>
              <w:widowControl w:val="false"/>
              <w:bidi w:val="0"/>
              <w:rPr/>
            </w:pPr>
            <w:r>
              <w:rPr/>
              <w:t>Dlhodobé pôžičky</w:t>
            </w:r>
          </w:p>
        </w:tc>
        <w:tc>
          <w:tcPr>
            <w:tcW w:w="1527"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w:t>
              <w:br/>
              <w:t>na začiatku účtovného obdobia</w:t>
            </w:r>
          </w:p>
        </w:tc>
        <w:tc>
          <w:tcPr>
            <w:tcW w:w="1194" w:type="dxa"/>
            <w:tcBorders>
              <w:top w:val="single" w:sz="12" w:space="0" w:color="000000"/>
              <w:left w:val="single" w:sz="12" w:space="0" w:color="000000"/>
              <w:right w:val="single" w:sz="12" w:space="0" w:color="000000"/>
            </w:tcBorders>
            <w:vAlign w:val="center"/>
          </w:tcPr>
          <w:p>
            <w:pPr>
              <w:pStyle w:val="TopHeader"/>
              <w:widowControl w:val="false"/>
              <w:bidi w:val="0"/>
              <w:rPr/>
            </w:pPr>
            <w:r>
              <w:rPr/>
              <w:t>Zvýšenie hodnoty</w:t>
            </w:r>
          </w:p>
        </w:tc>
        <w:tc>
          <w:tcPr>
            <w:tcW w:w="1164" w:type="dxa"/>
            <w:tcBorders>
              <w:top w:val="single" w:sz="12" w:space="0" w:color="000000"/>
              <w:left w:val="single" w:sz="12" w:space="0" w:color="000000"/>
              <w:right w:val="single" w:sz="12" w:space="0" w:color="000000"/>
            </w:tcBorders>
            <w:vAlign w:val="center"/>
          </w:tcPr>
          <w:p>
            <w:pPr>
              <w:pStyle w:val="TopHeader"/>
              <w:widowControl w:val="false"/>
              <w:bidi w:val="0"/>
              <w:rPr/>
            </w:pPr>
            <w:r>
              <w:rPr/>
              <w:t>Zníženie hodnoty</w:t>
            </w:r>
          </w:p>
        </w:tc>
        <w:tc>
          <w:tcPr>
            <w:tcW w:w="1597" w:type="dxa"/>
            <w:tcBorders>
              <w:top w:val="single" w:sz="12" w:space="0" w:color="000000"/>
              <w:left w:val="single" w:sz="12" w:space="0" w:color="000000"/>
              <w:right w:val="single" w:sz="12" w:space="0" w:color="000000"/>
            </w:tcBorders>
            <w:vAlign w:val="center"/>
          </w:tcPr>
          <w:p>
            <w:pPr>
              <w:pStyle w:val="TopHeader"/>
              <w:widowControl w:val="false"/>
              <w:bidi w:val="0"/>
              <w:rPr/>
            </w:pPr>
            <w:r>
              <w:rPr/>
              <w:t>Vyradenie pôžičky z účtovníctva v účtovnom období</w:t>
            </w:r>
          </w:p>
        </w:tc>
        <w:tc>
          <w:tcPr>
            <w:tcW w:w="1254"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w:t>
              <w:br/>
              <w:t>na konci účtovného obdobia</w:t>
            </w:r>
          </w:p>
        </w:tc>
      </w:tr>
      <w:tr>
        <w:trPr>
          <w:trHeight w:val="227" w:hRule="exact"/>
        </w:trPr>
        <w:tc>
          <w:tcPr>
            <w:tcW w:w="290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1527"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194"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1164"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c>
          <w:tcPr>
            <w:tcW w:w="1597"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e</w:t>
            </w:r>
          </w:p>
        </w:tc>
        <w:tc>
          <w:tcPr>
            <w:tcW w:w="1254"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f</w:t>
            </w:r>
          </w:p>
        </w:tc>
      </w:tr>
      <w:tr>
        <w:trPr>
          <w:trHeight w:val="340" w:hRule="atLeast"/>
        </w:trPr>
        <w:tc>
          <w:tcPr>
            <w:tcW w:w="2901"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Do splatnosti viac ako päť rokov</w:t>
            </w:r>
          </w:p>
        </w:tc>
        <w:tc>
          <w:tcPr>
            <w:tcW w:w="1527"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Nie sú</w:t>
            </w:r>
          </w:p>
        </w:tc>
        <w:tc>
          <w:tcPr>
            <w:tcW w:w="1194"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64"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97"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4"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c>
          <w:tcPr>
            <w:tcW w:w="290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Do splatnosti viac ako tri roky a najviac päť rokov vrátane</w:t>
            </w:r>
          </w:p>
        </w:tc>
        <w:tc>
          <w:tcPr>
            <w:tcW w:w="1527"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Nie sú</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4"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c>
          <w:tcPr>
            <w:tcW w:w="290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Do splatnosti viac ako jeden rok a najviac tri roky vrátane</w:t>
            </w:r>
          </w:p>
        </w:tc>
        <w:tc>
          <w:tcPr>
            <w:tcW w:w="1527"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Nie sú</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4"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c>
          <w:tcPr>
            <w:tcW w:w="290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Do splatnosti do jedného roka vrátane</w:t>
            </w:r>
          </w:p>
        </w:tc>
        <w:tc>
          <w:tcPr>
            <w:tcW w:w="1527"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Nie sú</w:t>
            </w:r>
          </w:p>
        </w:tc>
        <w:tc>
          <w:tcPr>
            <w:tcW w:w="11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4"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rHeight w:val="340" w:hRule="atLeast"/>
        </w:trPr>
        <w:tc>
          <w:tcPr>
            <w:tcW w:w="2901"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Dlhodobé pôžičky spolu</w:t>
            </w:r>
          </w:p>
        </w:tc>
        <w:tc>
          <w:tcPr>
            <w:tcW w:w="1527"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194"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164"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59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254"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r>
          </w:p>
        </w:tc>
      </w:tr>
    </w:tbl>
    <w:p>
      <w:pPr>
        <w:pStyle w:val="Normal"/>
        <w:bidi w:val="0"/>
        <w:jc w:val="left"/>
        <w:rPr>
          <w:b/>
        </w:rPr>
      </w:pPr>
      <w:r>
        <w:rPr>
          <w:b/>
        </w:rPr>
      </w:r>
    </w:p>
    <w:p>
      <w:pPr>
        <w:pStyle w:val="Normal"/>
        <w:bidi w:val="0"/>
        <w:jc w:val="left"/>
        <w:rPr>
          <w:rFonts w:ascii="Arial" w:hAnsi="Arial" w:cs="Arial"/>
          <w:b/>
        </w:rPr>
      </w:pPr>
      <w:r>
        <w:rPr>
          <w:rFonts w:cs="Arial" w:ascii="Arial" w:hAnsi="Arial"/>
          <w:b/>
        </w:rPr>
      </w:r>
    </w:p>
    <w:p>
      <w:pPr>
        <w:pStyle w:val="Normal"/>
        <w:bidi w:val="0"/>
        <w:jc w:val="left"/>
        <w:rPr>
          <w:rFonts w:ascii="Arial" w:hAnsi="Arial" w:cs="Arial"/>
          <w:b/>
        </w:rPr>
      </w:pPr>
      <w:r>
        <w:rPr>
          <w:rFonts w:cs="Arial" w:ascii="Arial" w:hAnsi="Arial"/>
          <w:b/>
        </w:rPr>
        <w:t>opravné položky k zásobám</w:t>
      </w:r>
    </w:p>
    <w:p>
      <w:pPr>
        <w:pStyle w:val="Normal"/>
        <w:bidi w:val="0"/>
        <w:jc w:val="left"/>
        <w:rPr>
          <w:rFonts w:ascii="Arial" w:hAnsi="Arial" w:cs="Arial"/>
        </w:rPr>
      </w:pPr>
      <w:r>
        <w:rPr>
          <w:rFonts w:cs="Arial" w:ascii="Arial" w:hAnsi="Arial"/>
        </w:rPr>
        <w:t xml:space="preserve">Spoločnosť opravné položky k zásobám  netvorilo. </w:t>
      </w:r>
    </w:p>
    <w:p>
      <w:pPr>
        <w:pStyle w:val="Normal"/>
        <w:bidi w:val="0"/>
        <w:jc w:val="left"/>
        <w:rPr>
          <w:rFonts w:ascii="Arial" w:hAnsi="Arial" w:cs="Arial"/>
        </w:rPr>
      </w:pPr>
      <w:r>
        <w:rPr/>
      </w:r>
    </w:p>
    <w:p>
      <w:pPr>
        <w:pStyle w:val="ListParagraph"/>
        <w:numPr>
          <w:ilvl w:val="0"/>
          <w:numId w:val="6"/>
        </w:numPr>
        <w:bidi w:val="0"/>
        <w:jc w:val="left"/>
        <w:rPr>
          <w:b/>
          <w:bCs/>
          <w:szCs w:val="22"/>
        </w:rPr>
      </w:pPr>
      <w:r>
        <w:rPr>
          <w:b/>
          <w:bCs/>
          <w:szCs w:val="22"/>
        </w:rPr>
        <w:t>Informácie k prílohe č. 3  časti F. písm. o) o opravných položkách k zásobám</w:t>
      </w:r>
    </w:p>
    <w:p>
      <w:pPr>
        <w:pStyle w:val="Normal"/>
        <w:bidi w:val="0"/>
        <w:spacing w:lineRule="auto" w:line="240" w:before="0" w:after="0"/>
        <w:jc w:val="left"/>
        <w:rPr>
          <w:szCs w:val="22"/>
        </w:rPr>
      </w:pPr>
      <w:r>
        <w:rPr>
          <w:szCs w:val="22"/>
        </w:rPr>
        <w:t>Tabuľka č. 1</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2447"/>
        <w:gridCol w:w="1480"/>
        <w:gridCol w:w="1040"/>
        <w:gridCol w:w="1779"/>
        <w:gridCol w:w="1641"/>
        <w:gridCol w:w="1250"/>
      </w:tblGrid>
      <w:tr>
        <w:trPr/>
        <w:tc>
          <w:tcPr>
            <w:tcW w:w="2447"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Zásoby</w:t>
            </w:r>
          </w:p>
        </w:tc>
        <w:tc>
          <w:tcPr>
            <w:tcW w:w="7190" w:type="dxa"/>
            <w:gridSpan w:val="5"/>
            <w:tcBorders>
              <w:top w:val="single" w:sz="12" w:space="0" w:color="000000"/>
              <w:left w:val="single" w:sz="12" w:space="0" w:color="000000"/>
              <w:right w:val="single" w:sz="12" w:space="0" w:color="000000"/>
            </w:tcBorders>
            <w:vAlign w:val="center"/>
          </w:tcPr>
          <w:p>
            <w:pPr>
              <w:pStyle w:val="TopHeader"/>
              <w:widowControl w:val="false"/>
              <w:bidi w:val="0"/>
              <w:rPr/>
            </w:pPr>
            <w:r>
              <w:rPr/>
              <w:t>Bežné účtovné obdobie</w:t>
            </w:r>
          </w:p>
        </w:tc>
      </w:tr>
      <w:tr>
        <w:trPr/>
        <w:tc>
          <w:tcPr>
            <w:tcW w:w="2447"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480"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OP na začiatku účtovného obdobia</w:t>
            </w:r>
          </w:p>
        </w:tc>
        <w:tc>
          <w:tcPr>
            <w:tcW w:w="1040" w:type="dxa"/>
            <w:tcBorders>
              <w:top w:val="single" w:sz="12" w:space="0" w:color="000000"/>
              <w:left w:val="single" w:sz="12" w:space="0" w:color="000000"/>
              <w:right w:val="single" w:sz="12" w:space="0" w:color="000000"/>
            </w:tcBorders>
            <w:vAlign w:val="center"/>
          </w:tcPr>
          <w:p>
            <w:pPr>
              <w:pStyle w:val="TopHeader"/>
              <w:widowControl w:val="false"/>
              <w:bidi w:val="0"/>
              <w:rPr/>
            </w:pPr>
            <w:r>
              <w:rPr/>
              <w:t>Tvorba</w:t>
            </w:r>
          </w:p>
          <w:p>
            <w:pPr>
              <w:pStyle w:val="TopHeader"/>
              <w:widowControl w:val="false"/>
              <w:bidi w:val="0"/>
              <w:rPr/>
            </w:pPr>
            <w:r>
              <w:rPr/>
              <w:t>OP</w:t>
            </w:r>
          </w:p>
          <w:p>
            <w:pPr>
              <w:pStyle w:val="TopHeader"/>
              <w:widowControl w:val="false"/>
              <w:bidi w:val="0"/>
              <w:rPr/>
            </w:pPr>
            <w:r>
              <w:rPr/>
            </w:r>
          </w:p>
        </w:tc>
        <w:tc>
          <w:tcPr>
            <w:tcW w:w="1779" w:type="dxa"/>
            <w:tcBorders>
              <w:top w:val="single" w:sz="12" w:space="0" w:color="000000"/>
              <w:left w:val="single" w:sz="12" w:space="0" w:color="000000"/>
              <w:right w:val="single" w:sz="12" w:space="0" w:color="000000"/>
            </w:tcBorders>
            <w:vAlign w:val="center"/>
          </w:tcPr>
          <w:p>
            <w:pPr>
              <w:pStyle w:val="TopHeader"/>
              <w:widowControl w:val="false"/>
              <w:bidi w:val="0"/>
              <w:rPr/>
            </w:pPr>
            <w:r>
              <w:rPr/>
              <w:t>Zúčtovanie OP z dôvodu zániku opodstatnenosti</w:t>
            </w:r>
          </w:p>
        </w:tc>
        <w:tc>
          <w:tcPr>
            <w:tcW w:w="1641" w:type="dxa"/>
            <w:tcBorders>
              <w:top w:val="single" w:sz="12" w:space="0" w:color="000000"/>
              <w:left w:val="single" w:sz="12" w:space="0" w:color="000000"/>
              <w:right w:val="single" w:sz="12" w:space="0" w:color="000000"/>
            </w:tcBorders>
            <w:vAlign w:val="center"/>
          </w:tcPr>
          <w:p>
            <w:pPr>
              <w:pStyle w:val="TopHeader"/>
              <w:widowControl w:val="false"/>
              <w:bidi w:val="0"/>
              <w:rPr/>
            </w:pPr>
            <w:r>
              <w:rPr/>
              <w:t xml:space="preserve">Zúčtovanie OP z dôvodu vyradenia majetku </w:t>
              <w:br/>
              <w:t>z účtovníctva</w:t>
            </w:r>
          </w:p>
        </w:tc>
        <w:tc>
          <w:tcPr>
            <w:tcW w:w="1250"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OP na konci účtovného obdobia</w:t>
            </w:r>
          </w:p>
        </w:tc>
      </w:tr>
      <w:tr>
        <w:trPr>
          <w:trHeight w:val="277" w:hRule="exact"/>
        </w:trPr>
        <w:tc>
          <w:tcPr>
            <w:tcW w:w="2447"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1480"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040"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1779"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c>
          <w:tcPr>
            <w:tcW w:w="164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e</w:t>
            </w:r>
          </w:p>
        </w:tc>
        <w:tc>
          <w:tcPr>
            <w:tcW w:w="1250"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f</w:t>
            </w:r>
          </w:p>
        </w:tc>
      </w:tr>
      <w:tr>
        <w:trPr>
          <w:trHeight w:val="369" w:hRule="atLeast"/>
        </w:trPr>
        <w:tc>
          <w:tcPr>
            <w:tcW w:w="2447"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Materiál</w:t>
            </w:r>
          </w:p>
        </w:tc>
        <w:tc>
          <w:tcPr>
            <w:tcW w:w="1480"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40"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41"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0"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447"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Nedokončená výroba a polotovary vlastnej výroby</w:t>
            </w:r>
          </w:p>
        </w:tc>
        <w:tc>
          <w:tcPr>
            <w:tcW w:w="148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447"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Výrobky</w:t>
            </w:r>
          </w:p>
        </w:tc>
        <w:tc>
          <w:tcPr>
            <w:tcW w:w="148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447"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Zvieratá</w:t>
            </w:r>
          </w:p>
        </w:tc>
        <w:tc>
          <w:tcPr>
            <w:tcW w:w="1480"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40"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41"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0" w:type="dxa"/>
            <w:tcBorders>
              <w:top w:val="single" w:sz="4" w:space="0" w:color="000000"/>
              <w:left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447"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Tovar</w:t>
            </w:r>
          </w:p>
        </w:tc>
        <w:tc>
          <w:tcPr>
            <w:tcW w:w="1480"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40"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41"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0" w:type="dxa"/>
            <w:tcBorders>
              <w:top w:val="single" w:sz="6"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2447"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Nehnuteľnosť na predaj</w:t>
            </w:r>
          </w:p>
        </w:tc>
        <w:tc>
          <w:tcPr>
            <w:tcW w:w="148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2447"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Poskytnuté preddavky  na zásoby</w:t>
            </w:r>
          </w:p>
        </w:tc>
        <w:tc>
          <w:tcPr>
            <w:tcW w:w="148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447"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Zásoby spolu</w:t>
            </w:r>
          </w:p>
        </w:tc>
        <w:tc>
          <w:tcPr>
            <w:tcW w:w="1480"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t>Nie je</w:t>
            </w:r>
          </w:p>
        </w:tc>
        <w:tc>
          <w:tcPr>
            <w:tcW w:w="1040"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779"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641"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250"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Nie je</w:t>
            </w:r>
          </w:p>
        </w:tc>
      </w:tr>
    </w:tbl>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t>Tabuľka č. 2</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7338"/>
        <w:gridCol w:w="2299"/>
      </w:tblGrid>
      <w:tr>
        <w:trPr/>
        <w:tc>
          <w:tcPr>
            <w:tcW w:w="7338" w:type="dxa"/>
            <w:tcBorders>
              <w:top w:val="single" w:sz="12" w:space="0" w:color="000000"/>
              <w:left w:val="single" w:sz="12" w:space="0" w:color="000000"/>
              <w:right w:val="single" w:sz="12" w:space="0" w:color="000000"/>
            </w:tcBorders>
            <w:vAlign w:val="center"/>
          </w:tcPr>
          <w:p>
            <w:pPr>
              <w:pStyle w:val="TopHeader"/>
              <w:widowControl w:val="false"/>
              <w:bidi w:val="0"/>
              <w:rPr/>
            </w:pPr>
            <w:r>
              <w:rPr/>
              <w:t>Nehnuteľnosť na predaj</w:t>
            </w:r>
          </w:p>
        </w:tc>
        <w:tc>
          <w:tcPr>
            <w:tcW w:w="2299" w:type="dxa"/>
            <w:tcBorders>
              <w:top w:val="single" w:sz="12" w:space="0" w:color="000000"/>
              <w:left w:val="single" w:sz="12" w:space="0" w:color="000000"/>
              <w:right w:val="single" w:sz="12" w:space="0" w:color="000000"/>
            </w:tcBorders>
            <w:vAlign w:val="center"/>
          </w:tcPr>
          <w:p>
            <w:pPr>
              <w:pStyle w:val="TopHeader"/>
              <w:widowControl w:val="false"/>
              <w:bidi w:val="0"/>
              <w:rPr/>
            </w:pPr>
            <w:r>
              <w:rPr/>
              <w:t>Hodnota</w:t>
            </w:r>
          </w:p>
        </w:tc>
      </w:tr>
      <w:tr>
        <w:trPr>
          <w:trHeight w:val="340" w:hRule="atLeast"/>
        </w:trPr>
        <w:tc>
          <w:tcPr>
            <w:tcW w:w="7338"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Náklady na obstarávanie nehnuteľnosti  na predaj za účtovné obdobie</w:t>
            </w:r>
          </w:p>
        </w:tc>
        <w:tc>
          <w:tcPr>
            <w:tcW w:w="2299"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rHeight w:val="340" w:hRule="atLeast"/>
        </w:trPr>
        <w:tc>
          <w:tcPr>
            <w:tcW w:w="7338"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Náklady na obstaranie nehnuteľnosti na predaj od začiatku obstarávania</w:t>
            </w:r>
          </w:p>
        </w:tc>
        <w:tc>
          <w:tcPr>
            <w:tcW w:w="2299"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bl>
    <w:p>
      <w:pPr>
        <w:pStyle w:val="Nzov"/>
        <w:bidi w:val="0"/>
        <w:spacing w:beforeAutospacing="0" w:before="0" w:after="0"/>
        <w:jc w:val="both"/>
        <w:rPr>
          <w:szCs w:val="22"/>
        </w:rPr>
      </w:pPr>
      <w:r>
        <w:rPr/>
      </w:r>
    </w:p>
    <w:p>
      <w:pPr>
        <w:pStyle w:val="Nzov"/>
        <w:bidi w:val="0"/>
        <w:spacing w:beforeAutospacing="0" w:before="0" w:after="0"/>
        <w:jc w:val="both"/>
        <w:rPr>
          <w:rFonts w:ascii="Arial" w:hAnsi="Arial" w:cs="Arial"/>
          <w:szCs w:val="22"/>
        </w:rPr>
      </w:pPr>
      <w:r>
        <w:rPr>
          <w:rFonts w:cs="Arial" w:ascii="Arial" w:hAnsi="Arial"/>
          <w:szCs w:val="22"/>
        </w:rPr>
        <w:t>zásoby, na ktoré je zriadené záložné právo a zásoby, pri ktorých má jednotka obmedzené právo  s nimi nakladať</w:t>
      </w:r>
    </w:p>
    <w:p>
      <w:pPr>
        <w:pStyle w:val="Normal"/>
        <w:bidi w:val="0"/>
        <w:jc w:val="left"/>
        <w:rPr>
          <w:rFonts w:ascii="Arial" w:hAnsi="Arial" w:cs="Arial"/>
        </w:rPr>
      </w:pPr>
      <w:r>
        <w:rPr>
          <w:rFonts w:cs="Arial" w:ascii="Arial" w:hAnsi="Arial"/>
        </w:rPr>
        <w:t>Spoločnosť nemá žiadne zásoby, na ktoré je zriadené záložné právo.</w:t>
      </w:r>
    </w:p>
    <w:p>
      <w:pPr>
        <w:pStyle w:val="Normal"/>
        <w:bidi w:val="0"/>
        <w:jc w:val="left"/>
        <w:rPr>
          <w:rFonts w:ascii="Arial" w:hAnsi="Arial" w:cs="Arial"/>
        </w:rPr>
      </w:pPr>
      <w:r>
        <w:rPr>
          <w:rFonts w:cs="Arial" w:ascii="Arial" w:hAnsi="Arial"/>
        </w:rPr>
      </w:r>
    </w:p>
    <w:p>
      <w:pPr>
        <w:pStyle w:val="Nzov"/>
        <w:numPr>
          <w:ilvl w:val="0"/>
          <w:numId w:val="6"/>
        </w:numPr>
        <w:bidi w:val="0"/>
        <w:spacing w:beforeAutospacing="0" w:before="120" w:after="0"/>
        <w:ind w:left="357" w:hanging="357"/>
        <w:jc w:val="both"/>
        <w:rPr>
          <w:szCs w:val="22"/>
        </w:rPr>
      </w:pPr>
      <w:r>
        <w:rPr>
          <w:szCs w:val="22"/>
        </w:rPr>
        <w:t xml:space="preserve">Informácie k prílohe č. 3  časti F. písm. p) o zásobách, na ktoré je zriadené záložné právo </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7338"/>
        <w:gridCol w:w="2299"/>
      </w:tblGrid>
      <w:tr>
        <w:trPr/>
        <w:tc>
          <w:tcPr>
            <w:tcW w:w="7338" w:type="dxa"/>
            <w:tcBorders>
              <w:top w:val="single" w:sz="12" w:space="0" w:color="000000"/>
              <w:left w:val="single" w:sz="12" w:space="0" w:color="000000"/>
              <w:right w:val="single" w:sz="12" w:space="0" w:color="000000"/>
            </w:tcBorders>
            <w:vAlign w:val="center"/>
          </w:tcPr>
          <w:p>
            <w:pPr>
              <w:pStyle w:val="TopHeader"/>
              <w:widowControl w:val="false"/>
              <w:bidi w:val="0"/>
              <w:rPr/>
            </w:pPr>
            <w:r>
              <w:rPr/>
              <w:t>Zásoby</w:t>
            </w:r>
          </w:p>
        </w:tc>
        <w:tc>
          <w:tcPr>
            <w:tcW w:w="2299" w:type="dxa"/>
            <w:tcBorders>
              <w:top w:val="single" w:sz="12" w:space="0" w:color="000000"/>
              <w:left w:val="single" w:sz="12" w:space="0" w:color="000000"/>
              <w:right w:val="single" w:sz="12" w:space="0" w:color="000000"/>
            </w:tcBorders>
            <w:vAlign w:val="center"/>
          </w:tcPr>
          <w:p>
            <w:pPr>
              <w:pStyle w:val="TopHeader"/>
              <w:widowControl w:val="false"/>
              <w:bidi w:val="0"/>
              <w:rPr/>
            </w:pPr>
            <w:r>
              <w:rPr/>
              <w:t>Hodnota za bežné účtovné obdobie</w:t>
            </w:r>
          </w:p>
        </w:tc>
      </w:tr>
      <w:tr>
        <w:trPr>
          <w:trHeight w:val="454" w:hRule="atLeast"/>
        </w:trPr>
        <w:tc>
          <w:tcPr>
            <w:tcW w:w="7338"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Zásoby, na ktoré je zriadené záložné právo</w:t>
            </w:r>
          </w:p>
        </w:tc>
        <w:tc>
          <w:tcPr>
            <w:tcW w:w="2299"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je</w:t>
            </w:r>
          </w:p>
        </w:tc>
      </w:tr>
    </w:tbl>
    <w:p>
      <w:pPr>
        <w:pStyle w:val="Nzov"/>
        <w:bidi w:val="0"/>
        <w:spacing w:beforeAutospacing="0" w:before="0" w:after="0"/>
        <w:jc w:val="left"/>
        <w:rPr>
          <w:szCs w:val="22"/>
        </w:rPr>
      </w:pPr>
      <w:r>
        <w:rPr>
          <w:szCs w:val="22"/>
        </w:rPr>
      </w:r>
    </w:p>
    <w:p>
      <w:pPr>
        <w:pStyle w:val="Nzov"/>
        <w:bidi w:val="0"/>
        <w:spacing w:beforeAutospacing="0" w:before="0" w:after="0"/>
        <w:jc w:val="left"/>
        <w:rPr>
          <w:rFonts w:ascii="Arial" w:hAnsi="Arial" w:cs="Arial"/>
          <w:szCs w:val="22"/>
        </w:rPr>
      </w:pPr>
      <w:r>
        <w:rPr>
          <w:rFonts w:cs="Arial" w:ascii="Arial" w:hAnsi="Arial"/>
          <w:szCs w:val="22"/>
        </w:rPr>
        <w:t xml:space="preserve">zákazková výroba </w:t>
      </w:r>
    </w:p>
    <w:p>
      <w:pPr>
        <w:pStyle w:val="Normal"/>
        <w:bidi w:val="0"/>
        <w:jc w:val="left"/>
        <w:rPr>
          <w:rFonts w:ascii="Arial" w:hAnsi="Arial" w:cs="Arial"/>
        </w:rPr>
      </w:pPr>
      <w:r>
        <w:rPr>
          <w:rFonts w:cs="Arial" w:ascii="Arial" w:hAnsi="Arial"/>
        </w:rPr>
        <w:t>Spoločnosť zákazkovú výrobu nevykonáva.</w:t>
      </w:r>
    </w:p>
    <w:p>
      <w:pPr>
        <w:pStyle w:val="Normal"/>
        <w:bidi w:val="0"/>
        <w:jc w:val="left"/>
        <w:rPr>
          <w:rFonts w:ascii="Arial" w:hAnsi="Arial" w:cs="Arial"/>
        </w:rPr>
      </w:pPr>
      <w:r>
        <w:rPr>
          <w:rFonts w:cs="Arial" w:ascii="Arial" w:hAnsi="Arial"/>
        </w:rPr>
      </w:r>
    </w:p>
    <w:p>
      <w:pPr>
        <w:pStyle w:val="Nzov"/>
        <w:numPr>
          <w:ilvl w:val="0"/>
          <w:numId w:val="6"/>
        </w:numPr>
        <w:bidi w:val="0"/>
        <w:spacing w:beforeAutospacing="0" w:before="0" w:after="0"/>
        <w:jc w:val="both"/>
        <w:rPr>
          <w:szCs w:val="22"/>
        </w:rPr>
      </w:pPr>
      <w:r>
        <w:rPr>
          <w:szCs w:val="22"/>
        </w:rPr>
        <w:t>Informácie k prílohe č. 3 časti F. písm. q) o zákazkovej výrobe a o zákazkovej výstavbe nehnuteľnosti určenej na predaj</w:t>
      </w:r>
    </w:p>
    <w:p>
      <w:pPr>
        <w:pStyle w:val="Normal"/>
        <w:bidi w:val="0"/>
        <w:spacing w:lineRule="auto" w:line="240" w:before="0" w:after="0"/>
        <w:jc w:val="left"/>
        <w:rPr>
          <w:szCs w:val="22"/>
        </w:rPr>
      </w:pPr>
      <w:r>
        <w:rPr>
          <w:szCs w:val="22"/>
        </w:rPr>
        <w:t>Tabuľka č. 1</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3318"/>
        <w:gridCol w:w="1766"/>
        <w:gridCol w:w="2269"/>
        <w:gridCol w:w="2284"/>
      </w:tblGrid>
      <w:tr>
        <w:trPr/>
        <w:tc>
          <w:tcPr>
            <w:tcW w:w="3318"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Názov položky</w:t>
            </w:r>
          </w:p>
        </w:tc>
        <w:tc>
          <w:tcPr>
            <w:tcW w:w="1766"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Za bežné účtovné obdobie</w:t>
            </w:r>
          </w:p>
        </w:tc>
        <w:tc>
          <w:tcPr>
            <w:tcW w:w="2269"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Za bezprostredne predchádzajúce účtovné obdobie</w:t>
            </w:r>
          </w:p>
        </w:tc>
        <w:tc>
          <w:tcPr>
            <w:tcW w:w="2284"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Sumár od začiatku zákazkovej výroby až do konca bežného účtovného obdobia</w:t>
            </w:r>
          </w:p>
        </w:tc>
      </w:tr>
      <w:tr>
        <w:trPr/>
        <w:tc>
          <w:tcPr>
            <w:tcW w:w="3318"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A</w:t>
            </w:r>
          </w:p>
        </w:tc>
        <w:tc>
          <w:tcPr>
            <w:tcW w:w="1766"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b</w:t>
            </w:r>
          </w:p>
        </w:tc>
        <w:tc>
          <w:tcPr>
            <w:tcW w:w="2269"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c</w:t>
            </w:r>
          </w:p>
        </w:tc>
        <w:tc>
          <w:tcPr>
            <w:tcW w:w="2284"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d</w:t>
            </w:r>
          </w:p>
        </w:tc>
      </w:tr>
      <w:tr>
        <w:trPr>
          <w:trHeight w:val="397" w:hRule="atLeast"/>
        </w:trPr>
        <w:tc>
          <w:tcPr>
            <w:tcW w:w="3318"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Výnosy zo zákazkovej výroby</w:t>
            </w:r>
          </w:p>
        </w:tc>
        <w:tc>
          <w:tcPr>
            <w:tcW w:w="1766"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269"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284"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rHeight w:val="397" w:hRule="atLeast"/>
        </w:trPr>
        <w:tc>
          <w:tcPr>
            <w:tcW w:w="3318"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Náklady na zákazkovú výrobu</w:t>
            </w:r>
          </w:p>
        </w:tc>
        <w:tc>
          <w:tcPr>
            <w:tcW w:w="1766"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26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28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rHeight w:val="397" w:hRule="atLeast"/>
        </w:trPr>
        <w:tc>
          <w:tcPr>
            <w:tcW w:w="3318"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Hrubý zisk / hrubá strata</w:t>
            </w:r>
          </w:p>
        </w:tc>
        <w:tc>
          <w:tcPr>
            <w:tcW w:w="1766"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269"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284"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bl>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t>Tabuľka č. 2</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4224"/>
        <w:gridCol w:w="2502"/>
        <w:gridCol w:w="2912"/>
      </w:tblGrid>
      <w:tr>
        <w:trPr/>
        <w:tc>
          <w:tcPr>
            <w:tcW w:w="4224"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Hodnota zákazkovej výroby</w:t>
            </w:r>
          </w:p>
          <w:p>
            <w:pPr>
              <w:pStyle w:val="Normal"/>
              <w:widowControl w:val="false"/>
              <w:bidi w:val="0"/>
              <w:spacing w:lineRule="auto" w:line="240" w:before="0" w:after="0"/>
              <w:jc w:val="center"/>
              <w:rPr>
                <w:b/>
                <w:szCs w:val="22"/>
              </w:rPr>
            </w:pPr>
            <w:r>
              <w:rPr>
                <w:b/>
                <w:szCs w:val="22"/>
              </w:rPr>
            </w:r>
          </w:p>
        </w:tc>
        <w:tc>
          <w:tcPr>
            <w:tcW w:w="2502"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Za bežné účtovné obdobie</w:t>
            </w:r>
          </w:p>
        </w:tc>
        <w:tc>
          <w:tcPr>
            <w:tcW w:w="2912"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Sumár od začiatku zákazkovej výroby až do konca bežného účtovného obdobia</w:t>
            </w:r>
          </w:p>
        </w:tc>
      </w:tr>
      <w:tr>
        <w:trPr/>
        <w:tc>
          <w:tcPr>
            <w:tcW w:w="4224"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a</w:t>
            </w:r>
          </w:p>
        </w:tc>
        <w:tc>
          <w:tcPr>
            <w:tcW w:w="2502"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b</w:t>
            </w:r>
          </w:p>
        </w:tc>
        <w:tc>
          <w:tcPr>
            <w:tcW w:w="2912"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c</w:t>
            </w:r>
          </w:p>
        </w:tc>
      </w:tr>
      <w:tr>
        <w:trPr>
          <w:trHeight w:val="397" w:hRule="atLeast"/>
        </w:trPr>
        <w:tc>
          <w:tcPr>
            <w:tcW w:w="4224" w:type="dxa"/>
            <w:tcBorders>
              <w:top w:val="single" w:sz="12" w:space="0" w:color="000000"/>
              <w:left w:val="single" w:sz="12" w:space="0" w:color="000000"/>
              <w:bottom w:val="single" w:sz="4" w:space="0" w:color="000000"/>
              <w:right w:val="single" w:sz="12" w:space="0" w:color="000000"/>
            </w:tcBorders>
          </w:tcPr>
          <w:p>
            <w:pPr>
              <w:pStyle w:val="Normal"/>
              <w:widowControl w:val="false"/>
              <w:bidi w:val="0"/>
              <w:spacing w:lineRule="auto" w:line="240" w:before="0" w:after="0"/>
              <w:jc w:val="left"/>
              <w:rPr>
                <w:szCs w:val="22"/>
              </w:rPr>
            </w:pPr>
            <w:r>
              <w:rPr>
                <w:szCs w:val="22"/>
              </w:rPr>
              <w:t>Vyfakturované nároky za vykonanú prácu na zákazkovej výrobe</w:t>
            </w:r>
          </w:p>
        </w:tc>
        <w:tc>
          <w:tcPr>
            <w:tcW w:w="2502"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912"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rHeight w:val="397" w:hRule="atLeast"/>
        </w:trPr>
        <w:tc>
          <w:tcPr>
            <w:tcW w:w="4224" w:type="dxa"/>
            <w:tcBorders>
              <w:top w:val="single" w:sz="4" w:space="0" w:color="000000"/>
              <w:left w:val="single" w:sz="12" w:space="0" w:color="000000"/>
              <w:bottom w:val="single" w:sz="4" w:space="0" w:color="000000"/>
              <w:right w:val="single" w:sz="12" w:space="0" w:color="000000"/>
            </w:tcBorders>
          </w:tcPr>
          <w:p>
            <w:pPr>
              <w:pStyle w:val="Normal"/>
              <w:widowControl w:val="false"/>
              <w:bidi w:val="0"/>
              <w:spacing w:lineRule="auto" w:line="240" w:before="0" w:after="0"/>
              <w:jc w:val="left"/>
              <w:rPr>
                <w:szCs w:val="22"/>
              </w:rPr>
            </w:pPr>
            <w:r>
              <w:rPr>
                <w:szCs w:val="22"/>
              </w:rPr>
              <w:t>Úprava nárokov podľa stupňa dokončenia alebo metódou nulového zisku</w:t>
            </w:r>
          </w:p>
        </w:tc>
        <w:tc>
          <w:tcPr>
            <w:tcW w:w="250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91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rHeight w:val="397" w:hRule="atLeast"/>
        </w:trPr>
        <w:tc>
          <w:tcPr>
            <w:tcW w:w="422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Suma prijatých preddavkov</w:t>
            </w:r>
          </w:p>
        </w:tc>
        <w:tc>
          <w:tcPr>
            <w:tcW w:w="250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91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rHeight w:val="397" w:hRule="atLeast"/>
        </w:trPr>
        <w:tc>
          <w:tcPr>
            <w:tcW w:w="4224"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Suma zadržanej platby</w:t>
            </w:r>
          </w:p>
        </w:tc>
        <w:tc>
          <w:tcPr>
            <w:tcW w:w="2502"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912"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bl>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t xml:space="preserve">Tabuľka č. </w:t>
      </w:r>
      <w:r>
        <w:rPr>
          <w:szCs w:val="22"/>
        </w:rPr>
        <w:t>3</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2889"/>
        <w:gridCol w:w="2047"/>
        <w:gridCol w:w="1947"/>
        <w:gridCol w:w="2754"/>
      </w:tblGrid>
      <w:tr>
        <w:trPr/>
        <w:tc>
          <w:tcPr>
            <w:tcW w:w="2889"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Názov položky</w:t>
            </w:r>
          </w:p>
        </w:tc>
        <w:tc>
          <w:tcPr>
            <w:tcW w:w="2047"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Za bežné účtovné obdobie</w:t>
            </w:r>
          </w:p>
        </w:tc>
        <w:tc>
          <w:tcPr>
            <w:tcW w:w="1947"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Za bezprostredne predchádzajúce účtovné obdobie</w:t>
            </w:r>
          </w:p>
        </w:tc>
        <w:tc>
          <w:tcPr>
            <w:tcW w:w="2754"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Sumár od začiatku zákazkovej výstavby nehnuteľnosti určenej na predaj až do konca bežného účtovného obdobia</w:t>
            </w:r>
          </w:p>
        </w:tc>
      </w:tr>
      <w:tr>
        <w:trPr>
          <w:trHeight w:val="98" w:hRule="atLeast"/>
        </w:trPr>
        <w:tc>
          <w:tcPr>
            <w:tcW w:w="2889"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A</w:t>
            </w:r>
          </w:p>
        </w:tc>
        <w:tc>
          <w:tcPr>
            <w:tcW w:w="2047"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b</w:t>
            </w:r>
          </w:p>
        </w:tc>
        <w:tc>
          <w:tcPr>
            <w:tcW w:w="1947"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c</w:t>
            </w:r>
          </w:p>
        </w:tc>
        <w:tc>
          <w:tcPr>
            <w:tcW w:w="2754"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d</w:t>
            </w:r>
          </w:p>
        </w:tc>
      </w:tr>
      <w:tr>
        <w:trPr/>
        <w:tc>
          <w:tcPr>
            <w:tcW w:w="2889" w:type="dxa"/>
            <w:tcBorders>
              <w:top w:val="single" w:sz="12" w:space="0" w:color="000000"/>
              <w:left w:val="single" w:sz="12" w:space="0" w:color="000000"/>
              <w:bottom w:val="single" w:sz="4" w:space="0" w:color="000000"/>
              <w:right w:val="single" w:sz="12" w:space="0" w:color="000000"/>
            </w:tcBorders>
          </w:tcPr>
          <w:p>
            <w:pPr>
              <w:pStyle w:val="Normal"/>
              <w:widowControl w:val="false"/>
              <w:bidi w:val="0"/>
              <w:spacing w:lineRule="auto" w:line="240" w:before="0" w:after="0"/>
              <w:jc w:val="left"/>
              <w:rPr>
                <w:szCs w:val="22"/>
              </w:rPr>
            </w:pPr>
            <w:r>
              <w:rPr>
                <w:szCs w:val="22"/>
              </w:rPr>
              <w:t>Výnosy zo zákazkovej výstavby nehnuteľnosti určenej na predaj</w:t>
            </w:r>
          </w:p>
        </w:tc>
        <w:tc>
          <w:tcPr>
            <w:tcW w:w="2047"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947"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754"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c>
          <w:tcPr>
            <w:tcW w:w="2889" w:type="dxa"/>
            <w:tcBorders>
              <w:top w:val="single" w:sz="4" w:space="0" w:color="000000"/>
              <w:left w:val="single" w:sz="12" w:space="0" w:color="000000"/>
              <w:bottom w:val="single" w:sz="4" w:space="0" w:color="000000"/>
              <w:right w:val="single" w:sz="12" w:space="0" w:color="000000"/>
            </w:tcBorders>
          </w:tcPr>
          <w:p>
            <w:pPr>
              <w:pStyle w:val="Normal"/>
              <w:widowControl w:val="false"/>
              <w:bidi w:val="0"/>
              <w:spacing w:lineRule="auto" w:line="240" w:before="0" w:after="0"/>
              <w:jc w:val="left"/>
              <w:rPr>
                <w:szCs w:val="22"/>
              </w:rPr>
            </w:pPr>
            <w:r>
              <w:rPr>
                <w:szCs w:val="22"/>
              </w:rPr>
              <w:t>Náklady na zákazkovú výstavbu nehnuteľnosti určenej na predaj</w:t>
            </w:r>
          </w:p>
        </w:tc>
        <w:tc>
          <w:tcPr>
            <w:tcW w:w="2047"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947"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75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rHeight w:val="397" w:hRule="atLeast"/>
        </w:trPr>
        <w:tc>
          <w:tcPr>
            <w:tcW w:w="2889"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Hrubý zisk / hrubá strata</w:t>
            </w:r>
          </w:p>
        </w:tc>
        <w:tc>
          <w:tcPr>
            <w:tcW w:w="2047"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947"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754"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bl>
    <w:p>
      <w:pPr>
        <w:pStyle w:val="Nzov"/>
        <w:bidi w:val="0"/>
        <w:spacing w:beforeAutospacing="0" w:before="0" w:after="0"/>
        <w:jc w:val="left"/>
        <w:rPr>
          <w:b w:val="false"/>
          <w:szCs w:val="22"/>
        </w:rPr>
      </w:pPr>
      <w:r>
        <w:rPr>
          <w:b w:val="false"/>
          <w:szCs w:val="22"/>
        </w:rPr>
      </w:r>
    </w:p>
    <w:p>
      <w:pPr>
        <w:pStyle w:val="Nzov"/>
        <w:bidi w:val="0"/>
        <w:spacing w:beforeAutospacing="0" w:before="0" w:after="0"/>
        <w:jc w:val="left"/>
        <w:rPr>
          <w:b w:val="false"/>
          <w:szCs w:val="22"/>
        </w:rPr>
      </w:pPr>
      <w:r>
        <w:rPr>
          <w:b w:val="false"/>
          <w:szCs w:val="22"/>
        </w:rPr>
        <w:t>Tabuľka č. 4</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4499"/>
        <w:gridCol w:w="2501"/>
        <w:gridCol w:w="2638"/>
      </w:tblGrid>
      <w:tr>
        <w:trPr/>
        <w:tc>
          <w:tcPr>
            <w:tcW w:w="4499"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Hodnota zákazkovej výstavby nehnuteľnosti určenej na predaj</w:t>
            </w:r>
          </w:p>
        </w:tc>
        <w:tc>
          <w:tcPr>
            <w:tcW w:w="2501"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Za bežné účtovné obdobie</w:t>
            </w:r>
          </w:p>
        </w:tc>
        <w:tc>
          <w:tcPr>
            <w:tcW w:w="2638"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Sumár od začiatku zákazkovej výstavby nehnuteľnosti určenej na predaj až do konca bežného účtovného obdobia</w:t>
            </w:r>
          </w:p>
        </w:tc>
      </w:tr>
      <w:tr>
        <w:trPr/>
        <w:tc>
          <w:tcPr>
            <w:tcW w:w="4499"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a</w:t>
            </w:r>
          </w:p>
        </w:tc>
        <w:tc>
          <w:tcPr>
            <w:tcW w:w="2501"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b</w:t>
            </w:r>
          </w:p>
        </w:tc>
        <w:tc>
          <w:tcPr>
            <w:tcW w:w="2638" w:type="dxa"/>
            <w:tcBorders>
              <w:left w:val="single" w:sz="12"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c</w:t>
            </w:r>
          </w:p>
        </w:tc>
      </w:tr>
      <w:tr>
        <w:trPr/>
        <w:tc>
          <w:tcPr>
            <w:tcW w:w="4499" w:type="dxa"/>
            <w:tcBorders>
              <w:top w:val="single" w:sz="12" w:space="0" w:color="000000"/>
              <w:left w:val="single" w:sz="12" w:space="0" w:color="000000"/>
              <w:bottom w:val="single" w:sz="4" w:space="0" w:color="000000"/>
              <w:right w:val="single" w:sz="12" w:space="0" w:color="000000"/>
            </w:tcBorders>
          </w:tcPr>
          <w:p>
            <w:pPr>
              <w:pStyle w:val="Normal"/>
              <w:widowControl w:val="false"/>
              <w:bidi w:val="0"/>
              <w:spacing w:lineRule="auto" w:line="240" w:before="0" w:after="0"/>
              <w:jc w:val="left"/>
              <w:rPr>
                <w:szCs w:val="22"/>
              </w:rPr>
            </w:pPr>
            <w:r>
              <w:rPr>
                <w:szCs w:val="22"/>
              </w:rPr>
              <w:t>Vyfakturované nároky za vykonanú prácu na zákazkovej výstavbe nehnuteľnosti určenej na predaj</w:t>
            </w:r>
          </w:p>
        </w:tc>
        <w:tc>
          <w:tcPr>
            <w:tcW w:w="2501"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638"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c>
          <w:tcPr>
            <w:tcW w:w="4499" w:type="dxa"/>
            <w:tcBorders>
              <w:top w:val="single" w:sz="4" w:space="0" w:color="000000"/>
              <w:left w:val="single" w:sz="12" w:space="0" w:color="000000"/>
              <w:bottom w:val="single" w:sz="4" w:space="0" w:color="000000"/>
              <w:right w:val="single" w:sz="12" w:space="0" w:color="000000"/>
            </w:tcBorders>
          </w:tcPr>
          <w:p>
            <w:pPr>
              <w:pStyle w:val="Normal"/>
              <w:widowControl w:val="false"/>
              <w:bidi w:val="0"/>
              <w:spacing w:lineRule="auto" w:line="240" w:before="0" w:after="0"/>
              <w:jc w:val="left"/>
              <w:rPr>
                <w:szCs w:val="22"/>
              </w:rPr>
            </w:pPr>
            <w:r>
              <w:rPr>
                <w:szCs w:val="22"/>
              </w:rPr>
              <w:t>Úprava nárokov podľa stupňa dokončenia alebo metódou nulového zisku</w:t>
            </w:r>
          </w:p>
        </w:tc>
        <w:tc>
          <w:tcPr>
            <w:tcW w:w="250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638"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rHeight w:val="397" w:hRule="atLeast"/>
        </w:trPr>
        <w:tc>
          <w:tcPr>
            <w:tcW w:w="449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Suma prijatých preddavkov</w:t>
            </w:r>
          </w:p>
        </w:tc>
        <w:tc>
          <w:tcPr>
            <w:tcW w:w="250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638"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je</w:t>
            </w:r>
          </w:p>
        </w:tc>
      </w:tr>
      <w:tr>
        <w:trPr>
          <w:trHeight w:val="397" w:hRule="atLeast"/>
        </w:trPr>
        <w:tc>
          <w:tcPr>
            <w:tcW w:w="4499"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Suma zadržanej platby</w:t>
            </w:r>
          </w:p>
        </w:tc>
        <w:tc>
          <w:tcPr>
            <w:tcW w:w="2501"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638"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je</w:t>
            </w:r>
          </w:p>
        </w:tc>
      </w:tr>
    </w:tbl>
    <w:p>
      <w:pPr>
        <w:pStyle w:val="Normal"/>
        <w:bidi w:val="0"/>
        <w:spacing w:lineRule="auto" w:line="240" w:before="0" w:after="0"/>
        <w:jc w:val="left"/>
        <w:rPr>
          <w:b/>
          <w:szCs w:val="22"/>
        </w:rPr>
      </w:pPr>
      <w:r>
        <w:rPr>
          <w:b/>
          <w:szCs w:val="22"/>
        </w:rPr>
      </w:r>
    </w:p>
    <w:p>
      <w:pPr>
        <w:pStyle w:val="Normal"/>
        <w:bidi w:val="0"/>
        <w:spacing w:lineRule="auto" w:line="240" w:before="0" w:after="0"/>
        <w:jc w:val="left"/>
        <w:rPr>
          <w:rFonts w:ascii="Arial" w:hAnsi="Arial" w:cs="Arial"/>
          <w:b/>
          <w:szCs w:val="22"/>
        </w:rPr>
      </w:pPr>
      <w:r>
        <w:rPr>
          <w:rFonts w:cs="Arial" w:ascii="Arial" w:hAnsi="Arial"/>
          <w:b/>
          <w:szCs w:val="22"/>
        </w:rPr>
        <w:t>tvorba, zúčtovanie opravných položiek k pohľadávkam</w:t>
      </w:r>
    </w:p>
    <w:p>
      <w:pPr>
        <w:pStyle w:val="Normal"/>
        <w:bidi w:val="0"/>
        <w:spacing w:lineRule="auto" w:line="240" w:before="0" w:after="0"/>
        <w:jc w:val="left"/>
        <w:rPr>
          <w:rFonts w:ascii="Arial" w:hAnsi="Arial" w:cs="Arial"/>
          <w:szCs w:val="22"/>
        </w:rPr>
      </w:pPr>
      <w:r>
        <w:rPr>
          <w:rFonts w:cs="Arial" w:ascii="Arial" w:hAnsi="Arial"/>
          <w:szCs w:val="22"/>
        </w:rPr>
        <w:t>Spoločnosť netvorilo žiadne opravné položky k pohľadávkam.</w:t>
      </w:r>
    </w:p>
    <w:p>
      <w:pPr>
        <w:pStyle w:val="Normal"/>
        <w:bidi w:val="0"/>
        <w:spacing w:lineRule="auto" w:line="240" w:before="0" w:after="0"/>
        <w:jc w:val="left"/>
        <w:rPr>
          <w:rFonts w:ascii="Arial" w:hAnsi="Arial" w:cs="Arial"/>
          <w:szCs w:val="22"/>
        </w:rPr>
      </w:pPr>
      <w:r>
        <w:rPr>
          <w:szCs w:val="22"/>
        </w:rPr>
      </w:r>
    </w:p>
    <w:p>
      <w:pPr>
        <w:pStyle w:val="Nzov"/>
        <w:numPr>
          <w:ilvl w:val="0"/>
          <w:numId w:val="6"/>
        </w:numPr>
        <w:bidi w:val="0"/>
        <w:spacing w:beforeAutospacing="0" w:before="0" w:after="0"/>
        <w:jc w:val="left"/>
        <w:rPr>
          <w:szCs w:val="22"/>
        </w:rPr>
      </w:pPr>
      <w:r>
        <w:rPr>
          <w:szCs w:val="22"/>
        </w:rPr>
        <w:t xml:space="preserve">Informácie k prílohe č. 3 časti F. písm. r) o vývoji opravnej položky k pohľadávkam </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2150"/>
        <w:gridCol w:w="1335"/>
        <w:gridCol w:w="1276"/>
        <w:gridCol w:w="1770"/>
        <w:gridCol w:w="1747"/>
        <w:gridCol w:w="1359"/>
      </w:tblGrid>
      <w:tr>
        <w:trPr/>
        <w:tc>
          <w:tcPr>
            <w:tcW w:w="2150"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Pohľadávky</w:t>
            </w:r>
          </w:p>
        </w:tc>
        <w:tc>
          <w:tcPr>
            <w:tcW w:w="7487" w:type="dxa"/>
            <w:gridSpan w:val="5"/>
            <w:tcBorders>
              <w:top w:val="single" w:sz="12" w:space="0" w:color="000000"/>
              <w:left w:val="single" w:sz="12" w:space="0" w:color="000000"/>
              <w:right w:val="single" w:sz="12" w:space="0" w:color="000000"/>
            </w:tcBorders>
            <w:vAlign w:val="center"/>
          </w:tcPr>
          <w:p>
            <w:pPr>
              <w:pStyle w:val="TopHeader"/>
              <w:widowControl w:val="false"/>
              <w:bidi w:val="0"/>
              <w:rPr/>
            </w:pPr>
            <w:r>
              <w:rPr/>
              <w:t>Bežné účtovné obdobie</w:t>
            </w:r>
          </w:p>
        </w:tc>
      </w:tr>
      <w:tr>
        <w:trPr/>
        <w:tc>
          <w:tcPr>
            <w:tcW w:w="2150"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335"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OP na začiatku účtovného obdobia</w:t>
            </w:r>
          </w:p>
        </w:tc>
        <w:tc>
          <w:tcPr>
            <w:tcW w:w="1276" w:type="dxa"/>
            <w:tcBorders>
              <w:top w:val="single" w:sz="12" w:space="0" w:color="000000"/>
              <w:left w:val="single" w:sz="12" w:space="0" w:color="000000"/>
              <w:right w:val="single" w:sz="12" w:space="0" w:color="000000"/>
            </w:tcBorders>
            <w:vAlign w:val="center"/>
          </w:tcPr>
          <w:p>
            <w:pPr>
              <w:pStyle w:val="TopHeader"/>
              <w:widowControl w:val="false"/>
              <w:bidi w:val="0"/>
              <w:rPr/>
            </w:pPr>
            <w:r>
              <w:rPr/>
              <w:t>Tvorba</w:t>
            </w:r>
          </w:p>
          <w:p>
            <w:pPr>
              <w:pStyle w:val="TopHeader"/>
              <w:widowControl w:val="false"/>
              <w:bidi w:val="0"/>
              <w:rPr/>
            </w:pPr>
            <w:r>
              <w:rPr/>
              <w:t>OP</w:t>
            </w:r>
          </w:p>
        </w:tc>
        <w:tc>
          <w:tcPr>
            <w:tcW w:w="1770" w:type="dxa"/>
            <w:tcBorders>
              <w:top w:val="single" w:sz="12" w:space="0" w:color="000000"/>
              <w:left w:val="single" w:sz="12" w:space="0" w:color="000000"/>
              <w:right w:val="single" w:sz="12" w:space="0" w:color="000000"/>
            </w:tcBorders>
            <w:vAlign w:val="center"/>
          </w:tcPr>
          <w:p>
            <w:pPr>
              <w:pStyle w:val="TopHeader"/>
              <w:widowControl w:val="false"/>
              <w:bidi w:val="0"/>
              <w:rPr/>
            </w:pPr>
            <w:r>
              <w:rPr/>
              <w:t>Zúčtovanie</w:t>
              <w:br/>
              <w:t xml:space="preserve"> OP z dôvodu zániku opodstatnenosti</w:t>
            </w:r>
          </w:p>
        </w:tc>
        <w:tc>
          <w:tcPr>
            <w:tcW w:w="1747" w:type="dxa"/>
            <w:tcBorders>
              <w:top w:val="single" w:sz="12" w:space="0" w:color="000000"/>
              <w:left w:val="single" w:sz="12" w:space="0" w:color="000000"/>
              <w:right w:val="single" w:sz="12" w:space="0" w:color="000000"/>
            </w:tcBorders>
            <w:vAlign w:val="center"/>
          </w:tcPr>
          <w:p>
            <w:pPr>
              <w:pStyle w:val="TopHeader"/>
              <w:widowControl w:val="false"/>
              <w:bidi w:val="0"/>
              <w:rPr/>
            </w:pPr>
            <w:r>
              <w:rPr/>
              <w:t xml:space="preserve">Zúčtovanie </w:t>
              <w:br/>
              <w:t xml:space="preserve">OP z dôvodu vyradenia majetku </w:t>
              <w:br/>
              <w:t>z účtovníctva</w:t>
            </w:r>
          </w:p>
        </w:tc>
        <w:tc>
          <w:tcPr>
            <w:tcW w:w="1359"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OP na konci účtovného obdobia</w:t>
            </w:r>
          </w:p>
        </w:tc>
      </w:tr>
      <w:tr>
        <w:trPr/>
        <w:tc>
          <w:tcPr>
            <w:tcW w:w="2150"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133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276"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1770"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c>
          <w:tcPr>
            <w:tcW w:w="1747"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e</w:t>
            </w:r>
          </w:p>
        </w:tc>
        <w:tc>
          <w:tcPr>
            <w:tcW w:w="1359"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f</w:t>
            </w:r>
          </w:p>
        </w:tc>
      </w:tr>
      <w:tr>
        <w:trPr>
          <w:trHeight w:val="397" w:hRule="atLeast"/>
        </w:trPr>
        <w:tc>
          <w:tcPr>
            <w:tcW w:w="2150"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z obchodného styku</w:t>
            </w:r>
          </w:p>
        </w:tc>
        <w:tc>
          <w:tcPr>
            <w:tcW w:w="1335" w:type="dxa"/>
            <w:tcBorders>
              <w:top w:val="single" w:sz="12"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276" w:type="dxa"/>
            <w:tcBorders>
              <w:top w:val="single" w:sz="12"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0" w:type="dxa"/>
            <w:tcBorders>
              <w:top w:val="single" w:sz="12"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47" w:type="dxa"/>
            <w:tcBorders>
              <w:top w:val="single" w:sz="12"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59" w:type="dxa"/>
            <w:tcBorders>
              <w:top w:val="single" w:sz="12" w:space="0" w:color="000000"/>
              <w:left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c>
          <w:tcPr>
            <w:tcW w:w="2150"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voči DÚJ a MÚJ</w:t>
            </w:r>
          </w:p>
        </w:tc>
        <w:tc>
          <w:tcPr>
            <w:tcW w:w="1335"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276"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0"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47"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59" w:type="dxa"/>
            <w:tcBorders>
              <w:top w:val="single" w:sz="6"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c>
          <w:tcPr>
            <w:tcW w:w="2150"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Ostatné pohľadávky v rámci kons. Celku</w:t>
            </w:r>
          </w:p>
        </w:tc>
        <w:tc>
          <w:tcPr>
            <w:tcW w:w="1335"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276"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0"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47"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59" w:type="dxa"/>
            <w:tcBorders>
              <w:top w:val="single" w:sz="4" w:space="0" w:color="000000"/>
              <w:left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c>
          <w:tcPr>
            <w:tcW w:w="2150"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voči spoločníkom, členom a združeniu</w:t>
            </w:r>
          </w:p>
        </w:tc>
        <w:tc>
          <w:tcPr>
            <w:tcW w:w="1335" w:type="dxa"/>
            <w:tcBorders>
              <w:top w:val="single" w:sz="6"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276" w:type="dxa"/>
            <w:tcBorders>
              <w:top w:val="single" w:sz="6"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0" w:type="dxa"/>
            <w:tcBorders>
              <w:top w:val="single" w:sz="6"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47" w:type="dxa"/>
            <w:tcBorders>
              <w:top w:val="single" w:sz="6"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59" w:type="dxa"/>
            <w:tcBorders>
              <w:top w:val="single" w:sz="6" w:space="0" w:color="000000"/>
              <w:left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54" w:hRule="atLeast"/>
        </w:trPr>
        <w:tc>
          <w:tcPr>
            <w:tcW w:w="2150"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Iné pohľadávky</w:t>
            </w:r>
          </w:p>
        </w:tc>
        <w:tc>
          <w:tcPr>
            <w:tcW w:w="1335"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276"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0"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47"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59" w:type="dxa"/>
            <w:tcBorders>
              <w:top w:val="single" w:sz="6"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40" w:hRule="atLeast"/>
        </w:trPr>
        <w:tc>
          <w:tcPr>
            <w:tcW w:w="2150"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Pohľadávky spolu</w:t>
            </w:r>
          </w:p>
        </w:tc>
        <w:tc>
          <w:tcPr>
            <w:tcW w:w="1335"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276"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770"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74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359"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r>
          </w:p>
        </w:tc>
      </w:tr>
    </w:tbl>
    <w:p>
      <w:pPr>
        <w:pStyle w:val="Nzov"/>
        <w:keepNext w:val="false"/>
        <w:widowControl w:val="false"/>
        <w:bidi w:val="0"/>
        <w:spacing w:beforeAutospacing="0" w:before="0" w:after="0"/>
        <w:jc w:val="left"/>
        <w:rPr>
          <w:szCs w:val="22"/>
        </w:rPr>
      </w:pPr>
      <w:r>
        <w:rPr>
          <w:szCs w:val="22"/>
        </w:rPr>
      </w:r>
    </w:p>
    <w:p>
      <w:pPr>
        <w:pStyle w:val="Nzov"/>
        <w:keepNext w:val="false"/>
        <w:widowControl w:val="false"/>
        <w:bidi w:val="0"/>
        <w:spacing w:beforeAutospacing="0" w:before="0" w:after="0"/>
        <w:jc w:val="both"/>
        <w:rPr>
          <w:rFonts w:ascii="Arial" w:hAnsi="Arial" w:cs="Arial"/>
          <w:szCs w:val="22"/>
        </w:rPr>
      </w:pPr>
      <w:r>
        <w:rPr>
          <w:rFonts w:cs="Arial" w:ascii="Arial" w:hAnsi="Arial"/>
          <w:szCs w:val="22"/>
        </w:rPr>
        <w:t>hodnota pohľadávok do lehoty splatnosti a po lehote splatnosti</w:t>
      </w:r>
    </w:p>
    <w:p>
      <w:pPr>
        <w:pStyle w:val="Normal"/>
        <w:bidi w:val="0"/>
        <w:jc w:val="both"/>
        <w:rPr>
          <w:rFonts w:ascii="Arial" w:hAnsi="Arial" w:cs="Arial"/>
        </w:rPr>
      </w:pPr>
      <w:r>
        <w:rPr>
          <w:rFonts w:cs="Arial" w:ascii="Arial" w:hAnsi="Arial"/>
        </w:rPr>
        <w:t>Spoločnosť k 31.12.202</w:t>
      </w:r>
      <w:r>
        <w:rPr>
          <w:rFonts w:cs="Arial" w:ascii="Arial" w:hAnsi="Arial"/>
        </w:rPr>
        <w:t>5</w:t>
      </w:r>
      <w:r>
        <w:rPr>
          <w:rFonts w:cs="Arial" w:ascii="Arial" w:hAnsi="Arial"/>
        </w:rPr>
        <w:t xml:space="preserve"> </w:t>
      </w:r>
      <w:r>
        <w:rPr>
          <w:rFonts w:cs="Arial" w:ascii="Arial" w:hAnsi="Arial"/>
        </w:rPr>
        <w:t>ne</w:t>
      </w:r>
      <w:r>
        <w:rPr>
          <w:rFonts w:cs="Arial" w:ascii="Arial" w:hAnsi="Arial"/>
        </w:rPr>
        <w:t>malo neuhradené krátkodobé pohľadávky na účte 311 – odberatelia.</w:t>
      </w:r>
    </w:p>
    <w:p>
      <w:pPr>
        <w:pStyle w:val="Normal"/>
        <w:bidi w:val="0"/>
        <w:jc w:val="both"/>
        <w:rPr>
          <w:rFonts w:ascii="Arial" w:hAnsi="Arial" w:cs="Arial"/>
        </w:rPr>
      </w:pPr>
      <w:r>
        <w:rPr/>
      </w:r>
    </w:p>
    <w:p>
      <w:pPr>
        <w:pStyle w:val="ListParagraph"/>
        <w:numPr>
          <w:ilvl w:val="0"/>
          <w:numId w:val="6"/>
        </w:numPr>
        <w:bidi w:val="0"/>
        <w:jc w:val="left"/>
        <w:rPr>
          <w:b/>
          <w:bCs/>
          <w:szCs w:val="22"/>
        </w:rPr>
      </w:pPr>
      <w:r>
        <w:rPr>
          <w:b/>
          <w:bCs/>
          <w:szCs w:val="22"/>
        </w:rPr>
        <w:t xml:space="preserve">Informácie k prílohe č. 3 časti F. písm. s) o vekovej štruktúre pohľadávok </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3619"/>
        <w:gridCol w:w="2065"/>
        <w:gridCol w:w="1918"/>
        <w:gridCol w:w="2035"/>
      </w:tblGrid>
      <w:tr>
        <w:trPr/>
        <w:tc>
          <w:tcPr>
            <w:tcW w:w="3619" w:type="dxa"/>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2065" w:type="dxa"/>
            <w:tcBorders>
              <w:top w:val="single" w:sz="12" w:space="0" w:color="000000"/>
              <w:left w:val="single" w:sz="12" w:space="0" w:color="000000"/>
              <w:right w:val="single" w:sz="12" w:space="0" w:color="000000"/>
            </w:tcBorders>
            <w:vAlign w:val="center"/>
          </w:tcPr>
          <w:p>
            <w:pPr>
              <w:pStyle w:val="TopHeader"/>
              <w:widowControl w:val="false"/>
              <w:bidi w:val="0"/>
              <w:rPr/>
            </w:pPr>
            <w:r>
              <w:rPr/>
              <w:t>V lehote splatnosti</w:t>
            </w:r>
          </w:p>
        </w:tc>
        <w:tc>
          <w:tcPr>
            <w:tcW w:w="1918" w:type="dxa"/>
            <w:tcBorders>
              <w:top w:val="single" w:sz="12" w:space="0" w:color="000000"/>
              <w:left w:val="single" w:sz="12" w:space="0" w:color="000000"/>
              <w:right w:val="single" w:sz="12" w:space="0" w:color="000000"/>
            </w:tcBorders>
            <w:vAlign w:val="center"/>
          </w:tcPr>
          <w:p>
            <w:pPr>
              <w:pStyle w:val="TopHeader"/>
              <w:widowControl w:val="false"/>
              <w:bidi w:val="0"/>
              <w:rPr/>
            </w:pPr>
            <w:r>
              <w:rPr/>
              <w:t>Po lehote splatnosti</w:t>
            </w:r>
          </w:p>
        </w:tc>
        <w:tc>
          <w:tcPr>
            <w:tcW w:w="2035" w:type="dxa"/>
            <w:tcBorders>
              <w:top w:val="single" w:sz="12" w:space="0" w:color="000000"/>
              <w:left w:val="single" w:sz="12" w:space="0" w:color="000000"/>
              <w:right w:val="single" w:sz="12" w:space="0" w:color="000000"/>
            </w:tcBorders>
            <w:vAlign w:val="center"/>
          </w:tcPr>
          <w:p>
            <w:pPr>
              <w:pStyle w:val="TopHeader"/>
              <w:widowControl w:val="false"/>
              <w:bidi w:val="0"/>
              <w:rPr/>
            </w:pPr>
            <w:r>
              <w:rPr/>
              <w:t>Pohľadávky spolu</w:t>
            </w:r>
          </w:p>
        </w:tc>
      </w:tr>
      <w:tr>
        <w:trPr>
          <w:trHeight w:val="227" w:hRule="exact"/>
        </w:trPr>
        <w:tc>
          <w:tcPr>
            <w:tcW w:w="3619"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206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918"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203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r>
      <w:tr>
        <w:trPr>
          <w:trHeight w:val="397" w:hRule="atLeast"/>
        </w:trPr>
        <w:tc>
          <w:tcPr>
            <w:tcW w:w="9637" w:type="dxa"/>
            <w:gridSpan w:val="4"/>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Dlhodobé pohľadávky</w:t>
            </w:r>
          </w:p>
        </w:tc>
      </w:tr>
      <w:tr>
        <w:trPr>
          <w:trHeight w:val="425" w:hRule="atLeast"/>
        </w:trPr>
        <w:tc>
          <w:tcPr>
            <w:tcW w:w="3619"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z obchodného styku</w:t>
            </w:r>
          </w:p>
        </w:tc>
        <w:tc>
          <w:tcPr>
            <w:tcW w:w="2065"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voči DÚJ a MÚJ</w:t>
            </w:r>
          </w:p>
        </w:tc>
        <w:tc>
          <w:tcPr>
            <w:tcW w:w="206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Ostatné pohľadávky v rámci konsolidovaného celku</w:t>
            </w:r>
          </w:p>
        </w:tc>
        <w:tc>
          <w:tcPr>
            <w:tcW w:w="206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voči spoločníkom, členom a združeniu</w:t>
            </w:r>
          </w:p>
        </w:tc>
        <w:tc>
          <w:tcPr>
            <w:tcW w:w="2065"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4" w:space="0" w:color="000000"/>
              <w:left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Iné pohľadávky</w:t>
            </w:r>
          </w:p>
        </w:tc>
        <w:tc>
          <w:tcPr>
            <w:tcW w:w="2065"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6"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Dlhodobé pohľadávky spolu</w:t>
            </w:r>
          </w:p>
        </w:tc>
        <w:tc>
          <w:tcPr>
            <w:tcW w:w="2065"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918"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2035"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r>
          </w:p>
        </w:tc>
      </w:tr>
      <w:tr>
        <w:trPr>
          <w:trHeight w:val="397" w:hRule="atLeast"/>
        </w:trPr>
        <w:tc>
          <w:tcPr>
            <w:tcW w:w="9637" w:type="dxa"/>
            <w:gridSpan w:val="4"/>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Krátkodobé pohľadávky</w:t>
            </w:r>
          </w:p>
        </w:tc>
      </w:tr>
      <w:tr>
        <w:trPr>
          <w:trHeight w:val="425" w:hRule="atLeast"/>
        </w:trPr>
        <w:tc>
          <w:tcPr>
            <w:tcW w:w="3619"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z obchodného styku</w:t>
            </w:r>
          </w:p>
        </w:tc>
        <w:tc>
          <w:tcPr>
            <w:tcW w:w="2065"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voči DÚJ a MÚJ</w:t>
            </w:r>
          </w:p>
        </w:tc>
        <w:tc>
          <w:tcPr>
            <w:tcW w:w="206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Ostatné pohľadávky v rámci konsolidovaného celku</w:t>
            </w:r>
          </w:p>
        </w:tc>
        <w:tc>
          <w:tcPr>
            <w:tcW w:w="206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voči spoločníkom, členom a združeniu</w:t>
            </w:r>
          </w:p>
        </w:tc>
        <w:tc>
          <w:tcPr>
            <w:tcW w:w="206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Sociálne poistenie</w:t>
            </w:r>
          </w:p>
        </w:tc>
        <w:tc>
          <w:tcPr>
            <w:tcW w:w="2065"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4" w:space="0" w:color="000000"/>
              <w:left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Daňové pohľadávky a dotácie</w:t>
            </w:r>
          </w:p>
        </w:tc>
        <w:tc>
          <w:tcPr>
            <w:tcW w:w="2065"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6"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Iné pohľadávky</w:t>
            </w:r>
          </w:p>
        </w:tc>
        <w:tc>
          <w:tcPr>
            <w:tcW w:w="206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2035"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425" w:hRule="atLeast"/>
        </w:trPr>
        <w:tc>
          <w:tcPr>
            <w:tcW w:w="3619"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Krátkodobé pohľadávky spolu</w:t>
            </w:r>
          </w:p>
        </w:tc>
        <w:tc>
          <w:tcPr>
            <w:tcW w:w="2065"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918"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2035"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r>
          </w:p>
        </w:tc>
      </w:tr>
    </w:tbl>
    <w:p>
      <w:pPr>
        <w:pStyle w:val="Normal"/>
        <w:bidi w:val="0"/>
        <w:spacing w:lineRule="auto" w:line="240" w:before="0" w:after="0"/>
        <w:jc w:val="both"/>
        <w:rPr>
          <w:szCs w:val="22"/>
        </w:rPr>
      </w:pPr>
      <w:r>
        <w:rPr>
          <w:szCs w:val="22"/>
        </w:rPr>
      </w:r>
    </w:p>
    <w:p>
      <w:pPr>
        <w:pStyle w:val="Normal"/>
        <w:bidi w:val="0"/>
        <w:spacing w:lineRule="auto" w:line="240" w:before="0" w:after="0"/>
        <w:jc w:val="both"/>
        <w:rPr>
          <w:rFonts w:ascii="Arial" w:hAnsi="Arial" w:cs="Arial"/>
          <w:b/>
          <w:szCs w:val="22"/>
        </w:rPr>
      </w:pPr>
      <w:r>
        <w:rPr>
          <w:rFonts w:cs="Arial" w:ascii="Arial" w:hAnsi="Arial"/>
          <w:b/>
          <w:szCs w:val="22"/>
        </w:rPr>
      </w:r>
    </w:p>
    <w:p>
      <w:pPr>
        <w:pStyle w:val="Normal"/>
        <w:bidi w:val="0"/>
        <w:spacing w:lineRule="auto" w:line="240" w:before="0" w:after="0"/>
        <w:jc w:val="left"/>
        <w:rPr>
          <w:rFonts w:ascii="Arial" w:hAnsi="Arial" w:cs="Arial"/>
          <w:b/>
          <w:szCs w:val="22"/>
        </w:rPr>
      </w:pPr>
      <w:r>
        <w:rPr>
          <w:rFonts w:cs="Arial" w:ascii="Arial" w:hAnsi="Arial"/>
          <w:b/>
          <w:szCs w:val="22"/>
        </w:rPr>
        <w:t>hodnota pohľadávok zabezpečených záložným právom</w:t>
      </w:r>
    </w:p>
    <w:p>
      <w:pPr>
        <w:pStyle w:val="Normal"/>
        <w:bidi w:val="0"/>
        <w:spacing w:lineRule="auto" w:line="240" w:before="0" w:after="0"/>
        <w:jc w:val="left"/>
        <w:rPr>
          <w:rFonts w:ascii="Arial" w:hAnsi="Arial" w:cs="Arial"/>
          <w:szCs w:val="22"/>
        </w:rPr>
      </w:pPr>
      <w:r>
        <w:rPr>
          <w:rFonts w:cs="Arial" w:ascii="Arial" w:hAnsi="Arial"/>
          <w:szCs w:val="22"/>
        </w:rPr>
        <w:t>Spoločnosť nemalo žiadne pohľadávky zabezpečené záložným právom.</w:t>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b/>
          <w:szCs w:val="22"/>
        </w:rPr>
      </w:pPr>
      <w:r>
        <w:rPr>
          <w:rFonts w:cs="Arial" w:ascii="Arial" w:hAnsi="Arial"/>
          <w:b/>
          <w:szCs w:val="22"/>
        </w:rPr>
        <w:t>hodnota pohľadávok, na ktoré sa zriadilo záložné právo a pohľadávok, pri ktorých má účtovná jednotka obmedzené právo s nimi nakladať</w:t>
      </w:r>
    </w:p>
    <w:p>
      <w:pPr>
        <w:pStyle w:val="Normal"/>
        <w:bidi w:val="0"/>
        <w:spacing w:lineRule="auto" w:line="240" w:before="0" w:after="0"/>
        <w:jc w:val="left"/>
        <w:rPr>
          <w:rFonts w:ascii="Arial" w:hAnsi="Arial" w:cs="Arial"/>
          <w:szCs w:val="22"/>
        </w:rPr>
      </w:pPr>
      <w:r>
        <w:rPr>
          <w:rFonts w:cs="Arial" w:ascii="Arial" w:hAnsi="Arial"/>
          <w:szCs w:val="22"/>
        </w:rPr>
        <w:t>Spoločnosť nemá žiadne pohľadávky, na ktoré sa zriadilo záložné právo.</w:t>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b/>
          <w:szCs w:val="22"/>
        </w:rPr>
      </w:pPr>
      <w:r>
        <w:rPr>
          <w:rFonts w:cs="Arial" w:ascii="Arial" w:hAnsi="Arial"/>
          <w:b/>
          <w:szCs w:val="22"/>
        </w:rPr>
        <w:t>odložená daňová pohľadávka</w:t>
      </w:r>
    </w:p>
    <w:p>
      <w:pPr>
        <w:pStyle w:val="Normal"/>
        <w:bidi w:val="0"/>
        <w:spacing w:lineRule="auto" w:line="240" w:before="0" w:after="0"/>
        <w:jc w:val="left"/>
        <w:rPr>
          <w:rFonts w:ascii="Arial" w:hAnsi="Arial" w:cs="Arial"/>
          <w:szCs w:val="22"/>
        </w:rPr>
      </w:pPr>
      <w:r>
        <w:rPr>
          <w:rFonts w:cs="Arial" w:ascii="Arial" w:hAnsi="Arial"/>
          <w:szCs w:val="22"/>
        </w:rPr>
        <w:t>Spoločnosť odloženú daňovú pohľadávku nemá.</w:t>
      </w:r>
    </w:p>
    <w:p>
      <w:pPr>
        <w:pStyle w:val="Normal"/>
        <w:bidi w:val="0"/>
        <w:spacing w:lineRule="auto" w:line="240" w:before="0" w:after="0"/>
        <w:jc w:val="both"/>
        <w:rPr>
          <w:rFonts w:ascii="Arial" w:hAnsi="Arial" w:cs="Arial"/>
          <w:szCs w:val="22"/>
        </w:rPr>
      </w:pPr>
      <w:r>
        <w:rPr>
          <w:rFonts w:cs="Arial" w:ascii="Arial" w:hAnsi="Arial"/>
          <w:szCs w:val="22"/>
        </w:rPr>
      </w:r>
    </w:p>
    <w:p>
      <w:pPr>
        <w:pStyle w:val="Normal"/>
        <w:bidi w:val="0"/>
        <w:spacing w:lineRule="auto" w:line="240" w:before="0" w:after="0"/>
        <w:jc w:val="both"/>
        <w:rPr>
          <w:szCs w:val="22"/>
        </w:rPr>
      </w:pPr>
      <w:r>
        <w:rPr>
          <w:szCs w:val="22"/>
        </w:rPr>
      </w:r>
    </w:p>
    <w:p>
      <w:pPr>
        <w:pStyle w:val="Nzov"/>
        <w:keepNext w:val="false"/>
        <w:numPr>
          <w:ilvl w:val="0"/>
          <w:numId w:val="6"/>
        </w:numPr>
        <w:bidi w:val="0"/>
        <w:spacing w:beforeAutospacing="0" w:before="0" w:after="0"/>
        <w:jc w:val="both"/>
        <w:rPr>
          <w:szCs w:val="22"/>
        </w:rPr>
      </w:pPr>
      <w:r>
        <w:rPr>
          <w:szCs w:val="22"/>
        </w:rPr>
        <w:t xml:space="preserve">Informácie k prílohe č. 3 časti F. písm. t) a u) o pohľadávkach zabezpečených záložným právom alebo inou formou zabezpečenia  </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4966"/>
        <w:gridCol w:w="2374"/>
        <w:gridCol w:w="2298"/>
      </w:tblGrid>
      <w:tr>
        <w:trPr/>
        <w:tc>
          <w:tcPr>
            <w:tcW w:w="4966"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Opis predmetu záložného práva</w:t>
            </w:r>
          </w:p>
        </w:tc>
        <w:tc>
          <w:tcPr>
            <w:tcW w:w="4672" w:type="dxa"/>
            <w:gridSpan w:val="2"/>
            <w:tcBorders>
              <w:top w:val="single" w:sz="12" w:space="0" w:color="000000"/>
              <w:left w:val="single" w:sz="12" w:space="0" w:color="000000"/>
              <w:right w:val="single" w:sz="12" w:space="0" w:color="000000"/>
            </w:tcBorders>
            <w:vAlign w:val="center"/>
          </w:tcPr>
          <w:p>
            <w:pPr>
              <w:pStyle w:val="TopHeader"/>
              <w:widowControl w:val="false"/>
              <w:bidi w:val="0"/>
              <w:rPr/>
            </w:pPr>
            <w:r>
              <w:rPr/>
              <w:t>Bežné účtovné obdobie</w:t>
            </w:r>
          </w:p>
        </w:tc>
      </w:tr>
      <w:tr>
        <w:trPr/>
        <w:tc>
          <w:tcPr>
            <w:tcW w:w="4966"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2374" w:type="dxa"/>
            <w:tcBorders>
              <w:top w:val="single" w:sz="12" w:space="0" w:color="000000"/>
              <w:left w:val="single" w:sz="12" w:space="0" w:color="000000"/>
              <w:right w:val="single" w:sz="12" w:space="0" w:color="000000"/>
            </w:tcBorders>
            <w:vAlign w:val="center"/>
          </w:tcPr>
          <w:p>
            <w:pPr>
              <w:pStyle w:val="TopHeader"/>
              <w:widowControl w:val="false"/>
              <w:bidi w:val="0"/>
              <w:rPr/>
            </w:pPr>
            <w:r>
              <w:rPr/>
              <w:t>Hodnota predmetu záložného práva</w:t>
            </w:r>
          </w:p>
        </w:tc>
        <w:tc>
          <w:tcPr>
            <w:tcW w:w="2298" w:type="dxa"/>
            <w:tcBorders>
              <w:top w:val="single" w:sz="12" w:space="0" w:color="000000"/>
              <w:left w:val="single" w:sz="12" w:space="0" w:color="000000"/>
              <w:right w:val="single" w:sz="12" w:space="0" w:color="000000"/>
            </w:tcBorders>
            <w:vAlign w:val="center"/>
          </w:tcPr>
          <w:p>
            <w:pPr>
              <w:pStyle w:val="TopHeader"/>
              <w:widowControl w:val="false"/>
              <w:bidi w:val="0"/>
              <w:rPr/>
            </w:pPr>
            <w:r>
              <w:rPr/>
              <w:t>Hodnota</w:t>
              <w:br/>
              <w:t> pohľadávky</w:t>
            </w:r>
          </w:p>
        </w:tc>
      </w:tr>
      <w:tr>
        <w:trPr>
          <w:trHeight w:val="510" w:hRule="atLeast"/>
        </w:trPr>
        <w:tc>
          <w:tcPr>
            <w:tcW w:w="4966"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kryté záložným právom alebo inou formou zabezpečenia</w:t>
            </w:r>
          </w:p>
        </w:tc>
        <w:tc>
          <w:tcPr>
            <w:tcW w:w="2374"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Nie sú</w:t>
            </w:r>
          </w:p>
        </w:tc>
        <w:tc>
          <w:tcPr>
            <w:tcW w:w="2298"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sú</w:t>
            </w:r>
          </w:p>
        </w:tc>
      </w:tr>
      <w:tr>
        <w:trPr>
          <w:trHeight w:val="340" w:hRule="atLeast"/>
        </w:trPr>
        <w:tc>
          <w:tcPr>
            <w:tcW w:w="4966"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Hodnota pohľadávok, na ktoré sa zriadilo záložné právo</w:t>
            </w:r>
          </w:p>
        </w:tc>
        <w:tc>
          <w:tcPr>
            <w:tcW w:w="2374"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center"/>
              <w:rPr>
                <w:szCs w:val="22"/>
              </w:rPr>
            </w:pPr>
            <w:r>
              <w:rPr>
                <w:szCs w:val="22"/>
              </w:rPr>
              <w:t>X</w:t>
            </w:r>
          </w:p>
        </w:tc>
        <w:tc>
          <w:tcPr>
            <w:tcW w:w="2298"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je</w:t>
            </w:r>
          </w:p>
        </w:tc>
      </w:tr>
    </w:tbl>
    <w:p>
      <w:pPr>
        <w:pStyle w:val="Nzov"/>
        <w:bidi w:val="0"/>
        <w:spacing w:beforeAutospacing="0" w:before="0" w:after="0"/>
        <w:jc w:val="left"/>
        <w:rPr>
          <w:szCs w:val="22"/>
        </w:rPr>
      </w:pPr>
      <w:r>
        <w:rPr>
          <w:szCs w:val="22"/>
        </w:rPr>
      </w:r>
    </w:p>
    <w:p>
      <w:pPr>
        <w:pStyle w:val="Nzov"/>
        <w:bidi w:val="0"/>
        <w:spacing w:beforeAutospacing="0" w:before="0" w:after="0"/>
        <w:jc w:val="both"/>
        <w:rPr>
          <w:rFonts w:ascii="Arial" w:hAnsi="Arial" w:cs="Arial"/>
          <w:szCs w:val="22"/>
        </w:rPr>
      </w:pPr>
      <w:r>
        <w:rPr>
          <w:rFonts w:cs="Arial" w:ascii="Arial" w:hAnsi="Arial"/>
          <w:szCs w:val="22"/>
        </w:rPr>
        <w:t>významné zložky krátkodobého finančného majetku</w:t>
      </w:r>
    </w:p>
    <w:p>
      <w:pPr>
        <w:pStyle w:val="Normal"/>
        <w:bidi w:val="0"/>
        <w:jc w:val="both"/>
        <w:rPr>
          <w:rFonts w:ascii="Arial" w:hAnsi="Arial" w:cs="Arial"/>
        </w:rPr>
      </w:pPr>
      <w:r>
        <w:rPr>
          <w:rFonts w:cs="Arial" w:ascii="Arial" w:hAnsi="Arial"/>
        </w:rPr>
        <w:t>Spoločnosť malo k 31.12.202</w:t>
      </w:r>
      <w:r>
        <w:rPr>
          <w:rFonts w:cs="Arial" w:ascii="Arial" w:hAnsi="Arial"/>
        </w:rPr>
        <w:t>5</w:t>
      </w:r>
      <w:r>
        <w:rPr>
          <w:rFonts w:cs="Arial" w:ascii="Arial" w:hAnsi="Arial"/>
        </w:rPr>
        <w:t xml:space="preserve"> v pokladni finančnú hotovosť vo výške </w:t>
      </w:r>
      <w:r>
        <w:rPr>
          <w:rFonts w:cs="Arial" w:ascii="Arial" w:hAnsi="Arial"/>
        </w:rPr>
        <w:t xml:space="preserve">4.928,24 </w:t>
      </w:r>
      <w:r>
        <w:rPr>
          <w:rFonts w:cs="Arial" w:ascii="Arial" w:hAnsi="Arial"/>
        </w:rPr>
        <w:t>eur. Spoločnosť má uzatvorený bankový účet v Tatrabanka a.s., kde bol zostatok k 31.12.202</w:t>
      </w:r>
      <w:r>
        <w:rPr>
          <w:rFonts w:cs="Arial" w:ascii="Arial" w:hAnsi="Arial"/>
        </w:rPr>
        <w:t>5</w:t>
      </w:r>
      <w:r>
        <w:rPr>
          <w:rFonts w:cs="Arial" w:ascii="Arial" w:hAnsi="Arial"/>
        </w:rPr>
        <w:t xml:space="preserve"> </w:t>
      </w:r>
      <w:r>
        <w:rPr>
          <w:rFonts w:cs="Arial" w:ascii="Arial" w:hAnsi="Arial"/>
        </w:rPr>
        <w:t>1.077,32</w:t>
      </w:r>
      <w:r>
        <w:rPr>
          <w:rFonts w:cs="Arial" w:ascii="Arial" w:hAnsi="Arial"/>
        </w:rPr>
        <w:t xml:space="preserve"> eur. </w:t>
      </w:r>
    </w:p>
    <w:p>
      <w:pPr>
        <w:pStyle w:val="Normal"/>
        <w:bidi w:val="0"/>
        <w:jc w:val="both"/>
        <w:rPr>
          <w:rFonts w:ascii="Arial" w:hAnsi="Arial" w:cs="Arial"/>
        </w:rPr>
      </w:pPr>
      <w:r>
        <w:rPr/>
      </w:r>
    </w:p>
    <w:p>
      <w:pPr>
        <w:pStyle w:val="ListParagraph"/>
        <w:numPr>
          <w:ilvl w:val="0"/>
          <w:numId w:val="6"/>
        </w:numPr>
        <w:bidi w:val="0"/>
        <w:jc w:val="left"/>
        <w:rPr>
          <w:b/>
          <w:bCs/>
          <w:szCs w:val="22"/>
        </w:rPr>
      </w:pPr>
      <w:r>
        <w:rPr>
          <w:b/>
          <w:bCs/>
          <w:szCs w:val="22"/>
        </w:rPr>
        <w:t xml:space="preserve">Informácie k prílohe č. 3 časti F. písm. w) o krátkodobom finančnom majetku </w:t>
      </w:r>
    </w:p>
    <w:p>
      <w:pPr>
        <w:pStyle w:val="Nzov"/>
        <w:keepNext w:val="false"/>
        <w:bidi w:val="0"/>
        <w:spacing w:beforeAutospacing="0" w:before="0" w:after="0"/>
        <w:jc w:val="left"/>
        <w:rPr>
          <w:b w:val="false"/>
          <w:szCs w:val="22"/>
        </w:rPr>
      </w:pPr>
      <w:r>
        <w:rPr>
          <w:b w:val="false"/>
          <w:szCs w:val="22"/>
        </w:rPr>
        <w:t xml:space="preserve">Tabuľka č. 1 </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4383"/>
        <w:gridCol w:w="2725"/>
        <w:gridCol w:w="2530"/>
      </w:tblGrid>
      <w:tr>
        <w:trPr/>
        <w:tc>
          <w:tcPr>
            <w:tcW w:w="4383" w:type="dxa"/>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2725" w:type="dxa"/>
            <w:tcBorders>
              <w:top w:val="single" w:sz="12" w:space="0" w:color="000000"/>
              <w:left w:val="single" w:sz="12" w:space="0" w:color="000000"/>
              <w:right w:val="single" w:sz="12" w:space="0" w:color="000000"/>
            </w:tcBorders>
            <w:vAlign w:val="center"/>
          </w:tcPr>
          <w:p>
            <w:pPr>
              <w:pStyle w:val="TopHeader"/>
              <w:widowControl w:val="false"/>
              <w:bidi w:val="0"/>
              <w:rPr/>
            </w:pPr>
            <w:r>
              <w:rPr/>
              <w:t>Bežné účtovné obdobie</w:t>
            </w:r>
          </w:p>
        </w:tc>
        <w:tc>
          <w:tcPr>
            <w:tcW w:w="2530" w:type="dxa"/>
            <w:tcBorders>
              <w:top w:val="single" w:sz="12" w:space="0" w:color="000000"/>
              <w:left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397" w:hRule="exact"/>
        </w:trPr>
        <w:tc>
          <w:tcPr>
            <w:tcW w:w="4383"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Pokladnica, ceniny</w:t>
            </w:r>
          </w:p>
        </w:tc>
        <w:tc>
          <w:tcPr>
            <w:tcW w:w="2725"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bCs/>
                <w:szCs w:val="22"/>
              </w:rPr>
            </w:pPr>
            <w:r>
              <w:rPr>
                <w:bCs/>
                <w:szCs w:val="22"/>
              </w:rPr>
              <w:t>4928</w:t>
            </w:r>
          </w:p>
        </w:tc>
        <w:tc>
          <w:tcPr>
            <w:tcW w:w="2530"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Cs/>
                <w:szCs w:val="22"/>
              </w:rPr>
            </w:pPr>
            <w:r>
              <w:rPr/>
            </w:r>
          </w:p>
        </w:tc>
      </w:tr>
      <w:tr>
        <w:trPr>
          <w:trHeight w:val="526" w:hRule="exact"/>
        </w:trPr>
        <w:tc>
          <w:tcPr>
            <w:tcW w:w="438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Cs/>
                <w:szCs w:val="22"/>
              </w:rPr>
            </w:pPr>
            <w:r>
              <w:rPr>
                <w:bCs/>
                <w:szCs w:val="22"/>
              </w:rPr>
              <w:t>Bežné účty v banke alebo v pobočke zahraničnej banky</w:t>
            </w:r>
          </w:p>
        </w:tc>
        <w:tc>
          <w:tcPr>
            <w:tcW w:w="272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bCs/>
                <w:szCs w:val="22"/>
              </w:rPr>
            </w:pPr>
            <w:r>
              <w:rPr>
                <w:bCs/>
                <w:szCs w:val="22"/>
              </w:rPr>
              <w:t>1</w:t>
            </w:r>
            <w:r>
              <w:rPr>
                <w:bCs/>
                <w:szCs w:val="22"/>
              </w:rPr>
              <w:t>077</w:t>
            </w:r>
          </w:p>
        </w:tc>
        <w:tc>
          <w:tcPr>
            <w:tcW w:w="253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Cs/>
                <w:szCs w:val="22"/>
              </w:rPr>
            </w:pPr>
            <w:r>
              <w:rPr/>
            </w:r>
          </w:p>
        </w:tc>
      </w:tr>
      <w:tr>
        <w:trPr>
          <w:trHeight w:val="576" w:hRule="exact"/>
        </w:trPr>
        <w:tc>
          <w:tcPr>
            <w:tcW w:w="438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Cs/>
                <w:szCs w:val="22"/>
              </w:rPr>
            </w:pPr>
            <w:r>
              <w:rPr>
                <w:bCs/>
                <w:szCs w:val="22"/>
              </w:rPr>
              <w:t>Vkladové účty v banke alebo v pobočke zahraničnej banky termínované</w:t>
            </w:r>
          </w:p>
        </w:tc>
        <w:tc>
          <w:tcPr>
            <w:tcW w:w="272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bCs/>
                <w:szCs w:val="22"/>
              </w:rPr>
            </w:pPr>
            <w:r>
              <w:rPr>
                <w:bCs/>
                <w:szCs w:val="22"/>
              </w:rPr>
              <w:t>0</w:t>
            </w:r>
          </w:p>
        </w:tc>
        <w:tc>
          <w:tcPr>
            <w:tcW w:w="253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Cs/>
                <w:szCs w:val="22"/>
              </w:rPr>
            </w:pPr>
            <w:r>
              <w:rPr/>
            </w:r>
          </w:p>
        </w:tc>
      </w:tr>
      <w:tr>
        <w:trPr>
          <w:trHeight w:val="397" w:hRule="exact"/>
        </w:trPr>
        <w:tc>
          <w:tcPr>
            <w:tcW w:w="438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Cs/>
                <w:szCs w:val="22"/>
              </w:rPr>
            </w:pPr>
            <w:r>
              <w:rPr>
                <w:bCs/>
                <w:szCs w:val="22"/>
              </w:rPr>
              <w:t>Peniaze na ceste</w:t>
            </w:r>
          </w:p>
        </w:tc>
        <w:tc>
          <w:tcPr>
            <w:tcW w:w="272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bCs/>
                <w:szCs w:val="22"/>
              </w:rPr>
            </w:pPr>
            <w:r>
              <w:rPr>
                <w:bCs/>
                <w:szCs w:val="22"/>
              </w:rPr>
              <w:t>0</w:t>
            </w:r>
          </w:p>
        </w:tc>
        <w:tc>
          <w:tcPr>
            <w:tcW w:w="253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Cs/>
                <w:szCs w:val="22"/>
              </w:rPr>
            </w:pPr>
            <w:r>
              <w:rPr/>
            </w:r>
          </w:p>
        </w:tc>
      </w:tr>
      <w:tr>
        <w:trPr>
          <w:trHeight w:val="397" w:hRule="exact"/>
        </w:trPr>
        <w:tc>
          <w:tcPr>
            <w:tcW w:w="4383"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Spolu</w:t>
            </w:r>
          </w:p>
        </w:tc>
        <w:tc>
          <w:tcPr>
            <w:tcW w:w="2725"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bCs/>
                <w:szCs w:val="22"/>
              </w:rPr>
            </w:pPr>
            <w:r>
              <w:rPr>
                <w:b/>
                <w:bCs/>
                <w:szCs w:val="22"/>
              </w:rPr>
              <w:t>6005</w:t>
            </w:r>
          </w:p>
        </w:tc>
        <w:tc>
          <w:tcPr>
            <w:tcW w:w="2530"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r>
          </w:p>
        </w:tc>
      </w:tr>
    </w:tbl>
    <w:p>
      <w:pPr>
        <w:pStyle w:val="Nzov"/>
        <w:keepNext w:val="false"/>
        <w:widowControl w:val="false"/>
        <w:bidi w:val="0"/>
        <w:spacing w:beforeAutospacing="0" w:before="0" w:after="0"/>
        <w:jc w:val="left"/>
        <w:rPr>
          <w:b w:val="false"/>
          <w:szCs w:val="22"/>
        </w:rPr>
      </w:pPr>
      <w:r>
        <w:rPr>
          <w:b w:val="false"/>
          <w:szCs w:val="22"/>
        </w:rPr>
      </w:r>
    </w:p>
    <w:p>
      <w:pPr>
        <w:pStyle w:val="Normal"/>
        <w:widowControl w:val="false"/>
        <w:bidi w:val="0"/>
        <w:spacing w:beforeAutospacing="0" w:before="0" w:after="0"/>
        <w:jc w:val="left"/>
        <w:rPr>
          <w:b w:val="false"/>
          <w:szCs w:val="22"/>
        </w:rPr>
      </w:pPr>
      <w:r>
        <w:rPr>
          <w:b w:val="false"/>
          <w:szCs w:val="22"/>
        </w:rPr>
      </w:r>
    </w:p>
    <w:p>
      <w:pPr>
        <w:pStyle w:val="Normal"/>
        <w:widowControl w:val="false"/>
        <w:bidi w:val="0"/>
        <w:spacing w:beforeAutospacing="0" w:before="0" w:after="0"/>
        <w:jc w:val="left"/>
        <w:rPr>
          <w:b w:val="false"/>
          <w:szCs w:val="22"/>
        </w:rPr>
      </w:pPr>
      <w:r>
        <w:rPr>
          <w:b w:val="false"/>
          <w:szCs w:val="22"/>
        </w:rPr>
      </w:r>
    </w:p>
    <w:p>
      <w:pPr>
        <w:pStyle w:val="Nzov"/>
        <w:keepNext w:val="false"/>
        <w:widowControl w:val="false"/>
        <w:bidi w:val="0"/>
        <w:spacing w:beforeAutospacing="0" w:before="0" w:after="0"/>
        <w:jc w:val="left"/>
        <w:rPr>
          <w:b w:val="false"/>
          <w:szCs w:val="22"/>
        </w:rPr>
      </w:pPr>
      <w:r>
        <w:rPr>
          <w:b w:val="false"/>
          <w:szCs w:val="22"/>
        </w:rPr>
        <w:t>Tabuľka č. 2</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2955"/>
        <w:gridCol w:w="1532"/>
        <w:gridCol w:w="1215"/>
        <w:gridCol w:w="981"/>
        <w:gridCol w:w="1275"/>
        <w:gridCol w:w="1679"/>
      </w:tblGrid>
      <w:tr>
        <w:trPr/>
        <w:tc>
          <w:tcPr>
            <w:tcW w:w="2955"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Krátkodobý finančný majetok</w:t>
            </w:r>
          </w:p>
        </w:tc>
        <w:tc>
          <w:tcPr>
            <w:tcW w:w="6682" w:type="dxa"/>
            <w:gridSpan w:val="5"/>
            <w:tcBorders>
              <w:top w:val="single" w:sz="12" w:space="0" w:color="000000"/>
              <w:left w:val="single" w:sz="4" w:space="0" w:color="000000"/>
              <w:right w:val="single" w:sz="12" w:space="0" w:color="000000"/>
            </w:tcBorders>
          </w:tcPr>
          <w:p>
            <w:pPr>
              <w:pStyle w:val="TopHeader"/>
              <w:widowControl w:val="false"/>
              <w:bidi w:val="0"/>
              <w:rPr/>
            </w:pPr>
            <w:r>
              <w:rPr/>
              <w:t>Bežné účtovné obdobie</w:t>
            </w:r>
          </w:p>
        </w:tc>
      </w:tr>
      <w:tr>
        <w:trPr/>
        <w:tc>
          <w:tcPr>
            <w:tcW w:w="2955"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532" w:type="dxa"/>
            <w:tcBorders>
              <w:top w:val="single" w:sz="12" w:space="0" w:color="000000"/>
              <w:left w:val="single" w:sz="12" w:space="0" w:color="000000"/>
              <w:right w:val="single" w:sz="12" w:space="0" w:color="000000"/>
            </w:tcBorders>
            <w:vAlign w:val="center"/>
          </w:tcPr>
          <w:p>
            <w:pPr>
              <w:pStyle w:val="TopHeader"/>
              <w:widowControl w:val="false"/>
              <w:bidi w:val="0"/>
              <w:rPr/>
            </w:pPr>
            <w:r>
              <w:rPr/>
              <w:t>Stav</w:t>
              <w:br/>
              <w:t> na začiatku účtovného obdobia</w:t>
            </w:r>
          </w:p>
        </w:tc>
        <w:tc>
          <w:tcPr>
            <w:tcW w:w="1215" w:type="dxa"/>
            <w:tcBorders>
              <w:top w:val="single" w:sz="12" w:space="0" w:color="000000"/>
              <w:left w:val="single" w:sz="12" w:space="0" w:color="000000"/>
              <w:right w:val="single" w:sz="12" w:space="0" w:color="000000"/>
            </w:tcBorders>
            <w:vAlign w:val="center"/>
          </w:tcPr>
          <w:p>
            <w:pPr>
              <w:pStyle w:val="TopHeader"/>
              <w:widowControl w:val="false"/>
              <w:bidi w:val="0"/>
              <w:rPr/>
            </w:pPr>
            <w:r>
              <w:rPr/>
              <w:t>Prírastky</w:t>
            </w:r>
          </w:p>
          <w:p>
            <w:pPr>
              <w:pStyle w:val="TopHeader"/>
              <w:widowControl w:val="false"/>
              <w:bidi w:val="0"/>
              <w:rPr/>
            </w:pPr>
            <w:r>
              <w:rPr/>
            </w:r>
          </w:p>
        </w:tc>
        <w:tc>
          <w:tcPr>
            <w:tcW w:w="981" w:type="dxa"/>
            <w:tcBorders>
              <w:top w:val="single" w:sz="12" w:space="0" w:color="000000"/>
              <w:left w:val="single" w:sz="12" w:space="0" w:color="000000"/>
              <w:right w:val="single" w:sz="12" w:space="0" w:color="000000"/>
            </w:tcBorders>
            <w:vAlign w:val="center"/>
          </w:tcPr>
          <w:p>
            <w:pPr>
              <w:pStyle w:val="TopHeader"/>
              <w:widowControl w:val="false"/>
              <w:bidi w:val="0"/>
              <w:rPr/>
            </w:pPr>
            <w:r>
              <w:rPr/>
              <w:t>Úbytky</w:t>
            </w:r>
          </w:p>
          <w:p>
            <w:pPr>
              <w:pStyle w:val="TopHeader"/>
              <w:widowControl w:val="false"/>
              <w:bidi w:val="0"/>
              <w:rPr/>
            </w:pPr>
            <w:r>
              <w:rPr/>
            </w:r>
          </w:p>
        </w:tc>
        <w:tc>
          <w:tcPr>
            <w:tcW w:w="1275" w:type="dxa"/>
            <w:tcBorders>
              <w:top w:val="single" w:sz="12" w:space="0" w:color="000000"/>
              <w:left w:val="single" w:sz="12" w:space="0" w:color="000000"/>
              <w:right w:val="single" w:sz="12" w:space="0" w:color="000000"/>
            </w:tcBorders>
            <w:vAlign w:val="center"/>
          </w:tcPr>
          <w:p>
            <w:pPr>
              <w:pStyle w:val="TopHeader"/>
              <w:widowControl w:val="false"/>
              <w:bidi w:val="0"/>
              <w:rPr/>
            </w:pPr>
            <w:r>
              <w:rPr/>
              <w:t>Presuny</w:t>
            </w:r>
          </w:p>
          <w:p>
            <w:pPr>
              <w:pStyle w:val="TopHeader"/>
              <w:widowControl w:val="false"/>
              <w:bidi w:val="0"/>
              <w:rPr/>
            </w:pPr>
            <w:r>
              <w:rPr/>
            </w:r>
          </w:p>
        </w:tc>
        <w:tc>
          <w:tcPr>
            <w:tcW w:w="1679"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na konci účtovného obdobia</w:t>
            </w:r>
          </w:p>
        </w:tc>
      </w:tr>
      <w:tr>
        <w:trPr>
          <w:trHeight w:val="74" w:hRule="atLeast"/>
        </w:trPr>
        <w:tc>
          <w:tcPr>
            <w:tcW w:w="295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1532"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21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981" w:type="dxa"/>
            <w:tcBorders>
              <w:left w:val="single" w:sz="12" w:space="0" w:color="000000"/>
              <w:bottom w:val="single" w:sz="12" w:space="0" w:color="000000"/>
              <w:right w:val="single" w:sz="12" w:space="0" w:color="000000"/>
            </w:tcBorders>
          </w:tcPr>
          <w:p>
            <w:pPr>
              <w:pStyle w:val="TopHeader"/>
              <w:widowControl w:val="false"/>
              <w:bidi w:val="0"/>
              <w:rPr>
                <w:b w:val="false"/>
              </w:rPr>
            </w:pPr>
            <w:r>
              <w:rPr>
                <w:b w:val="false"/>
              </w:rPr>
              <w:t>d</w:t>
            </w:r>
          </w:p>
        </w:tc>
        <w:tc>
          <w:tcPr>
            <w:tcW w:w="1275"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e</w:t>
            </w:r>
          </w:p>
        </w:tc>
        <w:tc>
          <w:tcPr>
            <w:tcW w:w="1679"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f</w:t>
            </w:r>
          </w:p>
        </w:tc>
      </w:tr>
      <w:tr>
        <w:trPr>
          <w:trHeight w:val="397" w:hRule="atLeast"/>
        </w:trPr>
        <w:tc>
          <w:tcPr>
            <w:tcW w:w="2955"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Majetkové CP na obchodovanie</w:t>
            </w:r>
          </w:p>
        </w:tc>
        <w:tc>
          <w:tcPr>
            <w:tcW w:w="1532"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15"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81"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75"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79"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955"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Dlhové CP na obchodovanie</w:t>
            </w:r>
          </w:p>
        </w:tc>
        <w:tc>
          <w:tcPr>
            <w:tcW w:w="1532"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79"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425" w:hRule="atLeast"/>
        </w:trPr>
        <w:tc>
          <w:tcPr>
            <w:tcW w:w="2955"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Emisné kvóty</w:t>
            </w:r>
          </w:p>
        </w:tc>
        <w:tc>
          <w:tcPr>
            <w:tcW w:w="1532"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15"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81"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75"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79" w:type="dxa"/>
            <w:tcBorders>
              <w:top w:val="single" w:sz="4" w:space="0" w:color="000000"/>
              <w:left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c>
          <w:tcPr>
            <w:tcW w:w="2955"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Dlhové CP so splatnosťou do  jedného roka držané</w:t>
              <w:br/>
              <w:t>do splatnosti</w:t>
            </w:r>
          </w:p>
        </w:tc>
        <w:tc>
          <w:tcPr>
            <w:tcW w:w="1532"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15"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81"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75"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79" w:type="dxa"/>
            <w:tcBorders>
              <w:top w:val="single" w:sz="4" w:space="0" w:color="000000"/>
              <w:left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425" w:hRule="atLeast"/>
        </w:trPr>
        <w:tc>
          <w:tcPr>
            <w:tcW w:w="2955"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Ostatné realizovateľné CP</w:t>
            </w:r>
          </w:p>
        </w:tc>
        <w:tc>
          <w:tcPr>
            <w:tcW w:w="1532"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15"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81"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75"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79" w:type="dxa"/>
            <w:tcBorders>
              <w:top w:val="single" w:sz="6"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c>
          <w:tcPr>
            <w:tcW w:w="2955"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Obstarávanie krátkodobého finančného majetku</w:t>
            </w:r>
          </w:p>
        </w:tc>
        <w:tc>
          <w:tcPr>
            <w:tcW w:w="1532"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79"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2955"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Krátkodobý finančný majetok spolu</w:t>
            </w:r>
          </w:p>
        </w:tc>
        <w:tc>
          <w:tcPr>
            <w:tcW w:w="1532"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215"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981"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275"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679"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r>
          </w:p>
        </w:tc>
      </w:tr>
    </w:tbl>
    <w:p>
      <w:pPr>
        <w:pStyle w:val="Nzov"/>
        <w:keepNext w:val="false"/>
        <w:widowControl w:val="false"/>
        <w:bidi w:val="0"/>
        <w:spacing w:beforeAutospacing="0" w:before="0" w:after="0"/>
        <w:jc w:val="left"/>
        <w:rPr>
          <w:szCs w:val="22"/>
          <w:lang w:eastAsia="sk-SK"/>
        </w:rPr>
      </w:pPr>
      <w:r>
        <w:rPr>
          <w:rFonts w:cs="Arial" w:ascii="Arial" w:hAnsi="Arial"/>
          <w:szCs w:val="22"/>
          <w:lang w:eastAsia="sk-SK"/>
        </w:rPr>
      </w:r>
    </w:p>
    <w:p>
      <w:pPr>
        <w:pStyle w:val="Nzov"/>
        <w:keepNext w:val="false"/>
        <w:widowControl w:val="false"/>
        <w:bidi w:val="0"/>
        <w:spacing w:beforeAutospacing="0" w:before="0" w:after="0"/>
        <w:jc w:val="left"/>
        <w:rPr>
          <w:rFonts w:ascii="Arial" w:hAnsi="Arial" w:cs="Arial"/>
          <w:szCs w:val="22"/>
          <w:lang w:eastAsia="sk-SK"/>
        </w:rPr>
      </w:pPr>
      <w:r>
        <w:rPr>
          <w:rFonts w:cs="Arial" w:ascii="Arial" w:hAnsi="Arial"/>
          <w:szCs w:val="22"/>
          <w:lang w:eastAsia="sk-SK"/>
        </w:rPr>
        <w:t>opravné položky ku krátkodobému finančnému majetku</w:t>
      </w:r>
    </w:p>
    <w:p>
      <w:pPr>
        <w:pStyle w:val="Normal"/>
        <w:bidi w:val="0"/>
        <w:jc w:val="left"/>
        <w:rPr>
          <w:rFonts w:ascii="Arial" w:hAnsi="Arial" w:cs="Arial"/>
          <w:lang w:eastAsia="sk-SK"/>
        </w:rPr>
      </w:pPr>
      <w:r>
        <w:rPr>
          <w:rFonts w:cs="Arial" w:ascii="Arial" w:hAnsi="Arial"/>
          <w:lang w:eastAsia="sk-SK"/>
        </w:rPr>
        <w:t>Opravné položky ku krátkodobému finančnému majetku spoločnosť netvorilo.</w:t>
      </w:r>
    </w:p>
    <w:p>
      <w:pPr>
        <w:pStyle w:val="Normal"/>
        <w:bidi w:val="0"/>
        <w:jc w:val="left"/>
        <w:rPr>
          <w:rFonts w:ascii="Arial" w:hAnsi="Arial" w:cs="Arial"/>
          <w:lang w:eastAsia="sk-SK"/>
        </w:rPr>
      </w:pPr>
      <w:r>
        <w:rPr>
          <w:rFonts w:cs="Arial" w:ascii="Arial" w:hAnsi="Arial"/>
          <w:lang w:eastAsia="sk-SK"/>
        </w:rPr>
      </w:r>
    </w:p>
    <w:p>
      <w:pPr>
        <w:pStyle w:val="Nzov"/>
        <w:keepNext w:val="false"/>
        <w:widowControl w:val="false"/>
        <w:numPr>
          <w:ilvl w:val="0"/>
          <w:numId w:val="6"/>
        </w:numPr>
        <w:bidi w:val="0"/>
        <w:spacing w:beforeAutospacing="0" w:before="0" w:after="0"/>
        <w:jc w:val="both"/>
        <w:rPr>
          <w:szCs w:val="22"/>
        </w:rPr>
      </w:pPr>
      <w:r>
        <w:rPr>
          <w:szCs w:val="22"/>
          <w:lang w:eastAsia="sk-SK"/>
        </w:rPr>
        <w:t xml:space="preserve">Informácie k </w:t>
      </w:r>
      <w:r>
        <w:rPr>
          <w:szCs w:val="22"/>
        </w:rPr>
        <w:t>prílohe č. 3 </w:t>
      </w:r>
      <w:r>
        <w:rPr>
          <w:szCs w:val="22"/>
          <w:lang w:eastAsia="sk-SK"/>
        </w:rPr>
        <w:t> časti  F. písm. x) o vývoji opravnej položky ku krátkodobému finančnému majetku</w:t>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2868"/>
        <w:gridCol w:w="1504"/>
        <w:gridCol w:w="1039"/>
        <w:gridCol w:w="1483"/>
        <w:gridCol w:w="1489"/>
        <w:gridCol w:w="1254"/>
      </w:tblGrid>
      <w:tr>
        <w:trPr/>
        <w:tc>
          <w:tcPr>
            <w:tcW w:w="2868" w:type="dxa"/>
            <w:tcBorders>
              <w:top w:val="single" w:sz="12" w:space="0" w:color="000000"/>
              <w:left w:val="single" w:sz="12" w:space="0" w:color="000000"/>
              <w:right w:val="single" w:sz="12" w:space="0" w:color="000000"/>
            </w:tcBorders>
            <w:vAlign w:val="center"/>
          </w:tcPr>
          <w:p>
            <w:pPr>
              <w:pStyle w:val="TopHeader"/>
              <w:widowControl w:val="false"/>
              <w:bidi w:val="0"/>
              <w:rPr/>
            </w:pPr>
            <w:r>
              <w:rPr/>
              <w:t>Krátkodobý finančný majetok</w:t>
            </w:r>
          </w:p>
        </w:tc>
        <w:tc>
          <w:tcPr>
            <w:tcW w:w="1504"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OP</w:t>
            </w:r>
          </w:p>
          <w:p>
            <w:pPr>
              <w:pStyle w:val="TopHeader"/>
              <w:widowControl w:val="false"/>
              <w:bidi w:val="0"/>
              <w:rPr/>
            </w:pPr>
            <w:r>
              <w:rPr/>
              <w:t>na začiatku účtovného obdobia</w:t>
            </w:r>
          </w:p>
        </w:tc>
        <w:tc>
          <w:tcPr>
            <w:tcW w:w="1039" w:type="dxa"/>
            <w:tcBorders>
              <w:top w:val="single" w:sz="12" w:space="0" w:color="000000"/>
              <w:left w:val="single" w:sz="12" w:space="0" w:color="000000"/>
              <w:right w:val="single" w:sz="12" w:space="0" w:color="000000"/>
            </w:tcBorders>
            <w:vAlign w:val="center"/>
          </w:tcPr>
          <w:p>
            <w:pPr>
              <w:pStyle w:val="TopHeader"/>
              <w:widowControl w:val="false"/>
              <w:bidi w:val="0"/>
              <w:rPr/>
            </w:pPr>
            <w:r>
              <w:rPr/>
              <w:t>Tvorba </w:t>
              <w:br/>
              <w:t>OP</w:t>
            </w:r>
          </w:p>
          <w:p>
            <w:pPr>
              <w:pStyle w:val="TopHeader"/>
              <w:widowControl w:val="false"/>
              <w:bidi w:val="0"/>
              <w:rPr/>
            </w:pPr>
            <w:r>
              <w:rPr/>
            </w:r>
          </w:p>
        </w:tc>
        <w:tc>
          <w:tcPr>
            <w:tcW w:w="1483" w:type="dxa"/>
            <w:tcBorders>
              <w:top w:val="single" w:sz="12" w:space="0" w:color="000000"/>
              <w:left w:val="single" w:sz="12" w:space="0" w:color="000000"/>
              <w:right w:val="single" w:sz="12" w:space="0" w:color="000000"/>
            </w:tcBorders>
            <w:vAlign w:val="center"/>
          </w:tcPr>
          <w:p>
            <w:pPr>
              <w:pStyle w:val="TopHeader"/>
              <w:widowControl w:val="false"/>
              <w:bidi w:val="0"/>
              <w:rPr/>
            </w:pPr>
            <w:r>
              <w:rPr/>
              <w:t>Zúčtovanie OP z dôvodu zániku opodstatne-nosti</w:t>
            </w:r>
          </w:p>
          <w:p>
            <w:pPr>
              <w:pStyle w:val="TopHeader"/>
              <w:widowControl w:val="false"/>
              <w:bidi w:val="0"/>
              <w:rPr/>
            </w:pPr>
            <w:r>
              <w:rPr/>
            </w:r>
          </w:p>
        </w:tc>
        <w:tc>
          <w:tcPr>
            <w:tcW w:w="1489" w:type="dxa"/>
            <w:tcBorders>
              <w:top w:val="single" w:sz="12" w:space="0" w:color="000000"/>
              <w:left w:val="single" w:sz="12" w:space="0" w:color="000000"/>
              <w:right w:val="single" w:sz="12" w:space="0" w:color="000000"/>
            </w:tcBorders>
            <w:vAlign w:val="center"/>
          </w:tcPr>
          <w:p>
            <w:pPr>
              <w:pStyle w:val="TopHeader"/>
              <w:widowControl w:val="false"/>
              <w:bidi w:val="0"/>
              <w:rPr/>
            </w:pPr>
            <w:r>
              <w:rPr/>
              <w:t>Zúčtovanie OP z dôvodu vyradenia majetku z účtovníctva</w:t>
            </w:r>
          </w:p>
          <w:p>
            <w:pPr>
              <w:pStyle w:val="TopHeader"/>
              <w:widowControl w:val="false"/>
              <w:bidi w:val="0"/>
              <w:rPr/>
            </w:pPr>
            <w:r>
              <w:rPr/>
            </w:r>
          </w:p>
        </w:tc>
        <w:tc>
          <w:tcPr>
            <w:tcW w:w="1254"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OP na konci účtovného obdobia</w:t>
            </w:r>
          </w:p>
        </w:tc>
      </w:tr>
      <w:tr>
        <w:trPr/>
        <w:tc>
          <w:tcPr>
            <w:tcW w:w="2868"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1504"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039"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1483"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c>
          <w:tcPr>
            <w:tcW w:w="1489"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e</w:t>
            </w:r>
          </w:p>
        </w:tc>
        <w:tc>
          <w:tcPr>
            <w:tcW w:w="1254"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f</w:t>
            </w:r>
          </w:p>
        </w:tc>
      </w:tr>
      <w:tr>
        <w:trPr>
          <w:trHeight w:val="454" w:hRule="atLeast"/>
        </w:trPr>
        <w:tc>
          <w:tcPr>
            <w:tcW w:w="2868"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Ostatné realizovateľné CP</w:t>
            </w:r>
          </w:p>
        </w:tc>
        <w:tc>
          <w:tcPr>
            <w:tcW w:w="1504" w:type="dxa"/>
            <w:tcBorders>
              <w:top w:val="single" w:sz="12"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39" w:type="dxa"/>
            <w:tcBorders>
              <w:top w:val="single" w:sz="12"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3" w:type="dxa"/>
            <w:tcBorders>
              <w:top w:val="single" w:sz="12"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9" w:type="dxa"/>
            <w:tcBorders>
              <w:top w:val="single" w:sz="12"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4" w:type="dxa"/>
            <w:tcBorders>
              <w:top w:val="single" w:sz="12" w:space="0" w:color="000000"/>
              <w:left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c>
          <w:tcPr>
            <w:tcW w:w="2868"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Obstarávanie krátkodobého finančného majetku</w:t>
            </w:r>
          </w:p>
        </w:tc>
        <w:tc>
          <w:tcPr>
            <w:tcW w:w="1504"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39"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3"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9"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54" w:type="dxa"/>
            <w:tcBorders>
              <w:top w:val="single" w:sz="6"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c>
          <w:tcPr>
            <w:tcW w:w="2868"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Krátkodobý finančný majetok spolu</w:t>
            </w:r>
          </w:p>
        </w:tc>
        <w:tc>
          <w:tcPr>
            <w:tcW w:w="1504"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039"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483"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489"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254"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r>
          </w:p>
        </w:tc>
      </w:tr>
    </w:tbl>
    <w:p>
      <w:pPr>
        <w:pStyle w:val="Normal"/>
        <w:bidi w:val="0"/>
        <w:jc w:val="left"/>
        <w:rPr/>
      </w:pPr>
      <w:r>
        <w:rPr/>
      </w:r>
    </w:p>
    <w:p>
      <w:pPr>
        <w:pStyle w:val="Normal"/>
        <w:bidi w:val="0"/>
        <w:jc w:val="left"/>
        <w:rPr>
          <w:rFonts w:ascii="Arial" w:hAnsi="Arial" w:cs="Arial"/>
          <w:b/>
        </w:rPr>
      </w:pPr>
      <w:r>
        <w:rPr>
          <w:rFonts w:cs="Arial" w:ascii="Arial" w:hAnsi="Arial"/>
          <w:b/>
        </w:rPr>
        <w:t>krátkodobý finančný majetok, na ktorý bolo zriadené záložné právo</w:t>
      </w:r>
    </w:p>
    <w:p>
      <w:pPr>
        <w:pStyle w:val="Normal"/>
        <w:bidi w:val="0"/>
        <w:jc w:val="left"/>
        <w:rPr>
          <w:rFonts w:ascii="Arial" w:hAnsi="Arial" w:cs="Arial"/>
        </w:rPr>
      </w:pPr>
      <w:r>
        <w:rPr>
          <w:rFonts w:cs="Arial" w:ascii="Arial" w:hAnsi="Arial"/>
        </w:rPr>
        <w:t>Spoločnosť nemá žiadny krátkodobý finančný majetok, na ktorý bolo zriadené záložné právo.</w:t>
      </w:r>
    </w:p>
    <w:p>
      <w:pPr>
        <w:pStyle w:val="Normal"/>
        <w:bidi w:val="0"/>
        <w:jc w:val="left"/>
        <w:rPr>
          <w:rFonts w:ascii="Arial" w:hAnsi="Arial" w:cs="Arial"/>
        </w:rPr>
      </w:pPr>
      <w:r>
        <w:rPr/>
      </w:r>
    </w:p>
    <w:p>
      <w:pPr>
        <w:pStyle w:val="Nzov"/>
        <w:numPr>
          <w:ilvl w:val="0"/>
          <w:numId w:val="6"/>
        </w:numPr>
        <w:bidi w:val="0"/>
        <w:spacing w:beforeAutospacing="0" w:before="0" w:after="0"/>
        <w:jc w:val="both"/>
        <w:rPr>
          <w:szCs w:val="22"/>
        </w:rPr>
      </w:pPr>
      <w:r>
        <w:rPr>
          <w:szCs w:val="22"/>
        </w:rPr>
        <w:t xml:space="preserve">Informácie k prílohe č. 3 časti F. písm. y) o krátkodobom finančnom majetku, na ktorý bolo zriadené záložné právo </w:t>
      </w:r>
    </w:p>
    <w:p>
      <w:pPr>
        <w:pStyle w:val="Normal"/>
        <w:bidi w:val="0"/>
        <w:spacing w:beforeAutospacing="0" w:before="0" w:after="0"/>
        <w:jc w:val="both"/>
        <w:rPr>
          <w:szCs w:val="22"/>
        </w:rPr>
      </w:pPr>
      <w:r>
        <w:rPr/>
      </w:r>
    </w:p>
    <w:tbl>
      <w:tblPr>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7190"/>
        <w:gridCol w:w="2447"/>
      </w:tblGrid>
      <w:tr>
        <w:trPr>
          <w:trHeight w:val="397" w:hRule="atLeast"/>
        </w:trPr>
        <w:tc>
          <w:tcPr>
            <w:tcW w:w="7190" w:type="dxa"/>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2447" w:type="dxa"/>
            <w:tcBorders>
              <w:top w:val="single" w:sz="12" w:space="0" w:color="000000"/>
              <w:left w:val="single" w:sz="12" w:space="0" w:color="000000"/>
              <w:right w:val="single" w:sz="12" w:space="0" w:color="000000"/>
            </w:tcBorders>
            <w:vAlign w:val="center"/>
          </w:tcPr>
          <w:p>
            <w:pPr>
              <w:pStyle w:val="TopHeader"/>
              <w:widowControl w:val="false"/>
              <w:bidi w:val="0"/>
              <w:rPr/>
            </w:pPr>
            <w:r>
              <w:rPr/>
              <w:t>Hodnota za bežné účtovné obdobie</w:t>
            </w:r>
          </w:p>
        </w:tc>
      </w:tr>
      <w:tr>
        <w:trPr>
          <w:trHeight w:val="340" w:hRule="atLeast"/>
        </w:trPr>
        <w:tc>
          <w:tcPr>
            <w:tcW w:w="7190"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Krátkodobý  finančný majetok, na ktorý bolo zriadené záložné právo</w:t>
            </w:r>
          </w:p>
        </w:tc>
        <w:tc>
          <w:tcPr>
            <w:tcW w:w="2447"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Nie je</w:t>
            </w:r>
          </w:p>
        </w:tc>
      </w:tr>
    </w:tbl>
    <w:p>
      <w:pPr>
        <w:pStyle w:val="Normal"/>
        <w:bidi w:val="0"/>
        <w:jc w:val="left"/>
        <w:rPr/>
      </w:pPr>
      <w:r>
        <w:rPr/>
      </w:r>
    </w:p>
    <w:p>
      <w:pPr>
        <w:pStyle w:val="Normal"/>
        <w:bidi w:val="0"/>
        <w:jc w:val="both"/>
        <w:rPr>
          <w:rFonts w:ascii="Arial" w:hAnsi="Arial" w:cs="Arial"/>
          <w:b/>
        </w:rPr>
      </w:pPr>
      <w:r>
        <w:rPr>
          <w:rFonts w:cs="Arial" w:ascii="Arial" w:hAnsi="Arial"/>
          <w:b/>
        </w:rPr>
        <w:t>ocenenie krátkodobého finančného majetku reálnou hodnotou</w:t>
      </w:r>
    </w:p>
    <w:p>
      <w:pPr>
        <w:pStyle w:val="Normal"/>
        <w:bidi w:val="0"/>
        <w:jc w:val="both"/>
        <w:rPr>
          <w:rFonts w:ascii="Arial" w:hAnsi="Arial" w:cs="Arial"/>
        </w:rPr>
      </w:pPr>
      <w:r>
        <w:rPr>
          <w:rFonts w:cs="Arial" w:ascii="Arial" w:hAnsi="Arial"/>
        </w:rPr>
        <w:t>Spoločnosť nemá krátkodobý finančný majetok ocenený reálnou hodnotou.</w:t>
      </w:r>
    </w:p>
    <w:p>
      <w:pPr>
        <w:pStyle w:val="Normal"/>
        <w:bidi w:val="0"/>
        <w:jc w:val="both"/>
        <w:rPr>
          <w:rFonts w:ascii="Arial" w:hAnsi="Arial" w:cs="Arial"/>
        </w:rPr>
      </w:pPr>
      <w:r>
        <w:rPr/>
      </w:r>
    </w:p>
    <w:p>
      <w:pPr>
        <w:pStyle w:val="Normal"/>
        <w:bidi w:val="0"/>
        <w:jc w:val="both"/>
        <w:rPr>
          <w:rFonts w:ascii="Arial" w:hAnsi="Arial" w:cs="Arial"/>
          <w:b/>
        </w:rPr>
      </w:pPr>
      <w:r>
        <w:rPr>
          <w:rFonts w:cs="Arial" w:ascii="Arial" w:hAnsi="Arial"/>
          <w:b/>
        </w:rPr>
        <w:t>vlastné akcie</w:t>
      </w:r>
    </w:p>
    <w:p>
      <w:pPr>
        <w:pStyle w:val="Normal"/>
        <w:bidi w:val="0"/>
        <w:jc w:val="both"/>
        <w:rPr>
          <w:rFonts w:ascii="Arial" w:hAnsi="Arial" w:cs="Arial"/>
        </w:rPr>
      </w:pPr>
      <w:r>
        <w:rPr>
          <w:rFonts w:cs="Arial" w:ascii="Arial" w:hAnsi="Arial"/>
        </w:rPr>
        <w:t>Spoločnosť nemá vlastné akcie.</w:t>
      </w:r>
    </w:p>
    <w:p>
      <w:pPr>
        <w:pStyle w:val="Normal"/>
        <w:bidi w:val="0"/>
        <w:jc w:val="both"/>
        <w:rPr>
          <w:rFonts w:ascii="Arial" w:hAnsi="Arial" w:cs="Arial"/>
        </w:rPr>
      </w:pPr>
      <w:r>
        <w:rPr/>
      </w:r>
    </w:p>
    <w:p>
      <w:pPr>
        <w:pStyle w:val="Normal"/>
        <w:bidi w:val="0"/>
        <w:jc w:val="both"/>
        <w:rPr>
          <w:rFonts w:ascii="Arial" w:hAnsi="Arial" w:cs="Arial"/>
          <w:b/>
        </w:rPr>
      </w:pPr>
      <w:r>
        <w:rPr>
          <w:rFonts w:cs="Arial" w:ascii="Arial" w:hAnsi="Arial"/>
          <w:b/>
        </w:rPr>
        <w:t>významné položky časového rozlíšenia nákladov budúcich období a príjmov budúcich období</w:t>
      </w:r>
    </w:p>
    <w:p>
      <w:pPr>
        <w:pStyle w:val="Normal"/>
        <w:bidi w:val="0"/>
        <w:jc w:val="both"/>
        <w:rPr/>
      </w:pPr>
      <w:r>
        <w:rPr>
          <w:rFonts w:cs="Arial" w:ascii="Arial" w:hAnsi="Arial"/>
        </w:rPr>
        <w:t xml:space="preserve">Spoločnosť nemalo žiadne významné položky časového rozlíšenia nákladov budúcich období a príjmov budúcich období. </w:t>
      </w:r>
    </w:p>
    <w:p>
      <w:pPr>
        <w:pStyle w:val="Normal"/>
        <w:bidi w:val="0"/>
        <w:spacing w:before="0" w:after="0"/>
        <w:jc w:val="left"/>
        <w:rPr/>
      </w:pPr>
      <w:r>
        <w:rPr/>
      </w:r>
    </w:p>
    <w:p>
      <w:pPr>
        <w:pStyle w:val="Nzov"/>
        <w:numPr>
          <w:ilvl w:val="0"/>
          <w:numId w:val="6"/>
        </w:numPr>
        <w:bidi w:val="0"/>
        <w:spacing w:beforeAutospacing="0" w:before="0" w:after="0"/>
        <w:jc w:val="left"/>
        <w:rPr>
          <w:szCs w:val="22"/>
        </w:rPr>
      </w:pPr>
      <w:r>
        <w:rPr>
          <w:szCs w:val="22"/>
        </w:rPr>
        <w:t>Informácie k prílohe č. 3 časti F. písm.  za) o ocenení krátkodobého finančného  majetku, ku dňu ku ktorému sa zostavuje účtovná závierka reálnou hodnotou</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3523"/>
        <w:gridCol w:w="1881"/>
        <w:gridCol w:w="2354"/>
        <w:gridCol w:w="1879"/>
      </w:tblGrid>
      <w:tr>
        <w:trPr/>
        <w:tc>
          <w:tcPr>
            <w:tcW w:w="3523" w:type="dxa"/>
            <w:tcBorders>
              <w:top w:val="single" w:sz="12" w:space="0" w:color="000000"/>
              <w:left w:val="single" w:sz="12" w:space="0" w:color="000000"/>
              <w:right w:val="single" w:sz="12" w:space="0" w:color="000000"/>
            </w:tcBorders>
            <w:vAlign w:val="center"/>
          </w:tcPr>
          <w:p>
            <w:pPr>
              <w:pStyle w:val="TopHeader"/>
              <w:widowControl w:val="false"/>
              <w:bidi w:val="0"/>
              <w:rPr/>
            </w:pPr>
            <w:r>
              <w:rPr/>
              <w:t>Krátkodobý finančný  majetok</w:t>
            </w:r>
          </w:p>
        </w:tc>
        <w:tc>
          <w:tcPr>
            <w:tcW w:w="1881" w:type="dxa"/>
            <w:tcBorders>
              <w:top w:val="single" w:sz="12" w:space="0" w:color="000000"/>
              <w:left w:val="single" w:sz="12" w:space="0" w:color="000000"/>
              <w:right w:val="single" w:sz="12" w:space="0" w:color="000000"/>
            </w:tcBorders>
            <w:vAlign w:val="center"/>
          </w:tcPr>
          <w:p>
            <w:pPr>
              <w:pStyle w:val="TopHeader"/>
              <w:widowControl w:val="false"/>
              <w:bidi w:val="0"/>
              <w:rPr/>
            </w:pPr>
            <w:r>
              <w:rPr/>
              <w:t>Zvýšenie/ zníženie hodnoty</w:t>
            </w:r>
          </w:p>
          <w:p>
            <w:pPr>
              <w:pStyle w:val="TopHeader"/>
              <w:widowControl w:val="false"/>
              <w:bidi w:val="0"/>
              <w:rPr/>
            </w:pPr>
            <w:r>
              <w:rPr/>
              <w:t>(+/-)</w:t>
            </w:r>
          </w:p>
        </w:tc>
        <w:tc>
          <w:tcPr>
            <w:tcW w:w="2354" w:type="dxa"/>
            <w:tcBorders>
              <w:top w:val="single" w:sz="12" w:space="0" w:color="000000"/>
              <w:left w:val="single" w:sz="12" w:space="0" w:color="000000"/>
              <w:right w:val="single" w:sz="12" w:space="0" w:color="000000"/>
            </w:tcBorders>
            <w:vAlign w:val="center"/>
          </w:tcPr>
          <w:p>
            <w:pPr>
              <w:pStyle w:val="TopHeader"/>
              <w:widowControl w:val="false"/>
              <w:bidi w:val="0"/>
              <w:rPr/>
            </w:pPr>
            <w:r>
              <w:rPr/>
              <w:t>Vplyv ocenenia</w:t>
              <w:br/>
              <w:t>na výsledok hospodá-renia bežného účtovného obdobia</w:t>
            </w:r>
          </w:p>
        </w:tc>
        <w:tc>
          <w:tcPr>
            <w:tcW w:w="1879" w:type="dxa"/>
            <w:tcBorders>
              <w:top w:val="single" w:sz="12" w:space="0" w:color="000000"/>
              <w:left w:val="single" w:sz="12" w:space="0" w:color="000000"/>
              <w:right w:val="single" w:sz="12" w:space="0" w:color="000000"/>
            </w:tcBorders>
            <w:vAlign w:val="center"/>
          </w:tcPr>
          <w:p>
            <w:pPr>
              <w:pStyle w:val="TopHeader"/>
              <w:widowControl w:val="false"/>
              <w:bidi w:val="0"/>
              <w:rPr/>
            </w:pPr>
            <w:r>
              <w:rPr/>
              <w:t>Vplyv</w:t>
            </w:r>
          </w:p>
          <w:p>
            <w:pPr>
              <w:pStyle w:val="TopHeader"/>
              <w:widowControl w:val="false"/>
              <w:bidi w:val="0"/>
              <w:rPr/>
            </w:pPr>
            <w:r>
              <w:rPr/>
              <w:t>ocenenia</w:t>
              <w:br/>
              <w:t>na vlastné imanie</w:t>
            </w:r>
          </w:p>
        </w:tc>
      </w:tr>
      <w:tr>
        <w:trPr/>
        <w:tc>
          <w:tcPr>
            <w:tcW w:w="3523"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188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2354"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1879"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r>
      <w:tr>
        <w:trPr>
          <w:trHeight w:val="454" w:hRule="atLeast"/>
        </w:trPr>
        <w:tc>
          <w:tcPr>
            <w:tcW w:w="3523"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Majetkové CP na obchodovanie</w:t>
            </w:r>
          </w:p>
        </w:tc>
        <w:tc>
          <w:tcPr>
            <w:tcW w:w="1881"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354"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879"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454" w:hRule="atLeast"/>
        </w:trPr>
        <w:tc>
          <w:tcPr>
            <w:tcW w:w="3523"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Dlhové CP na obchodovanie</w:t>
            </w:r>
          </w:p>
        </w:tc>
        <w:tc>
          <w:tcPr>
            <w:tcW w:w="1881"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354"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879" w:type="dxa"/>
            <w:tcBorders>
              <w:top w:val="single" w:sz="4" w:space="0" w:color="000000"/>
              <w:left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454" w:hRule="atLeast"/>
        </w:trPr>
        <w:tc>
          <w:tcPr>
            <w:tcW w:w="3523"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Emisné kvóty (komodity)</w:t>
            </w:r>
          </w:p>
        </w:tc>
        <w:tc>
          <w:tcPr>
            <w:tcW w:w="1881"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354"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879" w:type="dxa"/>
            <w:tcBorders>
              <w:top w:val="single" w:sz="6"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454" w:hRule="atLeast"/>
        </w:trPr>
        <w:tc>
          <w:tcPr>
            <w:tcW w:w="352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Ostatné realizovateľné CP</w:t>
            </w:r>
          </w:p>
        </w:tc>
        <w:tc>
          <w:tcPr>
            <w:tcW w:w="1881"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3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879"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3523"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Krátkodobý finančný majetok spolu</w:t>
            </w:r>
          </w:p>
        </w:tc>
        <w:tc>
          <w:tcPr>
            <w:tcW w:w="1881"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2354"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r>
          </w:p>
        </w:tc>
        <w:tc>
          <w:tcPr>
            <w:tcW w:w="1879"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r>
          </w:p>
        </w:tc>
      </w:tr>
    </w:tbl>
    <w:p>
      <w:pPr>
        <w:pStyle w:val="Normal"/>
        <w:bidi w:val="0"/>
        <w:spacing w:lineRule="auto" w:line="240" w:before="0" w:after="0"/>
        <w:jc w:val="left"/>
        <w:rPr>
          <w:szCs w:val="22"/>
        </w:rPr>
      </w:pPr>
      <w:r>
        <w:rPr>
          <w:rFonts w:cs="Arial" w:ascii="Arial" w:hAnsi="Arial"/>
          <w:b/>
          <w:szCs w:val="22"/>
        </w:rPr>
      </w:r>
    </w:p>
    <w:p>
      <w:pPr>
        <w:pStyle w:val="Normal"/>
        <w:bidi w:val="0"/>
        <w:spacing w:lineRule="auto" w:line="240" w:before="0" w:after="0"/>
        <w:jc w:val="left"/>
        <w:rPr>
          <w:rFonts w:ascii="Arial" w:hAnsi="Arial" w:cs="Arial"/>
          <w:b/>
          <w:szCs w:val="22"/>
        </w:rPr>
      </w:pPr>
      <w:r>
        <w:rPr>
          <w:rFonts w:cs="Arial" w:ascii="Arial" w:hAnsi="Arial"/>
          <w:b/>
          <w:szCs w:val="22"/>
        </w:rPr>
        <w:t xml:space="preserve">majetok prenajatý formou finančného prenájmu </w:t>
      </w:r>
    </w:p>
    <w:p>
      <w:pPr>
        <w:pStyle w:val="Normal"/>
        <w:bidi w:val="0"/>
        <w:spacing w:lineRule="auto" w:line="240" w:before="0" w:after="0"/>
        <w:jc w:val="left"/>
        <w:rPr>
          <w:rFonts w:ascii="Arial" w:hAnsi="Arial" w:cs="Arial"/>
          <w:szCs w:val="22"/>
        </w:rPr>
      </w:pPr>
      <w:r>
        <w:rPr>
          <w:rFonts w:cs="Arial" w:ascii="Arial" w:hAnsi="Arial"/>
          <w:szCs w:val="22"/>
        </w:rPr>
        <w:t>Majetok prenajatý formou finančného prenájmu spoločnosť nemá.</w:t>
      </w:r>
    </w:p>
    <w:p>
      <w:pPr>
        <w:pStyle w:val="Normal"/>
        <w:bidi w:val="0"/>
        <w:spacing w:lineRule="auto" w:line="240" w:before="0" w:after="0"/>
        <w:jc w:val="left"/>
        <w:rPr>
          <w:rFonts w:ascii="Arial" w:hAnsi="Arial" w:cs="Arial"/>
          <w:szCs w:val="22"/>
        </w:rPr>
      </w:pPr>
      <w:r>
        <w:rPr/>
      </w:r>
    </w:p>
    <w:p>
      <w:pPr>
        <w:pStyle w:val="Normal"/>
        <w:bidi w:val="0"/>
        <w:spacing w:lineRule="auto" w:line="240" w:before="0" w:after="0"/>
        <w:jc w:val="left"/>
        <w:rPr>
          <w:rFonts w:ascii="Arial" w:hAnsi="Arial" w:cs="Arial"/>
          <w:szCs w:val="22"/>
        </w:rPr>
      </w:pPr>
      <w:r>
        <w:rPr/>
      </w:r>
    </w:p>
    <w:p>
      <w:pPr>
        <w:pStyle w:val="Normal"/>
        <w:bidi w:val="0"/>
        <w:spacing w:lineRule="auto" w:line="240" w:before="0" w:after="0"/>
        <w:jc w:val="left"/>
        <w:rPr>
          <w:rFonts w:ascii="Arial" w:hAnsi="Arial" w:cs="Arial"/>
          <w:szCs w:val="22"/>
        </w:rPr>
      </w:pPr>
      <w:r>
        <w:rPr/>
      </w:r>
    </w:p>
    <w:p>
      <w:pPr>
        <w:pStyle w:val="Normal"/>
        <w:bidi w:val="0"/>
        <w:spacing w:lineRule="auto" w:line="240" w:before="0" w:after="0"/>
        <w:jc w:val="left"/>
        <w:rPr>
          <w:rFonts w:ascii="Arial" w:hAnsi="Arial" w:cs="Arial"/>
          <w:szCs w:val="22"/>
        </w:rPr>
      </w:pPr>
      <w:r>
        <w:rPr/>
      </w:r>
    </w:p>
    <w:p>
      <w:pPr>
        <w:pStyle w:val="Normal"/>
        <w:bidi w:val="0"/>
        <w:spacing w:lineRule="auto" w:line="240" w:before="0" w:after="0"/>
        <w:jc w:val="left"/>
        <w:rPr>
          <w:rFonts w:ascii="Arial" w:hAnsi="Arial" w:cs="Arial"/>
          <w:szCs w:val="22"/>
        </w:rPr>
      </w:pPr>
      <w:r>
        <w:rPr/>
      </w:r>
    </w:p>
    <w:p>
      <w:pPr>
        <w:pStyle w:val="Normal"/>
        <w:bidi w:val="0"/>
        <w:spacing w:lineRule="auto" w:line="240" w:before="0" w:after="0"/>
        <w:jc w:val="left"/>
        <w:rPr>
          <w:szCs w:val="22"/>
        </w:rPr>
      </w:pPr>
      <w:r>
        <w:rPr>
          <w:szCs w:val="22"/>
        </w:rPr>
      </w:r>
    </w:p>
    <w:p>
      <w:pPr>
        <w:pStyle w:val="Nzov"/>
        <w:numPr>
          <w:ilvl w:val="0"/>
          <w:numId w:val="6"/>
        </w:numPr>
        <w:bidi w:val="0"/>
        <w:spacing w:beforeAutospacing="0" w:before="0" w:after="0"/>
        <w:jc w:val="left"/>
        <w:rPr>
          <w:szCs w:val="22"/>
        </w:rPr>
      </w:pPr>
      <w:r>
        <w:rPr>
          <w:szCs w:val="22"/>
        </w:rPr>
        <w:t>Informácie k prílohe č. 3 časti F. písm. zd) o majetku prenajatom formou finančného prenájmu</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1590"/>
        <w:gridCol w:w="1330"/>
        <w:gridCol w:w="1771"/>
        <w:gridCol w:w="1112"/>
        <w:gridCol w:w="1256"/>
        <w:gridCol w:w="1624"/>
        <w:gridCol w:w="954"/>
      </w:tblGrid>
      <w:tr>
        <w:trPr>
          <w:trHeight w:val="660" w:hRule="atLeast"/>
        </w:trPr>
        <w:tc>
          <w:tcPr>
            <w:tcW w:w="1590"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Názov</w:t>
              <w:br/>
              <w:t>položky</w:t>
            </w:r>
          </w:p>
        </w:tc>
        <w:tc>
          <w:tcPr>
            <w:tcW w:w="4213" w:type="dxa"/>
            <w:gridSpan w:val="3"/>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c>
          <w:tcPr>
            <w:tcW w:w="3834" w:type="dxa"/>
            <w:gridSpan w:val="3"/>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330" w:hRule="atLeast"/>
        </w:trPr>
        <w:tc>
          <w:tcPr>
            <w:tcW w:w="1590"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4213" w:type="dxa"/>
            <w:gridSpan w:val="3"/>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Splatnosť</w:t>
            </w:r>
          </w:p>
        </w:tc>
        <w:tc>
          <w:tcPr>
            <w:tcW w:w="3834" w:type="dxa"/>
            <w:gridSpan w:val="3"/>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Splatnosť</w:t>
            </w:r>
          </w:p>
        </w:tc>
      </w:tr>
      <w:tr>
        <w:trPr>
          <w:trHeight w:val="345" w:hRule="atLeast"/>
        </w:trPr>
        <w:tc>
          <w:tcPr>
            <w:tcW w:w="1590"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330" w:type="dxa"/>
            <w:tcBorders>
              <w:top w:val="single" w:sz="12" w:space="0" w:color="000000"/>
              <w:left w:val="single" w:sz="12" w:space="0" w:color="000000"/>
              <w:right w:val="single" w:sz="12" w:space="0" w:color="000000"/>
            </w:tcBorders>
            <w:vAlign w:val="center"/>
          </w:tcPr>
          <w:p>
            <w:pPr>
              <w:pStyle w:val="TopHeader"/>
              <w:widowControl w:val="false"/>
              <w:bidi w:val="0"/>
              <w:rPr/>
            </w:pPr>
            <w:r>
              <w:rPr/>
              <w:t>do jedného roka vrátane</w:t>
            </w:r>
          </w:p>
        </w:tc>
        <w:tc>
          <w:tcPr>
            <w:tcW w:w="1771" w:type="dxa"/>
            <w:tcBorders>
              <w:top w:val="single" w:sz="12" w:space="0" w:color="000000"/>
              <w:left w:val="single" w:sz="12" w:space="0" w:color="000000"/>
              <w:right w:val="single" w:sz="12" w:space="0" w:color="000000"/>
            </w:tcBorders>
            <w:vAlign w:val="center"/>
          </w:tcPr>
          <w:p>
            <w:pPr>
              <w:pStyle w:val="TopHeader"/>
              <w:widowControl w:val="false"/>
              <w:bidi w:val="0"/>
              <w:rPr/>
            </w:pPr>
            <w:r>
              <w:rPr/>
              <w:t>od jedného roka do piatich rokov vrátane</w:t>
            </w:r>
          </w:p>
        </w:tc>
        <w:tc>
          <w:tcPr>
            <w:tcW w:w="1112" w:type="dxa"/>
            <w:tcBorders>
              <w:top w:val="single" w:sz="12" w:space="0" w:color="000000"/>
              <w:left w:val="single" w:sz="12" w:space="0" w:color="000000"/>
              <w:right w:val="single" w:sz="12" w:space="0" w:color="000000"/>
            </w:tcBorders>
            <w:vAlign w:val="center"/>
          </w:tcPr>
          <w:p>
            <w:pPr>
              <w:pStyle w:val="TopHeader"/>
              <w:widowControl w:val="false"/>
              <w:bidi w:val="0"/>
              <w:rPr/>
            </w:pPr>
            <w:r>
              <w:rPr/>
              <w:t>viac ako päť rokov</w:t>
            </w:r>
          </w:p>
        </w:tc>
        <w:tc>
          <w:tcPr>
            <w:tcW w:w="1256" w:type="dxa"/>
            <w:tcBorders>
              <w:top w:val="single" w:sz="12" w:space="0" w:color="000000"/>
              <w:left w:val="single" w:sz="12" w:space="0" w:color="000000"/>
              <w:right w:val="single" w:sz="12" w:space="0" w:color="000000"/>
            </w:tcBorders>
            <w:vAlign w:val="center"/>
          </w:tcPr>
          <w:p>
            <w:pPr>
              <w:pStyle w:val="TopHeader"/>
              <w:widowControl w:val="false"/>
              <w:bidi w:val="0"/>
              <w:rPr/>
            </w:pPr>
            <w:r>
              <w:rPr/>
              <w:t>do jedného roka vrátane</w:t>
            </w:r>
          </w:p>
        </w:tc>
        <w:tc>
          <w:tcPr>
            <w:tcW w:w="1624" w:type="dxa"/>
            <w:tcBorders>
              <w:top w:val="single" w:sz="12" w:space="0" w:color="000000"/>
              <w:left w:val="single" w:sz="12" w:space="0" w:color="000000"/>
              <w:right w:val="single" w:sz="12" w:space="0" w:color="000000"/>
            </w:tcBorders>
            <w:vAlign w:val="center"/>
          </w:tcPr>
          <w:p>
            <w:pPr>
              <w:pStyle w:val="TopHeader"/>
              <w:widowControl w:val="false"/>
              <w:bidi w:val="0"/>
              <w:rPr/>
            </w:pPr>
            <w:r>
              <w:rPr/>
              <w:t>od jedného roka do piatich rokov vrátane</w:t>
            </w:r>
          </w:p>
        </w:tc>
        <w:tc>
          <w:tcPr>
            <w:tcW w:w="954" w:type="dxa"/>
            <w:tcBorders>
              <w:top w:val="single" w:sz="12" w:space="0" w:color="000000"/>
              <w:left w:val="single" w:sz="12" w:space="0" w:color="000000"/>
              <w:right w:val="single" w:sz="12" w:space="0" w:color="000000"/>
            </w:tcBorders>
            <w:vAlign w:val="center"/>
          </w:tcPr>
          <w:p>
            <w:pPr>
              <w:pStyle w:val="TopHeader"/>
              <w:widowControl w:val="false"/>
              <w:bidi w:val="0"/>
              <w:rPr/>
            </w:pPr>
            <w:r>
              <w:rPr/>
              <w:t>viac ako päť rokov</w:t>
            </w:r>
          </w:p>
        </w:tc>
      </w:tr>
      <w:tr>
        <w:trPr>
          <w:trHeight w:val="74" w:hRule="atLeast"/>
        </w:trPr>
        <w:tc>
          <w:tcPr>
            <w:tcW w:w="1590"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a</w:t>
            </w:r>
          </w:p>
        </w:tc>
        <w:tc>
          <w:tcPr>
            <w:tcW w:w="1330"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b</w:t>
            </w:r>
          </w:p>
        </w:tc>
        <w:tc>
          <w:tcPr>
            <w:tcW w:w="1771"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c</w:t>
            </w:r>
          </w:p>
        </w:tc>
        <w:tc>
          <w:tcPr>
            <w:tcW w:w="1112"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d</w:t>
            </w:r>
          </w:p>
        </w:tc>
        <w:tc>
          <w:tcPr>
            <w:tcW w:w="1256"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e</w:t>
            </w:r>
          </w:p>
        </w:tc>
        <w:tc>
          <w:tcPr>
            <w:tcW w:w="162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f</w:t>
            </w:r>
          </w:p>
        </w:tc>
        <w:tc>
          <w:tcPr>
            <w:tcW w:w="95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g</w:t>
            </w:r>
          </w:p>
        </w:tc>
      </w:tr>
      <w:tr>
        <w:trPr>
          <w:trHeight w:val="454" w:hRule="atLeast"/>
        </w:trPr>
        <w:tc>
          <w:tcPr>
            <w:tcW w:w="1590"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Istina</w:t>
            </w:r>
          </w:p>
        </w:tc>
        <w:tc>
          <w:tcPr>
            <w:tcW w:w="1330"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1"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12" w:type="dxa"/>
            <w:tcBorders>
              <w:top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256"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24"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54"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454" w:hRule="atLeast"/>
        </w:trPr>
        <w:tc>
          <w:tcPr>
            <w:tcW w:w="1590"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Finančný výnos</w:t>
            </w:r>
          </w:p>
        </w:tc>
        <w:tc>
          <w:tcPr>
            <w:tcW w:w="133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77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12" w:type="dxa"/>
            <w:tcBorders>
              <w:top w:val="single" w:sz="4"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256" w:type="dxa"/>
            <w:tcBorders>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24"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54"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454" w:hRule="atLeast"/>
        </w:trPr>
        <w:tc>
          <w:tcPr>
            <w:tcW w:w="1590"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Spolu</w:t>
            </w:r>
          </w:p>
        </w:tc>
        <w:tc>
          <w:tcPr>
            <w:tcW w:w="1330"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p>
        </w:tc>
        <w:tc>
          <w:tcPr>
            <w:tcW w:w="1771"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p>
        </w:tc>
        <w:tc>
          <w:tcPr>
            <w:tcW w:w="1112" w:type="dxa"/>
            <w:tcBorders>
              <w:top w:val="single" w:sz="4" w:space="0" w:color="000000"/>
              <w:bottom w:val="single" w:sz="12"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p>
        </w:tc>
        <w:tc>
          <w:tcPr>
            <w:tcW w:w="1256" w:type="dxa"/>
            <w:tcBorders>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p>
        </w:tc>
        <w:tc>
          <w:tcPr>
            <w:tcW w:w="1624" w:type="dxa"/>
            <w:tcBorders>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p>
        </w:tc>
        <w:tc>
          <w:tcPr>
            <w:tcW w:w="954" w:type="dxa"/>
            <w:tcBorders>
              <w:top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bl>
    <w:p>
      <w:pPr>
        <w:pStyle w:val="ListParagraph"/>
        <w:bidi w:val="0"/>
        <w:ind w:left="502" w:hanging="0"/>
        <w:jc w:val="left"/>
        <w:rPr>
          <w:rFonts w:ascii="Arial" w:hAnsi="Arial" w:cs="Arial"/>
          <w:b/>
          <w:sz w:val="28"/>
          <w:szCs w:val="28"/>
        </w:rPr>
      </w:pPr>
      <w:r>
        <w:rPr>
          <w:rFonts w:cs="Arial" w:ascii="Arial" w:hAnsi="Arial"/>
          <w:b/>
          <w:sz w:val="28"/>
          <w:szCs w:val="28"/>
        </w:rPr>
      </w:r>
    </w:p>
    <w:p>
      <w:pPr>
        <w:pStyle w:val="ListParagraph"/>
        <w:bidi w:val="0"/>
        <w:ind w:left="502" w:hanging="0"/>
        <w:jc w:val="left"/>
        <w:rPr>
          <w:rFonts w:ascii="Arial" w:hAnsi="Arial" w:cs="Arial"/>
          <w:b/>
          <w:sz w:val="28"/>
          <w:szCs w:val="28"/>
        </w:rPr>
      </w:pPr>
      <w:r>
        <w:rPr>
          <w:rFonts w:cs="Arial" w:ascii="Arial" w:hAnsi="Arial"/>
          <w:b/>
          <w:sz w:val="28"/>
          <w:szCs w:val="28"/>
        </w:rPr>
      </w:r>
    </w:p>
    <w:p>
      <w:pPr>
        <w:pStyle w:val="ListParagraph"/>
        <w:numPr>
          <w:ilvl w:val="0"/>
          <w:numId w:val="4"/>
        </w:numPr>
        <w:bidi w:val="0"/>
        <w:jc w:val="left"/>
        <w:rPr>
          <w:rFonts w:ascii="Arial" w:hAnsi="Arial" w:cs="Arial"/>
          <w:b/>
          <w:sz w:val="28"/>
          <w:szCs w:val="28"/>
        </w:rPr>
      </w:pPr>
      <w:r>
        <w:rPr>
          <w:rFonts w:cs="Arial" w:ascii="Arial" w:hAnsi="Arial"/>
          <w:b/>
          <w:sz w:val="28"/>
          <w:szCs w:val="28"/>
        </w:rPr>
        <w:t xml:space="preserve">Informácie o údajoch na strane pasív súvahy </w:t>
      </w:r>
    </w:p>
    <w:p>
      <w:pPr>
        <w:pStyle w:val="Nzov"/>
        <w:bidi w:val="0"/>
        <w:spacing w:beforeAutospacing="0" w:before="0" w:after="0"/>
        <w:ind w:left="142" w:hanging="0"/>
        <w:jc w:val="both"/>
        <w:rPr>
          <w:rFonts w:ascii="Arial" w:hAnsi="Arial" w:cs="Arial"/>
          <w:szCs w:val="22"/>
        </w:rPr>
      </w:pPr>
      <w:r>
        <w:rPr>
          <w:rFonts w:cs="Arial" w:ascii="Arial" w:hAnsi="Arial"/>
          <w:szCs w:val="22"/>
        </w:rPr>
      </w:r>
    </w:p>
    <w:p>
      <w:pPr>
        <w:pStyle w:val="Nzov"/>
        <w:bidi w:val="0"/>
        <w:spacing w:beforeAutospacing="0" w:before="0" w:after="0"/>
        <w:ind w:left="142" w:hanging="0"/>
        <w:jc w:val="both"/>
        <w:rPr>
          <w:rFonts w:ascii="Arial" w:hAnsi="Arial" w:cs="Arial"/>
          <w:szCs w:val="22"/>
        </w:rPr>
      </w:pPr>
      <w:r>
        <w:rPr>
          <w:rFonts w:cs="Arial" w:ascii="Arial" w:hAnsi="Arial"/>
          <w:szCs w:val="22"/>
        </w:rPr>
        <w:t xml:space="preserve">vlastné imanie </w:t>
      </w:r>
    </w:p>
    <w:p>
      <w:pPr>
        <w:pStyle w:val="Normal"/>
        <w:bidi w:val="0"/>
        <w:jc w:val="both"/>
        <w:rPr>
          <w:rFonts w:ascii="Arial" w:hAnsi="Arial" w:cs="Arial"/>
        </w:rPr>
      </w:pPr>
      <w:r>
        <w:rPr>
          <w:rFonts w:cs="Arial" w:ascii="Arial" w:hAnsi="Arial"/>
        </w:rPr>
        <w:t xml:space="preserve">Spoločnosť </w:t>
      </w:r>
      <w:r>
        <w:rPr>
          <w:rFonts w:cs="Arial" w:ascii="Arial" w:hAnsi="Arial"/>
        </w:rPr>
        <w:t xml:space="preserve">NATgarden </w:t>
      </w:r>
      <w:r>
        <w:rPr>
          <w:rFonts w:cs="Arial" w:ascii="Arial" w:hAnsi="Arial"/>
        </w:rPr>
        <w:t xml:space="preserve">s. r. o. splatila základné imanie vo výške 5000,00 eur </w:t>
      </w:r>
      <w:r>
        <w:rPr>
          <w:rFonts w:cs="Arial" w:ascii="Arial" w:hAnsi="Arial"/>
        </w:rPr>
        <w:t>v hotovosti do pokladne spoločnosti.</w:t>
      </w:r>
    </w:p>
    <w:p>
      <w:pPr>
        <w:pStyle w:val="Normal"/>
        <w:bidi w:val="0"/>
        <w:jc w:val="both"/>
        <w:rPr>
          <w:rFonts w:ascii="Arial" w:hAnsi="Arial" w:cs="Arial"/>
        </w:rPr>
      </w:pPr>
      <w:r>
        <w:rPr/>
      </w:r>
    </w:p>
    <w:p>
      <w:pPr>
        <w:pStyle w:val="Normal"/>
        <w:bidi w:val="0"/>
        <w:jc w:val="both"/>
        <w:rPr>
          <w:rFonts w:ascii="Arial" w:hAnsi="Arial" w:cs="Arial"/>
        </w:rPr>
      </w:pPr>
      <w:r>
        <w:rPr>
          <w:rFonts w:cs="Arial" w:ascii="Arial" w:hAnsi="Arial"/>
        </w:rPr>
        <w:t xml:space="preserve">V zmysle kritérií o zatrieďovaní účtovných jednotiek do veľkostných skupín sa spoločnosť rozhodla o zatriedení do </w:t>
      </w:r>
      <w:r>
        <w:rPr>
          <w:rFonts w:cs="Arial" w:ascii="Arial" w:hAnsi="Arial"/>
          <w:b/>
        </w:rPr>
        <w:t>mikro účtovnej jednotky.</w:t>
      </w:r>
      <w:r>
        <w:rPr>
          <w:rFonts w:cs="Arial" w:ascii="Arial" w:hAnsi="Arial"/>
        </w:rPr>
        <w:t xml:space="preserve"> </w:t>
      </w:r>
    </w:p>
    <w:p>
      <w:pPr>
        <w:pStyle w:val="Normal"/>
        <w:bidi w:val="0"/>
        <w:jc w:val="both"/>
        <w:rPr>
          <w:rFonts w:ascii="Arial" w:hAnsi="Arial" w:cs="Arial"/>
        </w:rPr>
      </w:pPr>
      <w:r>
        <w:rPr/>
      </w:r>
    </w:p>
    <w:p>
      <w:pPr>
        <w:pStyle w:val="Normal"/>
        <w:bidi w:val="0"/>
        <w:jc w:val="both"/>
        <w:rPr>
          <w:rFonts w:ascii="Arial" w:hAnsi="Arial" w:cs="Arial"/>
        </w:rPr>
      </w:pPr>
      <w:r>
        <w:rPr>
          <w:rFonts w:cs="Arial" w:ascii="Arial" w:hAnsi="Arial"/>
        </w:rPr>
        <w:t>Výnosy získané z majetku spoločnosti sú majetkom spoločnosti ako právnickej osoby a na základe rozhodnutia zhromaždenia môže byť zisk vyplatený spoločníkovi spoločnosti.</w:t>
      </w:r>
    </w:p>
    <w:p>
      <w:pPr>
        <w:pStyle w:val="Normal"/>
        <w:bidi w:val="0"/>
        <w:jc w:val="both"/>
        <w:rPr>
          <w:rFonts w:ascii="Arial" w:hAnsi="Arial" w:cs="Arial"/>
        </w:rPr>
      </w:pPr>
      <w:r>
        <w:rPr>
          <w:rFonts w:cs="Arial" w:ascii="Arial" w:hAnsi="Arial"/>
        </w:rPr>
      </w:r>
    </w:p>
    <w:p>
      <w:pPr>
        <w:pStyle w:val="Normal"/>
        <w:bidi w:val="0"/>
        <w:jc w:val="both"/>
        <w:rPr>
          <w:rFonts w:ascii="Arial" w:hAnsi="Arial" w:cs="Arial"/>
        </w:rPr>
      </w:pPr>
      <w:r>
        <w:rPr>
          <w:rFonts w:cs="Arial" w:ascii="Arial" w:hAnsi="Arial"/>
          <w:b/>
        </w:rPr>
        <w:t>Rozdelenie účtovného zisku za rok 202</w:t>
      </w:r>
      <w:r>
        <w:rPr>
          <w:rFonts w:cs="Arial" w:ascii="Arial" w:hAnsi="Arial"/>
          <w:b/>
        </w:rPr>
        <w:t>5</w:t>
      </w:r>
      <w:r>
        <w:rPr>
          <w:rFonts w:cs="Arial" w:ascii="Arial" w:hAnsi="Arial"/>
          <w:b/>
        </w:rPr>
        <w:t xml:space="preserve"> sa bude rozdeľovať po schválení účtovnej závierky valným zhromaždením.</w:t>
      </w:r>
      <w:r>
        <w:rPr>
          <w:rFonts w:cs="Arial" w:ascii="Arial" w:hAnsi="Arial"/>
        </w:rPr>
        <w:t xml:space="preserve"> </w:t>
      </w:r>
    </w:p>
    <w:p>
      <w:pPr>
        <w:pStyle w:val="Normal"/>
        <w:bidi w:val="0"/>
        <w:jc w:val="both"/>
        <w:rPr>
          <w:rFonts w:ascii="Arial" w:hAnsi="Arial" w:cs="Arial"/>
        </w:rPr>
      </w:pPr>
      <w:r>
        <w:rPr>
          <w:rFonts w:cs="Arial" w:ascii="Arial" w:hAnsi="Arial"/>
        </w:rPr>
      </w:r>
    </w:p>
    <w:p>
      <w:pPr>
        <w:pStyle w:val="Nzov"/>
        <w:numPr>
          <w:ilvl w:val="0"/>
          <w:numId w:val="6"/>
        </w:numPr>
        <w:bidi w:val="0"/>
        <w:spacing w:beforeAutospacing="0" w:before="0" w:after="0"/>
        <w:jc w:val="both"/>
        <w:rPr>
          <w:szCs w:val="22"/>
        </w:rPr>
      </w:pPr>
      <w:r>
        <w:rPr>
          <w:szCs w:val="22"/>
        </w:rPr>
        <w:t xml:space="preserve">Informácie k prílohe č. 3 časti G. písm. a) tretiemu bodu o rozdelení účtovného zisku alebo o vysporiadaní účtovnej straty </w:t>
      </w:r>
    </w:p>
    <w:p>
      <w:pPr>
        <w:pStyle w:val="Normal"/>
        <w:bidi w:val="0"/>
        <w:spacing w:lineRule="auto" w:line="240" w:before="0" w:after="0"/>
        <w:jc w:val="left"/>
        <w:rPr>
          <w:szCs w:val="22"/>
        </w:rPr>
      </w:pPr>
      <w:r>
        <w:rPr>
          <w:szCs w:val="22"/>
        </w:rPr>
        <w:t>Tabuľka č. 1</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7026"/>
        <w:gridCol w:w="2611"/>
      </w:tblGrid>
      <w:tr>
        <w:trPr>
          <w:trHeight w:val="765" w:hRule="atLeast"/>
        </w:trPr>
        <w:tc>
          <w:tcPr>
            <w:tcW w:w="7026"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Názov položky</w:t>
            </w:r>
          </w:p>
        </w:tc>
        <w:tc>
          <w:tcPr>
            <w:tcW w:w="2611"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425" w:hRule="atLeast"/>
        </w:trPr>
        <w:tc>
          <w:tcPr>
            <w:tcW w:w="7026"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Účtovný zisk</w:t>
            </w:r>
          </w:p>
        </w:tc>
        <w:tc>
          <w:tcPr>
            <w:tcW w:w="2611"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0</w:t>
            </w:r>
          </w:p>
        </w:tc>
      </w:tr>
      <w:tr>
        <w:trPr>
          <w:trHeight w:val="330" w:hRule="atLeast"/>
        </w:trPr>
        <w:tc>
          <w:tcPr>
            <w:tcW w:w="7026"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bCs/>
                <w:szCs w:val="22"/>
              </w:rPr>
              <w:t>Rozdelenie účtovného zisku</w:t>
            </w:r>
          </w:p>
        </w:tc>
        <w:tc>
          <w:tcPr>
            <w:tcW w:w="2611"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Bežné účtovné obdobie</w:t>
            </w:r>
          </w:p>
        </w:tc>
      </w:tr>
      <w:tr>
        <w:trPr>
          <w:trHeight w:val="369" w:hRule="atLeast"/>
        </w:trPr>
        <w:tc>
          <w:tcPr>
            <w:tcW w:w="7026" w:type="dxa"/>
            <w:tcBorders>
              <w:top w:val="single" w:sz="12" w:space="0" w:color="000000"/>
              <w:left w:val="single" w:sz="12" w:space="0" w:color="000000"/>
              <w:bottom w:val="single" w:sz="8"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Prídel do zákonného rezervného fondu</w:t>
            </w:r>
          </w:p>
        </w:tc>
        <w:tc>
          <w:tcPr>
            <w:tcW w:w="2611" w:type="dxa"/>
            <w:tcBorders>
              <w:top w:val="single" w:sz="12" w:space="0" w:color="000000"/>
              <w:left w:val="single" w:sz="12" w:space="0" w:color="000000"/>
              <w:bottom w:val="single" w:sz="8"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69" w:hRule="atLeast"/>
        </w:trPr>
        <w:tc>
          <w:tcPr>
            <w:tcW w:w="7026" w:type="dxa"/>
            <w:tcBorders>
              <w:top w:val="single" w:sz="8"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Prídel do štatutárnych a ostatných fondov</w:t>
            </w:r>
          </w:p>
        </w:tc>
        <w:tc>
          <w:tcPr>
            <w:tcW w:w="2611" w:type="dxa"/>
            <w:tcBorders>
              <w:top w:val="single" w:sz="8"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69" w:hRule="atLeast"/>
        </w:trPr>
        <w:tc>
          <w:tcPr>
            <w:tcW w:w="7026"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Prídel do sociálneho fondu</w:t>
            </w:r>
          </w:p>
        </w:tc>
        <w:tc>
          <w:tcPr>
            <w:tcW w:w="2611"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69" w:hRule="atLeast"/>
        </w:trPr>
        <w:tc>
          <w:tcPr>
            <w:tcW w:w="7026"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Prídel na zvýšenie základného imania</w:t>
            </w:r>
          </w:p>
        </w:tc>
        <w:tc>
          <w:tcPr>
            <w:tcW w:w="2611"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69" w:hRule="atLeast"/>
        </w:trPr>
        <w:tc>
          <w:tcPr>
            <w:tcW w:w="7026"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Úhrada straty minulých období</w:t>
            </w:r>
          </w:p>
        </w:tc>
        <w:tc>
          <w:tcPr>
            <w:tcW w:w="2611"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69" w:hRule="atLeast"/>
        </w:trPr>
        <w:tc>
          <w:tcPr>
            <w:tcW w:w="7026"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Prevod do nerozdeleného zisku minulých rokov</w:t>
            </w:r>
          </w:p>
        </w:tc>
        <w:tc>
          <w:tcPr>
            <w:tcW w:w="2611"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69" w:hRule="atLeast"/>
        </w:trPr>
        <w:tc>
          <w:tcPr>
            <w:tcW w:w="7026"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Rozdelenie podielu na zisku spoločníkom, členom</w:t>
            </w:r>
          </w:p>
        </w:tc>
        <w:tc>
          <w:tcPr>
            <w:tcW w:w="2611"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69" w:hRule="atLeast"/>
        </w:trPr>
        <w:tc>
          <w:tcPr>
            <w:tcW w:w="7026"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Iné – zrážková daň</w:t>
            </w:r>
          </w:p>
        </w:tc>
        <w:tc>
          <w:tcPr>
            <w:tcW w:w="2611"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69" w:hRule="atLeast"/>
        </w:trPr>
        <w:tc>
          <w:tcPr>
            <w:tcW w:w="7026"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Spolu</w:t>
            </w:r>
          </w:p>
        </w:tc>
        <w:tc>
          <w:tcPr>
            <w:tcW w:w="2611"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0</w:t>
            </w:r>
          </w:p>
        </w:tc>
      </w:tr>
    </w:tbl>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t>Tabuľka č. 2</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7026"/>
        <w:gridCol w:w="2611"/>
      </w:tblGrid>
      <w:tr>
        <w:trPr>
          <w:trHeight w:val="330" w:hRule="atLeast"/>
        </w:trPr>
        <w:tc>
          <w:tcPr>
            <w:tcW w:w="7026"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
                <w:bCs/>
                <w:szCs w:val="22"/>
              </w:rPr>
            </w:pPr>
            <w:r>
              <w:rPr>
                <w:b/>
                <w:bCs/>
                <w:szCs w:val="22"/>
              </w:rPr>
              <w:t>Názov položky</w:t>
            </w:r>
          </w:p>
        </w:tc>
        <w:tc>
          <w:tcPr>
            <w:tcW w:w="2611"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Bezprostredne predchádzajúce účtovné obdobie</w:t>
            </w:r>
          </w:p>
        </w:tc>
      </w:tr>
      <w:tr>
        <w:trPr>
          <w:trHeight w:val="425" w:hRule="atLeast"/>
        </w:trPr>
        <w:tc>
          <w:tcPr>
            <w:tcW w:w="7026"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Účtovná strata</w:t>
            </w:r>
          </w:p>
        </w:tc>
        <w:tc>
          <w:tcPr>
            <w:tcW w:w="2611"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0</w:t>
            </w:r>
          </w:p>
        </w:tc>
      </w:tr>
      <w:tr>
        <w:trPr>
          <w:trHeight w:val="425" w:hRule="atLeast"/>
        </w:trPr>
        <w:tc>
          <w:tcPr>
            <w:tcW w:w="7026"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bCs/>
                <w:szCs w:val="22"/>
              </w:rPr>
              <w:t>Vysporiadanie účtovnej straty</w:t>
            </w:r>
          </w:p>
        </w:tc>
        <w:tc>
          <w:tcPr>
            <w:tcW w:w="2611"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b/>
                <w:szCs w:val="22"/>
              </w:rPr>
              <w:t>Bežné účtovné obdobie</w:t>
            </w:r>
          </w:p>
        </w:tc>
      </w:tr>
      <w:tr>
        <w:trPr>
          <w:trHeight w:val="369" w:hRule="atLeast"/>
        </w:trPr>
        <w:tc>
          <w:tcPr>
            <w:tcW w:w="7026"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Zo zákonného rezervného fondu</w:t>
            </w:r>
          </w:p>
        </w:tc>
        <w:tc>
          <w:tcPr>
            <w:tcW w:w="2611"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7026"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Zo štatutárnych a ostatných fondov</w:t>
            </w:r>
          </w:p>
        </w:tc>
        <w:tc>
          <w:tcPr>
            <w:tcW w:w="2611"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7026"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 nerozdeleného zisku minulých rokov</w:t>
            </w:r>
          </w:p>
        </w:tc>
        <w:tc>
          <w:tcPr>
            <w:tcW w:w="2611"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7026"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Úhrada straty spoločníkmi, členmi</w:t>
            </w:r>
          </w:p>
        </w:tc>
        <w:tc>
          <w:tcPr>
            <w:tcW w:w="2611"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7026"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Prevod na účet neuhradenej straty minulých rokov</w:t>
            </w:r>
          </w:p>
        </w:tc>
        <w:tc>
          <w:tcPr>
            <w:tcW w:w="2611"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7026"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Iné</w:t>
            </w:r>
          </w:p>
        </w:tc>
        <w:tc>
          <w:tcPr>
            <w:tcW w:w="2611"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7026"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Spolu</w:t>
            </w:r>
          </w:p>
        </w:tc>
        <w:tc>
          <w:tcPr>
            <w:tcW w:w="2611"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bl>
    <w:p>
      <w:pPr>
        <w:pStyle w:val="Nzov"/>
        <w:bidi w:val="0"/>
        <w:spacing w:beforeAutospacing="0" w:before="0" w:after="0"/>
        <w:jc w:val="left"/>
        <w:rPr>
          <w:b w:val="false"/>
          <w:bCs w:val="false"/>
          <w:kern w:val="0"/>
          <w:szCs w:val="36"/>
        </w:rPr>
      </w:pPr>
      <w:r>
        <w:rPr>
          <w:b w:val="false"/>
          <w:bCs w:val="false"/>
          <w:kern w:val="0"/>
          <w:szCs w:val="36"/>
        </w:rPr>
      </w:r>
    </w:p>
    <w:p>
      <w:pPr>
        <w:pStyle w:val="Nzov"/>
        <w:bidi w:val="0"/>
        <w:spacing w:beforeAutospacing="0" w:before="0" w:after="0"/>
        <w:jc w:val="left"/>
        <w:rPr>
          <w:rFonts w:ascii="Arial" w:hAnsi="Arial" w:cs="Arial"/>
          <w:szCs w:val="22"/>
        </w:rPr>
      </w:pPr>
      <w:r>
        <w:rPr>
          <w:rFonts w:cs="Arial" w:ascii="Arial" w:hAnsi="Arial"/>
          <w:szCs w:val="22"/>
        </w:rPr>
      </w:r>
    </w:p>
    <w:p>
      <w:pPr>
        <w:pStyle w:val="Nzov"/>
        <w:bidi w:val="0"/>
        <w:spacing w:beforeAutospacing="0" w:before="0" w:after="0"/>
        <w:jc w:val="both"/>
        <w:rPr>
          <w:rFonts w:ascii="Arial" w:hAnsi="Arial" w:cs="Arial"/>
          <w:szCs w:val="22"/>
        </w:rPr>
      </w:pPr>
      <w:r>
        <w:rPr>
          <w:rFonts w:cs="Arial" w:ascii="Arial" w:hAnsi="Arial"/>
          <w:szCs w:val="22"/>
        </w:rPr>
        <w:t>druhy rezerv za bežné účtovné obdobie s predpokladaným rokom použitia rezerv</w:t>
      </w:r>
    </w:p>
    <w:p>
      <w:pPr>
        <w:pStyle w:val="Normal"/>
        <w:bidi w:val="0"/>
        <w:jc w:val="both"/>
        <w:rPr>
          <w:rFonts w:ascii="Arial" w:hAnsi="Arial" w:cs="Arial"/>
        </w:rPr>
      </w:pPr>
      <w:r>
        <w:rPr>
          <w:rFonts w:cs="Arial" w:ascii="Arial" w:hAnsi="Arial"/>
        </w:rPr>
        <w:t>Spoločnosť v roku 202</w:t>
      </w:r>
      <w:r>
        <w:rPr>
          <w:rFonts w:cs="Arial" w:ascii="Arial" w:hAnsi="Arial"/>
        </w:rPr>
        <w:t>5</w:t>
      </w:r>
      <w:r>
        <w:rPr>
          <w:rFonts w:cs="Arial" w:ascii="Arial" w:hAnsi="Arial"/>
        </w:rPr>
        <w:t xml:space="preserve"> žiadne rezervy netvorilo. </w:t>
      </w:r>
    </w:p>
    <w:p>
      <w:pPr>
        <w:pStyle w:val="Normal"/>
        <w:bidi w:val="0"/>
        <w:jc w:val="both"/>
        <w:rPr>
          <w:rFonts w:ascii="Arial" w:hAnsi="Arial" w:cs="Arial"/>
        </w:rPr>
      </w:pPr>
      <w:r>
        <w:rPr>
          <w:szCs w:val="22"/>
        </w:rPr>
      </w:r>
    </w:p>
    <w:p>
      <w:pPr>
        <w:pStyle w:val="ListParagraph"/>
        <w:numPr>
          <w:ilvl w:val="0"/>
          <w:numId w:val="6"/>
        </w:numPr>
        <w:bidi w:val="0"/>
        <w:jc w:val="left"/>
        <w:rPr>
          <w:b/>
          <w:bCs/>
          <w:szCs w:val="22"/>
        </w:rPr>
      </w:pPr>
      <w:r>
        <w:rPr>
          <w:b/>
          <w:bCs/>
          <w:szCs w:val="22"/>
        </w:rPr>
        <w:t>Informácie k prílohe č. 3 časti G. písm. b) o rezervách</w:t>
      </w:r>
    </w:p>
    <w:p>
      <w:pPr>
        <w:pStyle w:val="Normal"/>
        <w:bidi w:val="0"/>
        <w:spacing w:lineRule="auto" w:line="240" w:before="0" w:after="0"/>
        <w:jc w:val="left"/>
        <w:rPr>
          <w:szCs w:val="22"/>
        </w:rPr>
      </w:pPr>
      <w:r>
        <w:rPr>
          <w:szCs w:val="22"/>
        </w:rPr>
        <w:t>Tabuľka č. 1</w:t>
      </w:r>
    </w:p>
    <w:tbl>
      <w:tblPr>
        <w:tblW w:w="49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2601"/>
        <w:gridCol w:w="2013"/>
        <w:gridCol w:w="1226"/>
        <w:gridCol w:w="1204"/>
        <w:gridCol w:w="1199"/>
        <w:gridCol w:w="1201"/>
      </w:tblGrid>
      <w:tr>
        <w:trPr>
          <w:trHeight w:val="330" w:hRule="atLeast"/>
        </w:trPr>
        <w:tc>
          <w:tcPr>
            <w:tcW w:w="2601"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6843" w:type="dxa"/>
            <w:gridSpan w:val="5"/>
            <w:tcBorders>
              <w:top w:val="single" w:sz="12" w:space="0" w:color="000000"/>
              <w:left w:val="single" w:sz="12" w:space="0" w:color="000000"/>
              <w:bottom w:val="single" w:sz="4" w:space="0" w:color="000000"/>
              <w:right w:val="single" w:sz="12" w:space="0" w:color="000000"/>
            </w:tcBorders>
            <w:vAlign w:val="center"/>
          </w:tcPr>
          <w:p>
            <w:pPr>
              <w:pStyle w:val="TopHeader"/>
              <w:widowControl w:val="false"/>
              <w:bidi w:val="0"/>
              <w:rPr/>
            </w:pPr>
            <w:r>
              <w:rPr/>
              <w:t>Bežné účtovné obdobie</w:t>
            </w:r>
          </w:p>
        </w:tc>
      </w:tr>
      <w:tr>
        <w:trPr>
          <w:trHeight w:val="345" w:hRule="atLeast"/>
        </w:trPr>
        <w:tc>
          <w:tcPr>
            <w:tcW w:w="2601"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2013"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na začiatku účtovného obdobia</w:t>
            </w:r>
          </w:p>
        </w:tc>
        <w:tc>
          <w:tcPr>
            <w:tcW w:w="1226" w:type="dxa"/>
            <w:tcBorders>
              <w:top w:val="single" w:sz="12" w:space="0" w:color="000000"/>
              <w:left w:val="single" w:sz="12" w:space="0" w:color="000000"/>
              <w:right w:val="single" w:sz="12" w:space="0" w:color="000000"/>
            </w:tcBorders>
            <w:vAlign w:val="center"/>
          </w:tcPr>
          <w:p>
            <w:pPr>
              <w:pStyle w:val="TopHeader"/>
              <w:widowControl w:val="false"/>
              <w:bidi w:val="0"/>
              <w:rPr/>
            </w:pPr>
            <w:r>
              <w:rPr/>
              <w:t>Tvorba</w:t>
            </w:r>
          </w:p>
        </w:tc>
        <w:tc>
          <w:tcPr>
            <w:tcW w:w="1204" w:type="dxa"/>
            <w:tcBorders>
              <w:top w:val="single" w:sz="12" w:space="0" w:color="000000"/>
              <w:left w:val="single" w:sz="12" w:space="0" w:color="000000"/>
              <w:right w:val="single" w:sz="12" w:space="0" w:color="000000"/>
            </w:tcBorders>
            <w:vAlign w:val="center"/>
          </w:tcPr>
          <w:p>
            <w:pPr>
              <w:pStyle w:val="TopHeader"/>
              <w:widowControl w:val="false"/>
              <w:bidi w:val="0"/>
              <w:rPr/>
            </w:pPr>
            <w:r>
              <w:rPr/>
              <w:t>Použitie</w:t>
            </w:r>
          </w:p>
        </w:tc>
        <w:tc>
          <w:tcPr>
            <w:tcW w:w="1199" w:type="dxa"/>
            <w:tcBorders>
              <w:top w:val="single" w:sz="12" w:space="0" w:color="000000"/>
              <w:left w:val="single" w:sz="12" w:space="0" w:color="000000"/>
              <w:right w:val="single" w:sz="12" w:space="0" w:color="000000"/>
            </w:tcBorders>
            <w:vAlign w:val="center"/>
          </w:tcPr>
          <w:p>
            <w:pPr>
              <w:pStyle w:val="TopHeader"/>
              <w:widowControl w:val="false"/>
              <w:bidi w:val="0"/>
              <w:rPr/>
            </w:pPr>
            <w:r>
              <w:rPr/>
              <w:t>Zrušenie</w:t>
            </w:r>
          </w:p>
        </w:tc>
        <w:tc>
          <w:tcPr>
            <w:tcW w:w="1201" w:type="dxa"/>
            <w:tcBorders>
              <w:top w:val="single" w:sz="12" w:space="0" w:color="000000"/>
              <w:left w:val="single" w:sz="12" w:space="0" w:color="000000"/>
              <w:right w:val="single" w:sz="12" w:space="0" w:color="000000"/>
            </w:tcBorders>
            <w:vAlign w:val="center"/>
          </w:tcPr>
          <w:p>
            <w:pPr>
              <w:pStyle w:val="TopHeader"/>
              <w:widowControl w:val="false"/>
              <w:bidi w:val="0"/>
              <w:rPr/>
            </w:pPr>
            <w:r>
              <w:rPr/>
              <w:t>Stav</w:t>
              <w:br/>
              <w:t>na konci účtovného obdobia</w:t>
            </w:r>
          </w:p>
        </w:tc>
      </w:tr>
      <w:tr>
        <w:trPr>
          <w:trHeight w:val="330" w:hRule="atLeast"/>
        </w:trPr>
        <w:tc>
          <w:tcPr>
            <w:tcW w:w="2601"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a</w:t>
            </w:r>
          </w:p>
        </w:tc>
        <w:tc>
          <w:tcPr>
            <w:tcW w:w="2013"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b</w:t>
            </w:r>
          </w:p>
        </w:tc>
        <w:tc>
          <w:tcPr>
            <w:tcW w:w="1226"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c</w:t>
            </w:r>
          </w:p>
        </w:tc>
        <w:tc>
          <w:tcPr>
            <w:tcW w:w="120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d</w:t>
            </w:r>
          </w:p>
        </w:tc>
        <w:tc>
          <w:tcPr>
            <w:tcW w:w="1199"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e</w:t>
            </w:r>
          </w:p>
        </w:tc>
        <w:tc>
          <w:tcPr>
            <w:tcW w:w="1201"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f</w:t>
            </w:r>
          </w:p>
        </w:tc>
      </w:tr>
      <w:tr>
        <w:trPr>
          <w:trHeight w:val="330" w:hRule="atLeast"/>
        </w:trPr>
        <w:tc>
          <w:tcPr>
            <w:tcW w:w="2601"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bCs/>
                <w:szCs w:val="22"/>
              </w:rPr>
              <w:t>Dlhodobé rezervy, z toho:</w:t>
            </w:r>
          </w:p>
        </w:tc>
        <w:tc>
          <w:tcPr>
            <w:tcW w:w="2013" w:type="dxa"/>
            <w:tcBorders>
              <w:top w:val="single" w:sz="12"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26"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4"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99"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1" w:type="dxa"/>
            <w:tcBorders>
              <w:top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601"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013"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26"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4"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99"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1"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601"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013"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26"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4"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99"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1"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30" w:hRule="atLeast"/>
        </w:trPr>
        <w:tc>
          <w:tcPr>
            <w:tcW w:w="2601"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bCs/>
                <w:szCs w:val="22"/>
              </w:rPr>
              <w:t>Krátkodobé rezervy, z toho:</w:t>
            </w:r>
          </w:p>
        </w:tc>
        <w:tc>
          <w:tcPr>
            <w:tcW w:w="2013" w:type="dxa"/>
            <w:tcBorders>
              <w:top w:val="single" w:sz="12"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26"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4"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99"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1" w:type="dxa"/>
            <w:tcBorders>
              <w:top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601"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Nevyčerpaná dovolenka</w:t>
            </w:r>
          </w:p>
        </w:tc>
        <w:tc>
          <w:tcPr>
            <w:tcW w:w="2013" w:type="dxa"/>
            <w:tcBorders>
              <w:top w:val="single" w:sz="12"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p>
        </w:tc>
        <w:tc>
          <w:tcPr>
            <w:tcW w:w="1226" w:type="dxa"/>
            <w:tcBorders>
              <w:top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4" w:type="dxa"/>
            <w:tcBorders>
              <w:top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p>
        </w:tc>
        <w:tc>
          <w:tcPr>
            <w:tcW w:w="1199" w:type="dxa"/>
            <w:tcBorders>
              <w:top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1" w:type="dxa"/>
            <w:tcBorders>
              <w:top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69" w:hRule="atLeast"/>
        </w:trPr>
        <w:tc>
          <w:tcPr>
            <w:tcW w:w="2601"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013" w:type="dxa"/>
            <w:tcBorders>
              <w:top w:val="single" w:sz="6"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26"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4"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99"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201"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ormal"/>
        <w:bidi w:val="0"/>
        <w:spacing w:lineRule="auto" w:line="240" w:before="120" w:after="0"/>
        <w:jc w:val="left"/>
        <w:rPr>
          <w:szCs w:val="22"/>
        </w:rPr>
      </w:pPr>
      <w:r>
        <w:rPr/>
      </w:r>
    </w:p>
    <w:p>
      <w:pPr>
        <w:pStyle w:val="Normal"/>
        <w:bidi w:val="0"/>
        <w:spacing w:lineRule="auto" w:line="240" w:before="120" w:after="0"/>
        <w:jc w:val="left"/>
        <w:rPr>
          <w:szCs w:val="22"/>
        </w:rPr>
      </w:pPr>
      <w:r>
        <w:rPr>
          <w:szCs w:val="22"/>
        </w:rPr>
        <w:t>Tabuľka č. 2</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2607"/>
        <w:gridCol w:w="2032"/>
        <w:gridCol w:w="1063"/>
        <w:gridCol w:w="1177"/>
        <w:gridCol w:w="1176"/>
        <w:gridCol w:w="1582"/>
      </w:tblGrid>
      <w:tr>
        <w:trPr>
          <w:trHeight w:val="330" w:hRule="atLeast"/>
        </w:trPr>
        <w:tc>
          <w:tcPr>
            <w:tcW w:w="2607"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7030" w:type="dxa"/>
            <w:gridSpan w:val="5"/>
            <w:tcBorders>
              <w:top w:val="single" w:sz="12" w:space="0" w:color="000000"/>
              <w:left w:val="single" w:sz="12" w:space="0" w:color="000000"/>
              <w:bottom w:val="single" w:sz="4" w:space="0" w:color="000000"/>
              <w:right w:val="single" w:sz="12" w:space="0" w:color="000000"/>
            </w:tcBorders>
            <w:vAlign w:val="center"/>
          </w:tcPr>
          <w:p>
            <w:pPr>
              <w:pStyle w:val="TopHeader"/>
              <w:widowControl w:val="false"/>
              <w:bidi w:val="0"/>
              <w:rPr/>
            </w:pPr>
            <w:r>
              <w:rPr/>
              <w:t>Bezprostredne predchádzajúce účtovné obdobie</w:t>
            </w:r>
          </w:p>
        </w:tc>
      </w:tr>
      <w:tr>
        <w:trPr>
          <w:trHeight w:val="345" w:hRule="atLeast"/>
        </w:trPr>
        <w:tc>
          <w:tcPr>
            <w:tcW w:w="2607"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2032"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na začiatku účtovného obdobia</w:t>
            </w:r>
          </w:p>
        </w:tc>
        <w:tc>
          <w:tcPr>
            <w:tcW w:w="1063" w:type="dxa"/>
            <w:tcBorders>
              <w:top w:val="single" w:sz="12" w:space="0" w:color="000000"/>
              <w:left w:val="single" w:sz="12" w:space="0" w:color="000000"/>
              <w:right w:val="single" w:sz="12" w:space="0" w:color="000000"/>
            </w:tcBorders>
            <w:vAlign w:val="center"/>
          </w:tcPr>
          <w:p>
            <w:pPr>
              <w:pStyle w:val="TopHeader"/>
              <w:widowControl w:val="false"/>
              <w:bidi w:val="0"/>
              <w:rPr/>
            </w:pPr>
            <w:r>
              <w:rPr/>
              <w:t>Tvorba</w:t>
            </w:r>
          </w:p>
        </w:tc>
        <w:tc>
          <w:tcPr>
            <w:tcW w:w="1177" w:type="dxa"/>
            <w:tcBorders>
              <w:top w:val="single" w:sz="12" w:space="0" w:color="000000"/>
              <w:left w:val="single" w:sz="12" w:space="0" w:color="000000"/>
              <w:right w:val="single" w:sz="12" w:space="0" w:color="000000"/>
            </w:tcBorders>
            <w:vAlign w:val="center"/>
          </w:tcPr>
          <w:p>
            <w:pPr>
              <w:pStyle w:val="TopHeader"/>
              <w:widowControl w:val="false"/>
              <w:bidi w:val="0"/>
              <w:rPr/>
            </w:pPr>
            <w:r>
              <w:rPr/>
              <w:t>Použitie</w:t>
            </w:r>
          </w:p>
        </w:tc>
        <w:tc>
          <w:tcPr>
            <w:tcW w:w="1176" w:type="dxa"/>
            <w:tcBorders>
              <w:top w:val="single" w:sz="12" w:space="0" w:color="000000"/>
              <w:left w:val="single" w:sz="12" w:space="0" w:color="000000"/>
              <w:right w:val="single" w:sz="12" w:space="0" w:color="000000"/>
            </w:tcBorders>
            <w:vAlign w:val="center"/>
          </w:tcPr>
          <w:p>
            <w:pPr>
              <w:pStyle w:val="TopHeader"/>
              <w:widowControl w:val="false"/>
              <w:bidi w:val="0"/>
              <w:rPr/>
            </w:pPr>
            <w:r>
              <w:rPr/>
              <w:t>Zrušenie</w:t>
            </w:r>
          </w:p>
        </w:tc>
        <w:tc>
          <w:tcPr>
            <w:tcW w:w="1582" w:type="dxa"/>
            <w:tcBorders>
              <w:top w:val="single" w:sz="12" w:space="0" w:color="000000"/>
              <w:left w:val="single" w:sz="12" w:space="0" w:color="000000"/>
              <w:right w:val="single" w:sz="12" w:space="0" w:color="000000"/>
            </w:tcBorders>
            <w:vAlign w:val="center"/>
          </w:tcPr>
          <w:p>
            <w:pPr>
              <w:pStyle w:val="TopHeader"/>
              <w:widowControl w:val="false"/>
              <w:bidi w:val="0"/>
              <w:rPr/>
            </w:pPr>
            <w:r>
              <w:rPr/>
              <w:t>Stav</w:t>
              <w:br/>
              <w:t>na konci účtovného obdobia</w:t>
            </w:r>
          </w:p>
        </w:tc>
      </w:tr>
      <w:tr>
        <w:trPr>
          <w:trHeight w:val="330" w:hRule="atLeast"/>
        </w:trPr>
        <w:tc>
          <w:tcPr>
            <w:tcW w:w="2607"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a</w:t>
            </w:r>
          </w:p>
        </w:tc>
        <w:tc>
          <w:tcPr>
            <w:tcW w:w="2032"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b</w:t>
            </w:r>
          </w:p>
        </w:tc>
        <w:tc>
          <w:tcPr>
            <w:tcW w:w="1063"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c</w:t>
            </w:r>
          </w:p>
        </w:tc>
        <w:tc>
          <w:tcPr>
            <w:tcW w:w="1177"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d</w:t>
            </w:r>
          </w:p>
        </w:tc>
        <w:tc>
          <w:tcPr>
            <w:tcW w:w="1176"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e</w:t>
            </w:r>
          </w:p>
        </w:tc>
        <w:tc>
          <w:tcPr>
            <w:tcW w:w="1582"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f</w:t>
            </w:r>
          </w:p>
        </w:tc>
      </w:tr>
      <w:tr>
        <w:trPr>
          <w:trHeight w:val="284" w:hRule="atLeast"/>
        </w:trPr>
        <w:tc>
          <w:tcPr>
            <w:tcW w:w="2607"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bCs/>
                <w:szCs w:val="22"/>
              </w:rPr>
              <w:t>Dlhodobé rezervy, z toho:</w:t>
            </w:r>
          </w:p>
        </w:tc>
        <w:tc>
          <w:tcPr>
            <w:tcW w:w="2032" w:type="dxa"/>
            <w:tcBorders>
              <w:top w:val="single" w:sz="12"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63"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7"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6"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82" w:type="dxa"/>
            <w:tcBorders>
              <w:top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607"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032"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63"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7"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6"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82"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607"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032"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63"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7"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6"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82"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30" w:hRule="atLeast"/>
        </w:trPr>
        <w:tc>
          <w:tcPr>
            <w:tcW w:w="2607"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bCs/>
                <w:szCs w:val="22"/>
              </w:rPr>
              <w:t>Krátkodobé rezervy, z toho:</w:t>
            </w:r>
          </w:p>
        </w:tc>
        <w:tc>
          <w:tcPr>
            <w:tcW w:w="2032" w:type="dxa"/>
            <w:tcBorders>
              <w:top w:val="single" w:sz="12"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63"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7"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6"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82" w:type="dxa"/>
            <w:tcBorders>
              <w:top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2607"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Nevyčerpaná dovolenka</w:t>
            </w:r>
          </w:p>
        </w:tc>
        <w:tc>
          <w:tcPr>
            <w:tcW w:w="2032" w:type="dxa"/>
            <w:tcBorders>
              <w:top w:val="single" w:sz="12"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xml:space="preserve"> </w:t>
            </w:r>
          </w:p>
        </w:tc>
        <w:tc>
          <w:tcPr>
            <w:tcW w:w="1063" w:type="dxa"/>
            <w:tcBorders>
              <w:top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xml:space="preserve"> </w:t>
            </w:r>
          </w:p>
        </w:tc>
        <w:tc>
          <w:tcPr>
            <w:tcW w:w="1177" w:type="dxa"/>
            <w:tcBorders>
              <w:top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176" w:type="dxa"/>
            <w:tcBorders>
              <w:top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82" w:type="dxa"/>
            <w:tcBorders>
              <w:top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69" w:hRule="atLeast"/>
        </w:trPr>
        <w:tc>
          <w:tcPr>
            <w:tcW w:w="2607"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r>
          </w:p>
        </w:tc>
        <w:tc>
          <w:tcPr>
            <w:tcW w:w="2032"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063"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177"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176"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582" w:type="dxa"/>
            <w:tcBorders>
              <w:top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r>
          </w:p>
        </w:tc>
      </w:tr>
    </w:tbl>
    <w:p>
      <w:pPr>
        <w:pStyle w:val="Normal"/>
        <w:bidi w:val="0"/>
        <w:jc w:val="left"/>
        <w:rPr/>
      </w:pPr>
      <w:r>
        <w:rPr/>
      </w:r>
    </w:p>
    <w:p>
      <w:pPr>
        <w:pStyle w:val="Nzov"/>
        <w:bidi w:val="0"/>
        <w:spacing w:beforeAutospacing="0" w:before="0" w:after="0"/>
        <w:jc w:val="left"/>
        <w:rPr>
          <w:rFonts w:ascii="Arial" w:hAnsi="Arial" w:cs="Arial"/>
          <w:szCs w:val="22"/>
        </w:rPr>
      </w:pPr>
      <w:r>
        <w:rPr>
          <w:rFonts w:cs="Arial" w:ascii="Arial" w:hAnsi="Arial"/>
          <w:szCs w:val="22"/>
        </w:rPr>
        <w:t>Výška záväzkov do lehoty splatnosti a po lehote splatnosti</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Spoločnosť má neuhradené záväzky vo výške:</w:t>
      </w:r>
    </w:p>
    <w:p>
      <w:pPr>
        <w:pStyle w:val="Normal"/>
        <w:bidi w:val="0"/>
        <w:jc w:val="left"/>
        <w:rPr>
          <w:rFonts w:ascii="Arial" w:hAnsi="Arial" w:cs="Arial"/>
        </w:rPr>
      </w:pPr>
      <w:r>
        <w:rPr>
          <w:rFonts w:cs="Arial" w:ascii="Arial" w:hAnsi="Arial"/>
        </w:rPr>
        <w:t xml:space="preserve">daň z príjmov PO </w:t>
      </w:r>
      <w:r>
        <w:rPr>
          <w:rFonts w:cs="Arial" w:ascii="Arial" w:hAnsi="Arial"/>
        </w:rPr>
        <w:t>100,56</w:t>
      </w:r>
      <w:r>
        <w:rPr>
          <w:rFonts w:cs="Arial" w:ascii="Arial" w:hAnsi="Arial"/>
        </w:rPr>
        <w:t xml:space="preserve"> eur (341)</w:t>
      </w:r>
    </w:p>
    <w:p>
      <w:pPr>
        <w:pStyle w:val="Normal"/>
        <w:bidi w:val="0"/>
        <w:jc w:val="left"/>
        <w:rPr>
          <w:rFonts w:ascii="Arial" w:hAnsi="Arial" w:cs="Arial"/>
        </w:rPr>
      </w:pPr>
      <w:r>
        <w:rPr>
          <w:rFonts w:cs="Arial" w:ascii="Arial" w:hAnsi="Arial"/>
        </w:rPr>
        <w:t xml:space="preserve">spolu vo výške </w:t>
      </w:r>
      <w:r>
        <w:rPr>
          <w:rFonts w:cs="Arial" w:ascii="Arial" w:hAnsi="Arial"/>
        </w:rPr>
        <w:t>100,56</w:t>
      </w:r>
      <w:r>
        <w:rPr>
          <w:rFonts w:cs="Arial" w:ascii="Arial" w:hAnsi="Arial"/>
        </w:rPr>
        <w:t xml:space="preserve"> eur</w:t>
      </w:r>
    </w:p>
    <w:p>
      <w:pPr>
        <w:pStyle w:val="Normal"/>
        <w:bidi w:val="0"/>
        <w:jc w:val="left"/>
        <w:rPr>
          <w:rFonts w:ascii="Arial" w:hAnsi="Arial" w:cs="Arial"/>
        </w:rPr>
      </w:pPr>
      <w:r>
        <w:rPr/>
      </w:r>
    </w:p>
    <w:p>
      <w:pPr>
        <w:pStyle w:val="Normal"/>
        <w:bidi w:val="0"/>
        <w:jc w:val="left"/>
        <w:rPr>
          <w:rFonts w:ascii="Arial" w:hAnsi="Arial" w:cs="Arial"/>
          <w:b/>
        </w:rPr>
      </w:pPr>
      <w:r>
        <w:rPr>
          <w:rFonts w:cs="Arial" w:ascii="Arial" w:hAnsi="Arial"/>
          <w:b/>
        </w:rPr>
        <w:t xml:space="preserve">d/ štruktúra záväzkov podľa zostatkovej doby splatnosti </w:t>
      </w:r>
    </w:p>
    <w:p>
      <w:pPr>
        <w:pStyle w:val="Normal"/>
        <w:bidi w:val="0"/>
        <w:jc w:val="left"/>
        <w:rPr>
          <w:rFonts w:ascii="Arial" w:hAnsi="Arial" w:cs="Arial"/>
        </w:rPr>
      </w:pPr>
      <w:r>
        <w:rPr>
          <w:rFonts w:cs="Arial" w:ascii="Arial" w:hAnsi="Arial"/>
        </w:rPr>
        <w:t>Neuhradené záväzky a  faktúry k 31.12.202</w:t>
      </w:r>
      <w:r>
        <w:rPr>
          <w:rFonts w:cs="Arial" w:ascii="Arial" w:hAnsi="Arial"/>
        </w:rPr>
        <w:t>5</w:t>
      </w:r>
      <w:r>
        <w:rPr>
          <w:rFonts w:cs="Arial" w:ascii="Arial" w:hAnsi="Arial"/>
        </w:rPr>
        <w:t xml:space="preserve"> do lehoty splatnosti sú vo výške </w:t>
      </w:r>
      <w:r>
        <w:rPr>
          <w:rFonts w:cs="Arial" w:ascii="Arial" w:hAnsi="Arial"/>
        </w:rPr>
        <w:t>100,56</w:t>
      </w:r>
      <w:r>
        <w:rPr>
          <w:rFonts w:cs="Arial" w:ascii="Arial" w:hAnsi="Arial"/>
        </w:rPr>
        <w:t xml:space="preserve"> eur. Neuhradené záväzky po splatnosti sú vo výške </w:t>
      </w:r>
      <w:r>
        <w:rPr>
          <w:rFonts w:cs="Arial" w:ascii="Arial" w:hAnsi="Arial"/>
        </w:rPr>
        <w:t>0</w:t>
      </w:r>
      <w:r>
        <w:rPr>
          <w:rFonts w:cs="Arial" w:ascii="Arial" w:hAnsi="Arial"/>
        </w:rPr>
        <w:t xml:space="preserve"> eur.</w:t>
      </w:r>
    </w:p>
    <w:p>
      <w:pPr>
        <w:pStyle w:val="Normal"/>
        <w:bidi w:val="0"/>
        <w:jc w:val="left"/>
        <w:rPr>
          <w:rFonts w:ascii="Arial" w:hAnsi="Arial" w:cs="Arial"/>
        </w:rPr>
      </w:pPr>
      <w:r>
        <w:rPr/>
      </w:r>
    </w:p>
    <w:p>
      <w:pPr>
        <w:pStyle w:val="ListParagraph"/>
        <w:numPr>
          <w:ilvl w:val="0"/>
          <w:numId w:val="6"/>
        </w:numPr>
        <w:bidi w:val="0"/>
        <w:jc w:val="left"/>
        <w:rPr>
          <w:b/>
          <w:bCs/>
          <w:szCs w:val="22"/>
        </w:rPr>
      </w:pPr>
      <w:r>
        <w:rPr>
          <w:b/>
          <w:bCs/>
          <w:szCs w:val="22"/>
        </w:rPr>
        <w:t>Informácie k prílohe č. 3  časti G. písm. c) a d) o záväzkoch</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3887"/>
        <w:gridCol w:w="3033"/>
        <w:gridCol w:w="2718"/>
      </w:tblGrid>
      <w:tr>
        <w:trPr>
          <w:trHeight w:val="920" w:hRule="atLeast"/>
        </w:trPr>
        <w:tc>
          <w:tcPr>
            <w:tcW w:w="3887"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Názov položky</w:t>
            </w:r>
          </w:p>
        </w:tc>
        <w:tc>
          <w:tcPr>
            <w:tcW w:w="3033"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c>
          <w:tcPr>
            <w:tcW w:w="2718"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397" w:hRule="atLeast"/>
        </w:trPr>
        <w:tc>
          <w:tcPr>
            <w:tcW w:w="3887"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bCs/>
                <w:szCs w:val="22"/>
              </w:rPr>
              <w:t>Dlhodobé záväzky spolu</w:t>
            </w:r>
          </w:p>
        </w:tc>
        <w:tc>
          <w:tcPr>
            <w:tcW w:w="3033" w:type="dxa"/>
            <w:tcBorders>
              <w:top w:val="single" w:sz="12" w:space="0" w:color="000000"/>
              <w:left w:val="single" w:sz="12" w:space="0" w:color="000000"/>
              <w:bottom w:val="single" w:sz="12" w:space="0" w:color="000000"/>
              <w:right w:val="single" w:sz="8" w:space="0" w:color="000000"/>
            </w:tcBorders>
            <w:vAlign w:val="center"/>
          </w:tcPr>
          <w:p>
            <w:pPr>
              <w:pStyle w:val="Normal"/>
              <w:widowControl w:val="false"/>
              <w:bidi w:val="0"/>
              <w:spacing w:lineRule="auto" w:line="240" w:before="0" w:after="0"/>
              <w:jc w:val="left"/>
              <w:rPr>
                <w:b/>
                <w:bCs/>
                <w:szCs w:val="22"/>
              </w:rPr>
            </w:pPr>
            <w:r>
              <w:rPr>
                <w:b/>
                <w:bCs/>
                <w:szCs w:val="22"/>
              </w:rPr>
              <w:t xml:space="preserve"> </w:t>
            </w:r>
            <w:r>
              <w:rPr>
                <w:b/>
                <w:bCs/>
                <w:szCs w:val="22"/>
              </w:rPr>
              <w:t>0</w:t>
            </w:r>
          </w:p>
        </w:tc>
        <w:tc>
          <w:tcPr>
            <w:tcW w:w="2718" w:type="dxa"/>
            <w:tcBorders>
              <w:top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 xml:space="preserve"> </w:t>
            </w:r>
          </w:p>
        </w:tc>
      </w:tr>
      <w:tr>
        <w:trPr>
          <w:trHeight w:val="567" w:hRule="atLeast"/>
        </w:trPr>
        <w:tc>
          <w:tcPr>
            <w:tcW w:w="3887" w:type="dxa"/>
            <w:tcBorders>
              <w:top w:val="single" w:sz="12" w:space="0" w:color="000000"/>
              <w:left w:val="single" w:sz="12" w:space="0" w:color="000000"/>
              <w:bottom w:val="single" w:sz="8"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Záväzky so zostatkovou dobou splatnosti nad päť rokov</w:t>
            </w:r>
          </w:p>
        </w:tc>
        <w:tc>
          <w:tcPr>
            <w:tcW w:w="3033" w:type="dxa"/>
            <w:tcBorders>
              <w:top w:val="single" w:sz="12" w:space="0" w:color="000000"/>
              <w:left w:val="single" w:sz="12" w:space="0" w:color="000000"/>
              <w:bottom w:val="single" w:sz="8"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2718" w:type="dxa"/>
            <w:tcBorders>
              <w:top w:val="single" w:sz="12" w:space="0" w:color="000000"/>
              <w:bottom w:val="single" w:sz="8"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567" w:hRule="atLeast"/>
        </w:trPr>
        <w:tc>
          <w:tcPr>
            <w:tcW w:w="3887" w:type="dxa"/>
            <w:tcBorders>
              <w:top w:val="single" w:sz="8"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Záväzky so zostatkovou dobou splatnosti jeden rok až päť rokov</w:t>
            </w:r>
          </w:p>
        </w:tc>
        <w:tc>
          <w:tcPr>
            <w:tcW w:w="3033" w:type="dxa"/>
            <w:tcBorders>
              <w:top w:val="single" w:sz="8" w:space="0" w:color="000000"/>
              <w:left w:val="single" w:sz="12" w:space="0" w:color="000000"/>
              <w:bottom w:val="single" w:sz="12"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2718" w:type="dxa"/>
            <w:tcBorders>
              <w:top w:val="single" w:sz="8"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r>
      <w:tr>
        <w:trPr>
          <w:trHeight w:val="397" w:hRule="atLeast"/>
        </w:trPr>
        <w:tc>
          <w:tcPr>
            <w:tcW w:w="3887"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Krátkodobé záväzky spolu</w:t>
            </w:r>
          </w:p>
        </w:tc>
        <w:tc>
          <w:tcPr>
            <w:tcW w:w="3033" w:type="dxa"/>
            <w:tcBorders>
              <w:top w:val="single" w:sz="12" w:space="0" w:color="000000"/>
              <w:left w:val="single" w:sz="12" w:space="0" w:color="000000"/>
              <w:bottom w:val="single" w:sz="12" w:space="0" w:color="000000"/>
              <w:right w:val="single" w:sz="8" w:space="0" w:color="000000"/>
            </w:tcBorders>
            <w:vAlign w:val="center"/>
          </w:tcPr>
          <w:p>
            <w:pPr>
              <w:pStyle w:val="Normal"/>
              <w:widowControl w:val="false"/>
              <w:bidi w:val="0"/>
              <w:spacing w:lineRule="auto" w:line="240" w:before="0" w:after="0"/>
              <w:jc w:val="left"/>
              <w:rPr>
                <w:b/>
                <w:szCs w:val="22"/>
              </w:rPr>
            </w:pPr>
            <w:r>
              <w:rPr>
                <w:b/>
                <w:szCs w:val="22"/>
              </w:rPr>
              <w:t> </w:t>
            </w:r>
            <w:r>
              <w:rPr>
                <w:b/>
                <w:szCs w:val="22"/>
              </w:rPr>
              <w:t>101</w:t>
            </w:r>
          </w:p>
        </w:tc>
        <w:tc>
          <w:tcPr>
            <w:tcW w:w="2718" w:type="dxa"/>
            <w:tcBorders>
              <w:top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szCs w:val="22"/>
              </w:rPr>
              <w:t> </w:t>
            </w:r>
          </w:p>
        </w:tc>
      </w:tr>
      <w:tr>
        <w:trPr>
          <w:trHeight w:val="567" w:hRule="atLeast"/>
        </w:trPr>
        <w:tc>
          <w:tcPr>
            <w:tcW w:w="3887" w:type="dxa"/>
            <w:tcBorders>
              <w:top w:val="single" w:sz="12" w:space="0" w:color="000000"/>
              <w:left w:val="single" w:sz="12" w:space="0" w:color="000000"/>
              <w:bottom w:val="single" w:sz="8"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Záväzky so zostatkovou dobou splatnosti do jedného roka vrátane</w:t>
            </w:r>
          </w:p>
        </w:tc>
        <w:tc>
          <w:tcPr>
            <w:tcW w:w="3033" w:type="dxa"/>
            <w:tcBorders>
              <w:top w:val="single" w:sz="12" w:space="0" w:color="000000"/>
              <w:left w:val="single" w:sz="12" w:space="0" w:color="000000"/>
              <w:bottom w:val="single" w:sz="8" w:space="0" w:color="000000"/>
              <w:right w:val="single" w:sz="8" w:space="0" w:color="000000"/>
            </w:tcBorders>
            <w:vAlign w:val="center"/>
          </w:tcPr>
          <w:p>
            <w:pPr>
              <w:pStyle w:val="Normal"/>
              <w:widowControl w:val="false"/>
              <w:bidi w:val="0"/>
              <w:spacing w:lineRule="auto" w:line="240" w:before="0" w:after="0"/>
              <w:jc w:val="left"/>
              <w:rPr>
                <w:bCs/>
                <w:szCs w:val="22"/>
              </w:rPr>
            </w:pPr>
            <w:r>
              <w:rPr>
                <w:bCs/>
                <w:szCs w:val="22"/>
              </w:rPr>
              <w:t xml:space="preserve"> </w:t>
            </w:r>
            <w:r>
              <w:rPr>
                <w:bCs/>
                <w:szCs w:val="22"/>
              </w:rPr>
              <w:t>101</w:t>
            </w:r>
          </w:p>
        </w:tc>
        <w:tc>
          <w:tcPr>
            <w:tcW w:w="2718" w:type="dxa"/>
            <w:tcBorders>
              <w:top w:val="single" w:sz="12" w:space="0" w:color="000000"/>
              <w:bottom w:val="single" w:sz="8" w:space="0" w:color="000000"/>
              <w:right w:val="single" w:sz="12" w:space="0" w:color="000000"/>
            </w:tcBorders>
            <w:vAlign w:val="center"/>
          </w:tcPr>
          <w:p>
            <w:pPr>
              <w:pStyle w:val="Normal"/>
              <w:widowControl w:val="false"/>
              <w:bidi w:val="0"/>
              <w:spacing w:lineRule="auto" w:line="240" w:before="0" w:after="0"/>
              <w:jc w:val="left"/>
              <w:rPr>
                <w:bCs/>
                <w:szCs w:val="22"/>
              </w:rPr>
            </w:pPr>
            <w:r>
              <w:rPr>
                <w:bCs/>
                <w:szCs w:val="22"/>
              </w:rPr>
              <w:t xml:space="preserve"> </w:t>
            </w:r>
          </w:p>
        </w:tc>
      </w:tr>
      <w:tr>
        <w:trPr>
          <w:trHeight w:val="397" w:hRule="atLeast"/>
        </w:trPr>
        <w:tc>
          <w:tcPr>
            <w:tcW w:w="3887" w:type="dxa"/>
            <w:tcBorders>
              <w:top w:val="single" w:sz="8"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Záväzky po lehote splatnosti</w:t>
            </w:r>
          </w:p>
        </w:tc>
        <w:tc>
          <w:tcPr>
            <w:tcW w:w="3033" w:type="dxa"/>
            <w:tcBorders>
              <w:top w:val="single" w:sz="8" w:space="0" w:color="000000"/>
              <w:left w:val="single" w:sz="12" w:space="0" w:color="000000"/>
              <w:bottom w:val="single" w:sz="12" w:space="0" w:color="000000"/>
              <w:right w:val="single" w:sz="8" w:space="0" w:color="000000"/>
            </w:tcBorders>
            <w:vAlign w:val="center"/>
          </w:tcPr>
          <w:p>
            <w:pPr>
              <w:pStyle w:val="Normal"/>
              <w:widowControl w:val="false"/>
              <w:bidi w:val="0"/>
              <w:spacing w:lineRule="auto" w:line="240" w:before="0" w:after="0"/>
              <w:jc w:val="left"/>
              <w:rPr>
                <w:b w:val="false"/>
                <w:bCs w:val="false"/>
              </w:rPr>
            </w:pPr>
            <w:r>
              <w:rPr>
                <w:b w:val="false"/>
                <w:bCs w:val="false"/>
                <w:szCs w:val="22"/>
              </w:rPr>
              <w:t> </w:t>
            </w:r>
            <w:r>
              <w:rPr>
                <w:b w:val="false"/>
                <w:bCs w:val="false"/>
                <w:szCs w:val="22"/>
              </w:rPr>
              <w:t>0</w:t>
            </w:r>
          </w:p>
        </w:tc>
        <w:tc>
          <w:tcPr>
            <w:tcW w:w="2718" w:type="dxa"/>
            <w:tcBorders>
              <w:top w:val="single" w:sz="8"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Cs/>
                <w:szCs w:val="22"/>
              </w:rPr>
            </w:pPr>
            <w:r>
              <w:rPr>
                <w:b/>
                <w:bCs/>
                <w:szCs w:val="22"/>
              </w:rPr>
              <w:t> </w:t>
            </w:r>
          </w:p>
        </w:tc>
      </w:tr>
    </w:tbl>
    <w:p>
      <w:pPr>
        <w:pStyle w:val="Normal"/>
        <w:bidi w:val="0"/>
        <w:jc w:val="left"/>
        <w:rPr/>
      </w:pPr>
      <w:r>
        <w:rPr/>
      </w:r>
    </w:p>
    <w:p>
      <w:pPr>
        <w:pStyle w:val="Normal"/>
        <w:bidi w:val="0"/>
        <w:jc w:val="both"/>
        <w:rPr>
          <w:rFonts w:ascii="Arial" w:hAnsi="Arial" w:cs="Arial"/>
          <w:b/>
        </w:rPr>
      </w:pPr>
      <w:r>
        <w:rPr>
          <w:rFonts w:cs="Arial" w:ascii="Arial" w:hAnsi="Arial"/>
          <w:b/>
        </w:rPr>
        <w:t>hodnota záväzku zabezpečenom záložným právom alebo zabezpečených inou formou zabezpečenia</w:t>
      </w:r>
    </w:p>
    <w:p>
      <w:pPr>
        <w:pStyle w:val="Normal"/>
        <w:bidi w:val="0"/>
        <w:jc w:val="both"/>
        <w:rPr>
          <w:rFonts w:ascii="Arial" w:hAnsi="Arial" w:cs="Arial"/>
        </w:rPr>
      </w:pPr>
      <w:r>
        <w:rPr>
          <w:rFonts w:cs="Arial" w:ascii="Arial" w:hAnsi="Arial"/>
        </w:rPr>
        <w:t>Spoločnosť nemá žiadne záväzky zabezpečené záložným právom alebo zabezpečené inou formou zabezpečenia.</w:t>
      </w:r>
    </w:p>
    <w:p>
      <w:pPr>
        <w:pStyle w:val="Normal"/>
        <w:bidi w:val="0"/>
        <w:jc w:val="both"/>
        <w:rPr>
          <w:rFonts w:ascii="Arial" w:hAnsi="Arial" w:cs="Arial"/>
        </w:rPr>
      </w:pPr>
      <w:r>
        <w:rPr/>
      </w:r>
    </w:p>
    <w:p>
      <w:pPr>
        <w:pStyle w:val="Normal"/>
        <w:bidi w:val="0"/>
        <w:jc w:val="both"/>
        <w:rPr>
          <w:rFonts w:ascii="Arial" w:hAnsi="Arial" w:cs="Arial"/>
          <w:b/>
        </w:rPr>
      </w:pPr>
      <w:r>
        <w:rPr>
          <w:rFonts w:cs="Arial" w:ascii="Arial" w:hAnsi="Arial"/>
          <w:b/>
        </w:rPr>
        <w:t>spôsob vzniku odloženého záväzku</w:t>
      </w:r>
    </w:p>
    <w:p>
      <w:pPr>
        <w:pStyle w:val="Normal"/>
        <w:bidi w:val="0"/>
        <w:jc w:val="both"/>
        <w:rPr>
          <w:rFonts w:ascii="Arial" w:hAnsi="Arial" w:cs="Arial"/>
        </w:rPr>
      </w:pPr>
      <w:r>
        <w:rPr>
          <w:rFonts w:cs="Arial" w:ascii="Arial" w:hAnsi="Arial"/>
        </w:rPr>
        <w:t>Spoločnosť nemá žiadne odložené daňové pohľadávky alebo odložený daňový záväzok.</w:t>
      </w:r>
    </w:p>
    <w:p>
      <w:pPr>
        <w:pStyle w:val="Normal"/>
        <w:bidi w:val="0"/>
        <w:jc w:val="left"/>
        <w:rPr>
          <w:rFonts w:ascii="Arial" w:hAnsi="Arial" w:cs="Arial"/>
        </w:rPr>
      </w:pPr>
      <w:r>
        <w:rPr>
          <w:rFonts w:cs="Arial" w:ascii="Arial" w:hAnsi="Arial"/>
        </w:rPr>
      </w:r>
    </w:p>
    <w:p>
      <w:pPr>
        <w:pStyle w:val="Nzov"/>
        <w:keepNext w:val="false"/>
        <w:widowControl w:val="false"/>
        <w:numPr>
          <w:ilvl w:val="0"/>
          <w:numId w:val="7"/>
        </w:numPr>
        <w:bidi w:val="0"/>
        <w:spacing w:beforeAutospacing="0" w:before="0" w:after="0"/>
        <w:jc w:val="both"/>
        <w:rPr>
          <w:szCs w:val="22"/>
        </w:rPr>
      </w:pPr>
      <w:r>
        <w:rPr>
          <w:szCs w:val="22"/>
        </w:rPr>
        <w:t>Informácie k prílohe č. 3 časti F. písm. v) a časti G. písm. f) o odloženej daňovej pohľadávke alebo o odloženom daňovom záväzku</w:t>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5164"/>
        <w:gridCol w:w="2294"/>
        <w:gridCol w:w="2180"/>
      </w:tblGrid>
      <w:tr>
        <w:trPr>
          <w:trHeight w:val="990" w:hRule="atLeast"/>
        </w:trPr>
        <w:tc>
          <w:tcPr>
            <w:tcW w:w="5164"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Názov položky</w:t>
            </w:r>
          </w:p>
        </w:tc>
        <w:tc>
          <w:tcPr>
            <w:tcW w:w="2294"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c>
          <w:tcPr>
            <w:tcW w:w="2180"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624" w:hRule="atLeast"/>
        </w:trPr>
        <w:tc>
          <w:tcPr>
            <w:tcW w:w="5164"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Dočasné rozdiely medzi účtovnou hodnotou majetku a daňovou základňou, z toho:</w:t>
            </w:r>
          </w:p>
        </w:tc>
        <w:tc>
          <w:tcPr>
            <w:tcW w:w="2294" w:type="dxa"/>
            <w:tcBorders>
              <w:top w:val="single" w:sz="12" w:space="0" w:color="000000"/>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p>
        </w:tc>
        <w:tc>
          <w:tcPr>
            <w:tcW w:w="2180"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40" w:hRule="atLeast"/>
        </w:trPr>
        <w:tc>
          <w:tcPr>
            <w:tcW w:w="5164"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odpočítateľné</w:t>
            </w:r>
          </w:p>
        </w:tc>
        <w:tc>
          <w:tcPr>
            <w:tcW w:w="2294" w:type="dxa"/>
            <w:tcBorders>
              <w:left w:val="single" w:sz="12" w:space="0" w:color="000000"/>
              <w:bottom w:val="single" w:sz="6"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2180" w:type="dxa"/>
            <w:tcBorders>
              <w:top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5164"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zdaniteľné</w:t>
            </w:r>
          </w:p>
        </w:tc>
        <w:tc>
          <w:tcPr>
            <w:tcW w:w="2294" w:type="dxa"/>
            <w:tcBorders>
              <w:top w:val="single" w:sz="6" w:space="0" w:color="000000"/>
              <w:left w:val="single" w:sz="12" w:space="0" w:color="000000"/>
              <w:bottom w:val="single" w:sz="6"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2180"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630" w:hRule="atLeast"/>
        </w:trPr>
        <w:tc>
          <w:tcPr>
            <w:tcW w:w="5164"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Dočasné rozdiely medzi účtovnou hodnotou záväzkov a daňovou základňou, z toho:</w:t>
            </w:r>
          </w:p>
        </w:tc>
        <w:tc>
          <w:tcPr>
            <w:tcW w:w="2294" w:type="dxa"/>
            <w:tcBorders>
              <w:top w:val="single" w:sz="6" w:space="0" w:color="000000"/>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p>
        </w:tc>
        <w:tc>
          <w:tcPr>
            <w:tcW w:w="2180"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40" w:hRule="atLeast"/>
        </w:trPr>
        <w:tc>
          <w:tcPr>
            <w:tcW w:w="5164"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odpočítateľné</w:t>
            </w:r>
          </w:p>
        </w:tc>
        <w:tc>
          <w:tcPr>
            <w:tcW w:w="2294" w:type="dxa"/>
            <w:tcBorders>
              <w:left w:val="single" w:sz="12" w:space="0" w:color="000000"/>
              <w:bottom w:val="single" w:sz="6"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2180" w:type="dxa"/>
            <w:tcBorders>
              <w:top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5164"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zdaniteľné</w:t>
            </w:r>
          </w:p>
        </w:tc>
        <w:tc>
          <w:tcPr>
            <w:tcW w:w="2294" w:type="dxa"/>
            <w:tcBorders>
              <w:top w:val="single" w:sz="6" w:space="0" w:color="000000"/>
              <w:left w:val="single" w:sz="12" w:space="0" w:color="000000"/>
              <w:bottom w:val="single" w:sz="6"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2180"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30" w:hRule="atLeast"/>
        </w:trPr>
        <w:tc>
          <w:tcPr>
            <w:tcW w:w="5164"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Možnosť umorovať daňovú stratu v budúcnosti</w:t>
            </w:r>
          </w:p>
        </w:tc>
        <w:tc>
          <w:tcPr>
            <w:tcW w:w="2294" w:type="dxa"/>
            <w:tcBorders>
              <w:top w:val="single" w:sz="6" w:space="0" w:color="000000"/>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p>
        </w:tc>
        <w:tc>
          <w:tcPr>
            <w:tcW w:w="2180"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97" w:hRule="atLeast"/>
        </w:trPr>
        <w:tc>
          <w:tcPr>
            <w:tcW w:w="5164"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Možnosť previesť nevyužité daňové odpočty</w:t>
            </w:r>
          </w:p>
        </w:tc>
        <w:tc>
          <w:tcPr>
            <w:tcW w:w="2294" w:type="dxa"/>
            <w:tcBorders>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p>
        </w:tc>
        <w:tc>
          <w:tcPr>
            <w:tcW w:w="2180"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40" w:hRule="atLeast"/>
        </w:trPr>
        <w:tc>
          <w:tcPr>
            <w:tcW w:w="516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Sadzba dane z príjmov ( v %)</w:t>
            </w:r>
          </w:p>
        </w:tc>
        <w:tc>
          <w:tcPr>
            <w:tcW w:w="2294" w:type="dxa"/>
            <w:tcBorders>
              <w:top w:val="single" w:sz="4" w:space="0" w:color="000000"/>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2180"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516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Odložená daňová pohľadávka</w:t>
            </w:r>
          </w:p>
        </w:tc>
        <w:tc>
          <w:tcPr>
            <w:tcW w:w="2294" w:type="dxa"/>
            <w:tcBorders>
              <w:top w:val="single" w:sz="4" w:space="0" w:color="000000"/>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r>
          </w:p>
        </w:tc>
        <w:tc>
          <w:tcPr>
            <w:tcW w:w="2180"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40" w:hRule="atLeast"/>
        </w:trPr>
        <w:tc>
          <w:tcPr>
            <w:tcW w:w="516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Uplatnená daňová pohľadávka</w:t>
            </w:r>
          </w:p>
        </w:tc>
        <w:tc>
          <w:tcPr>
            <w:tcW w:w="2294" w:type="dxa"/>
            <w:tcBorders>
              <w:top w:val="single" w:sz="4" w:space="0" w:color="000000"/>
              <w:left w:val="single" w:sz="12" w:space="0" w:color="000000"/>
              <w:bottom w:val="single" w:sz="4" w:space="0" w:color="000000"/>
              <w:right w:val="single" w:sz="6" w:space="0" w:color="000000"/>
            </w:tcBorders>
            <w:vAlign w:val="center"/>
          </w:tcPr>
          <w:p>
            <w:pPr>
              <w:pStyle w:val="Normal"/>
              <w:widowControl w:val="false"/>
              <w:bidi w:val="0"/>
              <w:spacing w:lineRule="auto" w:line="240" w:before="0" w:after="0"/>
              <w:jc w:val="left"/>
              <w:rPr>
                <w:szCs w:val="22"/>
              </w:rPr>
            </w:pPr>
            <w:r>
              <w:rPr/>
            </w:r>
          </w:p>
        </w:tc>
        <w:tc>
          <w:tcPr>
            <w:tcW w:w="2180" w:type="dxa"/>
            <w:tcBorders>
              <w:top w:val="single" w:sz="4" w:space="0" w:color="000000"/>
              <w:left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40" w:hRule="atLeast"/>
        </w:trPr>
        <w:tc>
          <w:tcPr>
            <w:tcW w:w="516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Cs/>
                <w:szCs w:val="22"/>
              </w:rPr>
            </w:pPr>
            <w:r>
              <w:rPr>
                <w:bCs/>
                <w:szCs w:val="22"/>
              </w:rPr>
              <w:t>Zaúčtovaná ako náklad</w:t>
            </w:r>
          </w:p>
        </w:tc>
        <w:tc>
          <w:tcPr>
            <w:tcW w:w="2294" w:type="dxa"/>
            <w:tcBorders>
              <w:top w:val="single" w:sz="4"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2180" w:type="dxa"/>
            <w:tcBorders>
              <w:top w:val="single" w:sz="4"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5164"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Cs/>
                <w:szCs w:val="22"/>
              </w:rPr>
            </w:pPr>
            <w:r>
              <w:rPr>
                <w:bCs/>
                <w:szCs w:val="22"/>
              </w:rPr>
              <w:t>Zaúčtovaná do vlastného imania</w:t>
            </w:r>
          </w:p>
        </w:tc>
        <w:tc>
          <w:tcPr>
            <w:tcW w:w="2294"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2180"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5164"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Odložený daňový záväzok</w:t>
            </w:r>
          </w:p>
        </w:tc>
        <w:tc>
          <w:tcPr>
            <w:tcW w:w="2294" w:type="dxa"/>
            <w:tcBorders>
              <w:top w:val="single" w:sz="6" w:space="0" w:color="000000"/>
              <w:left w:val="single" w:sz="12" w:space="0" w:color="000000"/>
              <w:bottom w:val="single" w:sz="4"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t> </w:t>
            </w:r>
          </w:p>
        </w:tc>
        <w:tc>
          <w:tcPr>
            <w:tcW w:w="2180" w:type="dxa"/>
            <w:tcBorders>
              <w:top w:val="single" w:sz="6" w:space="0" w:color="000000"/>
              <w:left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40" w:hRule="atLeast"/>
        </w:trPr>
        <w:tc>
          <w:tcPr>
            <w:tcW w:w="516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Zmena odloženého daňového záväzku</w:t>
            </w:r>
          </w:p>
        </w:tc>
        <w:tc>
          <w:tcPr>
            <w:tcW w:w="2294" w:type="dxa"/>
            <w:tcBorders>
              <w:top w:val="single" w:sz="4" w:space="0" w:color="000000"/>
              <w:left w:val="single" w:sz="12" w:space="0" w:color="000000"/>
              <w:bottom w:val="single" w:sz="4"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t> </w:t>
            </w:r>
          </w:p>
        </w:tc>
        <w:tc>
          <w:tcPr>
            <w:tcW w:w="2180" w:type="dxa"/>
            <w:tcBorders>
              <w:top w:val="single" w:sz="4" w:space="0" w:color="000000"/>
              <w:left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r>
      <w:tr>
        <w:trPr>
          <w:trHeight w:val="340" w:hRule="atLeast"/>
        </w:trPr>
        <w:tc>
          <w:tcPr>
            <w:tcW w:w="516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Zaúčtovaná ako náklad</w:t>
            </w:r>
          </w:p>
        </w:tc>
        <w:tc>
          <w:tcPr>
            <w:tcW w:w="2294" w:type="dxa"/>
            <w:tcBorders>
              <w:top w:val="single" w:sz="4"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2180" w:type="dxa"/>
            <w:tcBorders>
              <w:top w:val="single" w:sz="4"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5164"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Zaúčtovaná do vlastného imania</w:t>
            </w:r>
          </w:p>
        </w:tc>
        <w:tc>
          <w:tcPr>
            <w:tcW w:w="2294" w:type="dxa"/>
            <w:tcBorders>
              <w:top w:val="single" w:sz="6" w:space="0" w:color="000000"/>
              <w:left w:val="single" w:sz="12" w:space="0" w:color="000000"/>
              <w:bottom w:val="single" w:sz="4"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2180" w:type="dxa"/>
            <w:tcBorders>
              <w:top w:val="single" w:sz="6" w:space="0" w:color="000000"/>
              <w:left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0" w:hRule="atLeast"/>
        </w:trPr>
        <w:tc>
          <w:tcPr>
            <w:tcW w:w="5164"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Iné</w:t>
            </w:r>
          </w:p>
        </w:tc>
        <w:tc>
          <w:tcPr>
            <w:tcW w:w="2294" w:type="dxa"/>
            <w:tcBorders>
              <w:top w:val="single" w:sz="4"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r>
          </w:p>
        </w:tc>
        <w:tc>
          <w:tcPr>
            <w:tcW w:w="2180" w:type="dxa"/>
            <w:tcBorders>
              <w:top w:val="single" w:sz="4"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ormal"/>
        <w:bidi w:val="0"/>
        <w:jc w:val="left"/>
        <w:rPr>
          <w:rFonts w:ascii="Arial" w:hAnsi="Arial" w:cs="Arial"/>
          <w:b/>
          <w:sz w:val="16"/>
          <w:szCs w:val="16"/>
        </w:rPr>
      </w:pPr>
      <w:r>
        <w:rPr>
          <w:rFonts w:cs="Arial" w:ascii="Arial" w:hAnsi="Arial"/>
          <w:b/>
          <w:sz w:val="16"/>
          <w:szCs w:val="16"/>
        </w:rPr>
      </w:r>
    </w:p>
    <w:p>
      <w:pPr>
        <w:pStyle w:val="Normal"/>
        <w:bidi w:val="0"/>
        <w:jc w:val="left"/>
        <w:rPr>
          <w:rFonts w:ascii="Arial" w:hAnsi="Arial" w:cs="Arial"/>
          <w:b/>
        </w:rPr>
      </w:pPr>
      <w:r>
        <w:rPr>
          <w:rFonts w:cs="Arial" w:ascii="Arial" w:hAnsi="Arial"/>
          <w:b/>
        </w:rPr>
        <w:t>záväzok zo sociálneho fondu</w:t>
      </w:r>
    </w:p>
    <w:p>
      <w:pPr>
        <w:pStyle w:val="Normal"/>
        <w:bidi w:val="0"/>
        <w:jc w:val="both"/>
        <w:rPr>
          <w:rFonts w:ascii="Arial" w:hAnsi="Arial" w:cs="Arial"/>
        </w:rPr>
      </w:pPr>
      <w:r>
        <w:rPr>
          <w:rFonts w:cs="Arial" w:ascii="Arial" w:hAnsi="Arial"/>
        </w:rPr>
        <w:t xml:space="preserve">Spoločnosť sociálny fond bude používať na preplatenie finančného príspevku pre svojich zamestnancov. </w:t>
      </w:r>
    </w:p>
    <w:p>
      <w:pPr>
        <w:pStyle w:val="Nzov"/>
        <w:numPr>
          <w:ilvl w:val="0"/>
          <w:numId w:val="7"/>
        </w:numPr>
        <w:bidi w:val="0"/>
        <w:spacing w:beforeAutospacing="0" w:before="0" w:after="0"/>
        <w:jc w:val="left"/>
        <w:rPr>
          <w:szCs w:val="22"/>
        </w:rPr>
      </w:pPr>
      <w:r>
        <w:rPr>
          <w:szCs w:val="22"/>
        </w:rPr>
        <w:t>Informácie k prílohe č. 3 časti G. písm. g) o záväzkoch zo sociálneho fondu</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4099"/>
        <w:gridCol w:w="2742"/>
        <w:gridCol w:w="2797"/>
      </w:tblGrid>
      <w:tr>
        <w:trPr>
          <w:trHeight w:val="825" w:hRule="atLeast"/>
        </w:trPr>
        <w:tc>
          <w:tcPr>
            <w:tcW w:w="4099"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Názov položky</w:t>
            </w:r>
          </w:p>
        </w:tc>
        <w:tc>
          <w:tcPr>
            <w:tcW w:w="2742"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c>
          <w:tcPr>
            <w:tcW w:w="2797"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397" w:hRule="atLeast"/>
        </w:trPr>
        <w:tc>
          <w:tcPr>
            <w:tcW w:w="4099"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Začiatočný stav sociálneho fondu</w:t>
            </w:r>
          </w:p>
        </w:tc>
        <w:tc>
          <w:tcPr>
            <w:tcW w:w="2742" w:type="dxa"/>
            <w:tcBorders>
              <w:top w:val="single" w:sz="12" w:space="0" w:color="000000"/>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b/>
                <w:szCs w:val="22"/>
              </w:rPr>
            </w:pPr>
            <w:r>
              <w:rPr>
                <w:szCs w:val="22"/>
              </w:rPr>
              <w:t xml:space="preserve"> </w:t>
            </w:r>
          </w:p>
        </w:tc>
        <w:tc>
          <w:tcPr>
            <w:tcW w:w="2797"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 xml:space="preserve"> </w:t>
            </w:r>
          </w:p>
        </w:tc>
      </w:tr>
      <w:tr>
        <w:trPr>
          <w:trHeight w:val="397" w:hRule="atLeast"/>
        </w:trPr>
        <w:tc>
          <w:tcPr>
            <w:tcW w:w="409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Tvorba sociálneho fondu na ťarchu nákladov</w:t>
            </w:r>
          </w:p>
        </w:tc>
        <w:tc>
          <w:tcPr>
            <w:tcW w:w="2742" w:type="dxa"/>
            <w:tcBorders>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p>
        </w:tc>
        <w:tc>
          <w:tcPr>
            <w:tcW w:w="2797"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97" w:hRule="atLeast"/>
        </w:trPr>
        <w:tc>
          <w:tcPr>
            <w:tcW w:w="409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Tvorba sociálneho fondu zo zisku</w:t>
            </w:r>
          </w:p>
        </w:tc>
        <w:tc>
          <w:tcPr>
            <w:tcW w:w="2742" w:type="dxa"/>
            <w:tcBorders>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p>
        </w:tc>
        <w:tc>
          <w:tcPr>
            <w:tcW w:w="2797"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r>
      <w:tr>
        <w:trPr>
          <w:trHeight w:val="397" w:hRule="atLeast"/>
        </w:trPr>
        <w:tc>
          <w:tcPr>
            <w:tcW w:w="409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Ostatná tvorba sociálneho fondu</w:t>
            </w:r>
          </w:p>
        </w:tc>
        <w:tc>
          <w:tcPr>
            <w:tcW w:w="2742" w:type="dxa"/>
            <w:tcBorders>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p>
        </w:tc>
        <w:tc>
          <w:tcPr>
            <w:tcW w:w="2797"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97" w:hRule="atLeast"/>
        </w:trPr>
        <w:tc>
          <w:tcPr>
            <w:tcW w:w="409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Tvorba sociálneho fondu spolu</w:t>
            </w:r>
          </w:p>
        </w:tc>
        <w:tc>
          <w:tcPr>
            <w:tcW w:w="2742" w:type="dxa"/>
            <w:tcBorders>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p>
        </w:tc>
        <w:tc>
          <w:tcPr>
            <w:tcW w:w="2797"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97" w:hRule="atLeast"/>
        </w:trPr>
        <w:tc>
          <w:tcPr>
            <w:tcW w:w="4099"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Čerpanie sociálneho fondu</w:t>
            </w:r>
          </w:p>
        </w:tc>
        <w:tc>
          <w:tcPr>
            <w:tcW w:w="2742" w:type="dxa"/>
            <w:tcBorders>
              <w:top w:val="single" w:sz="4" w:space="0" w:color="000000"/>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p>
        </w:tc>
        <w:tc>
          <w:tcPr>
            <w:tcW w:w="2797"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r>
      <w:tr>
        <w:trPr>
          <w:trHeight w:val="397" w:hRule="atLeast"/>
        </w:trPr>
        <w:tc>
          <w:tcPr>
            <w:tcW w:w="4099"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Konečný zostatok sociálneho fondu</w:t>
            </w:r>
          </w:p>
        </w:tc>
        <w:tc>
          <w:tcPr>
            <w:tcW w:w="2742" w:type="dxa"/>
            <w:tcBorders>
              <w:top w:val="single" w:sz="4" w:space="0" w:color="000000"/>
              <w:left w:val="single" w:sz="12" w:space="0" w:color="000000"/>
              <w:bottom w:val="single" w:sz="12" w:space="0" w:color="000000"/>
              <w:right w:val="single" w:sz="8" w:space="0" w:color="000000"/>
            </w:tcBorders>
            <w:vAlign w:val="center"/>
          </w:tcPr>
          <w:p>
            <w:pPr>
              <w:pStyle w:val="Normal"/>
              <w:widowControl w:val="false"/>
              <w:bidi w:val="0"/>
              <w:spacing w:lineRule="auto" w:line="240" w:before="0" w:after="0"/>
              <w:jc w:val="left"/>
              <w:rPr>
                <w:b/>
                <w:szCs w:val="22"/>
              </w:rPr>
            </w:pPr>
            <w:r>
              <w:rPr>
                <w:b/>
                <w:szCs w:val="22"/>
              </w:rPr>
              <w:t> </w:t>
            </w:r>
          </w:p>
        </w:tc>
        <w:tc>
          <w:tcPr>
            <w:tcW w:w="2797" w:type="dxa"/>
            <w:tcBorders>
              <w:top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 xml:space="preserve"> </w:t>
            </w:r>
          </w:p>
        </w:tc>
      </w:tr>
    </w:tbl>
    <w:p>
      <w:pPr>
        <w:pStyle w:val="Normal"/>
        <w:bidi w:val="0"/>
        <w:spacing w:lineRule="auto" w:line="240" w:before="0" w:after="0"/>
        <w:jc w:val="left"/>
        <w:rPr>
          <w:rFonts w:ascii="Arial" w:hAnsi="Arial" w:cs="Arial"/>
          <w:b/>
          <w:szCs w:val="22"/>
        </w:rPr>
      </w:pPr>
      <w:r>
        <w:rPr>
          <w:rFonts w:cs="Arial" w:ascii="Arial" w:hAnsi="Arial"/>
          <w:b/>
          <w:szCs w:val="22"/>
        </w:rPr>
      </w:r>
    </w:p>
    <w:p>
      <w:pPr>
        <w:pStyle w:val="Normal"/>
        <w:bidi w:val="0"/>
        <w:spacing w:lineRule="auto" w:line="240" w:before="0" w:after="0"/>
        <w:jc w:val="left"/>
        <w:rPr>
          <w:rFonts w:ascii="Arial" w:hAnsi="Arial" w:cs="Arial"/>
          <w:b/>
          <w:szCs w:val="22"/>
        </w:rPr>
      </w:pPr>
      <w:r>
        <w:rPr>
          <w:rFonts w:cs="Arial" w:ascii="Arial" w:hAnsi="Arial"/>
          <w:b/>
          <w:szCs w:val="22"/>
        </w:rPr>
        <w:t>vydané dlhopisy</w:t>
      </w:r>
    </w:p>
    <w:p>
      <w:pPr>
        <w:pStyle w:val="Normal"/>
        <w:bidi w:val="0"/>
        <w:spacing w:lineRule="auto" w:line="240" w:before="0" w:after="0"/>
        <w:jc w:val="left"/>
        <w:rPr>
          <w:rFonts w:ascii="Arial" w:hAnsi="Arial" w:cs="Arial"/>
          <w:szCs w:val="22"/>
        </w:rPr>
      </w:pPr>
      <w:r>
        <w:rPr>
          <w:rFonts w:cs="Arial" w:ascii="Arial" w:hAnsi="Arial"/>
          <w:szCs w:val="22"/>
        </w:rPr>
        <w:t>Spoločnosť nevydalo žiadne dlhopisy.</w:t>
      </w:r>
    </w:p>
    <w:p>
      <w:pPr>
        <w:pStyle w:val="Normal"/>
        <w:bidi w:val="0"/>
        <w:spacing w:lineRule="auto" w:line="240" w:before="0" w:after="0"/>
        <w:jc w:val="left"/>
        <w:rPr>
          <w:szCs w:val="22"/>
        </w:rPr>
      </w:pPr>
      <w:r>
        <w:rPr>
          <w:szCs w:val="22"/>
        </w:rPr>
      </w:r>
    </w:p>
    <w:p>
      <w:pPr>
        <w:pStyle w:val="Nzov"/>
        <w:keepNext w:val="false"/>
        <w:widowControl w:val="false"/>
        <w:numPr>
          <w:ilvl w:val="0"/>
          <w:numId w:val="7"/>
        </w:numPr>
        <w:bidi w:val="0"/>
        <w:spacing w:beforeAutospacing="0" w:before="0" w:after="0"/>
        <w:jc w:val="left"/>
        <w:rPr>
          <w:szCs w:val="22"/>
        </w:rPr>
      </w:pPr>
      <w:r>
        <w:rPr>
          <w:szCs w:val="22"/>
        </w:rPr>
        <w:t>Informácie k prílohe č. 3 časti G. písm. h) o vydaných dlhopisoch</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2271"/>
        <w:gridCol w:w="1474"/>
        <w:gridCol w:w="1473"/>
        <w:gridCol w:w="1473"/>
        <w:gridCol w:w="1481"/>
        <w:gridCol w:w="1465"/>
      </w:tblGrid>
      <w:tr>
        <w:trPr>
          <w:trHeight w:val="345" w:hRule="atLeast"/>
        </w:trPr>
        <w:tc>
          <w:tcPr>
            <w:tcW w:w="2271"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Názov vydaného dlhopisu</w:t>
            </w:r>
          </w:p>
        </w:tc>
        <w:tc>
          <w:tcPr>
            <w:tcW w:w="1474"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Menovitá hodnota</w:t>
            </w:r>
          </w:p>
        </w:tc>
        <w:tc>
          <w:tcPr>
            <w:tcW w:w="1473"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Počet</w:t>
            </w:r>
          </w:p>
        </w:tc>
        <w:tc>
          <w:tcPr>
            <w:tcW w:w="1473"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Emisný kurz</w:t>
            </w:r>
          </w:p>
        </w:tc>
        <w:tc>
          <w:tcPr>
            <w:tcW w:w="1481"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Úrok</w:t>
            </w:r>
          </w:p>
        </w:tc>
        <w:tc>
          <w:tcPr>
            <w:tcW w:w="1465"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Splatnosť</w:t>
            </w:r>
          </w:p>
        </w:tc>
      </w:tr>
      <w:tr>
        <w:trPr>
          <w:trHeight w:val="397" w:hRule="atLeast"/>
        </w:trPr>
        <w:tc>
          <w:tcPr>
            <w:tcW w:w="2271"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474" w:type="dxa"/>
            <w:tcBorders>
              <w:top w:val="single" w:sz="12"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3" w:type="dxa"/>
            <w:tcBorders>
              <w:top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3" w:type="dxa"/>
            <w:tcBorders>
              <w:top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65" w:type="dxa"/>
            <w:tcBorders>
              <w:top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271"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474" w:type="dxa"/>
            <w:tcBorders>
              <w:top w:val="single" w:sz="6"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3"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3"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65"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271"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474"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3"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3"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65"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271"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474" w:type="dxa"/>
            <w:tcBorders>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3" w:type="dxa"/>
            <w:tcBorders>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3" w:type="dxa"/>
            <w:tcBorders>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65" w:type="dxa"/>
            <w:tcBorders>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zov"/>
        <w:keepNext w:val="false"/>
        <w:widowControl w:val="false"/>
        <w:bidi w:val="0"/>
        <w:spacing w:beforeAutospacing="0" w:before="0" w:after="0"/>
        <w:jc w:val="both"/>
        <w:rPr>
          <w:szCs w:val="22"/>
        </w:rPr>
      </w:pPr>
      <w:r>
        <w:rPr>
          <w:szCs w:val="22"/>
        </w:rPr>
      </w:r>
    </w:p>
    <w:p>
      <w:pPr>
        <w:pStyle w:val="Nzov"/>
        <w:keepNext w:val="false"/>
        <w:widowControl w:val="false"/>
        <w:bidi w:val="0"/>
        <w:spacing w:beforeAutospacing="0" w:before="0" w:after="0"/>
        <w:jc w:val="both"/>
        <w:rPr>
          <w:rFonts w:ascii="Arial" w:hAnsi="Arial" w:cs="Arial"/>
          <w:szCs w:val="22"/>
        </w:rPr>
      </w:pPr>
      <w:r>
        <w:rPr>
          <w:rFonts w:cs="Arial" w:ascii="Arial" w:hAnsi="Arial"/>
          <w:szCs w:val="22"/>
        </w:rPr>
        <w:t>Bankové úvery, pôžičky a návratné finančné výpomoci</w:t>
      </w:r>
    </w:p>
    <w:p>
      <w:pPr>
        <w:pStyle w:val="Normal"/>
        <w:bidi w:val="0"/>
        <w:jc w:val="left"/>
        <w:rPr>
          <w:rFonts w:ascii="Arial" w:hAnsi="Arial" w:cs="Arial"/>
        </w:rPr>
      </w:pPr>
      <w:r>
        <w:rPr>
          <w:rFonts w:cs="Arial" w:ascii="Arial" w:hAnsi="Arial"/>
        </w:rPr>
        <w:t xml:space="preserve">Spoločnosť </w:t>
      </w:r>
      <w:r>
        <w:rPr>
          <w:rFonts w:cs="Arial" w:ascii="Arial" w:hAnsi="Arial"/>
        </w:rPr>
        <w:t>ne</w:t>
      </w:r>
      <w:r>
        <w:rPr>
          <w:rFonts w:cs="Arial" w:ascii="Arial" w:hAnsi="Arial"/>
        </w:rPr>
        <w:t xml:space="preserve">čerpala </w:t>
      </w:r>
      <w:r>
        <w:rPr>
          <w:rFonts w:cs="Arial" w:ascii="Arial" w:hAnsi="Arial"/>
        </w:rPr>
        <w:t xml:space="preserve">žiadny </w:t>
      </w:r>
      <w:r>
        <w:rPr>
          <w:rFonts w:cs="Arial" w:ascii="Arial" w:hAnsi="Arial"/>
        </w:rPr>
        <w:t>úver.</w:t>
      </w:r>
    </w:p>
    <w:p>
      <w:pPr>
        <w:pStyle w:val="Normal"/>
        <w:bidi w:val="0"/>
        <w:jc w:val="left"/>
        <w:rPr>
          <w:rFonts w:ascii="Arial" w:hAnsi="Arial" w:cs="Arial"/>
        </w:rPr>
      </w:pPr>
      <w:r>
        <w:rPr>
          <w:rFonts w:cs="Arial" w:ascii="Arial" w:hAnsi="Arial"/>
        </w:rPr>
      </w:r>
    </w:p>
    <w:p>
      <w:pPr>
        <w:pStyle w:val="Nzov"/>
        <w:keepNext w:val="false"/>
        <w:widowControl w:val="false"/>
        <w:numPr>
          <w:ilvl w:val="0"/>
          <w:numId w:val="7"/>
        </w:numPr>
        <w:bidi w:val="0"/>
        <w:spacing w:beforeAutospacing="0" w:before="0" w:after="0"/>
        <w:jc w:val="both"/>
        <w:rPr>
          <w:szCs w:val="22"/>
        </w:rPr>
      </w:pPr>
      <w:r>
        <w:rPr>
          <w:szCs w:val="22"/>
        </w:rPr>
        <w:t>Informácie k prílohe č. 3 časti G. písm. i) o bankových úveroch, pôžičkách a krátkodobých finančných výpomociach</w:t>
      </w:r>
    </w:p>
    <w:p>
      <w:pPr>
        <w:pStyle w:val="Normal"/>
        <w:bidi w:val="0"/>
        <w:spacing w:lineRule="auto" w:line="240" w:before="0" w:after="0"/>
        <w:jc w:val="left"/>
        <w:rPr>
          <w:szCs w:val="22"/>
        </w:rPr>
      </w:pPr>
      <w:r>
        <w:rPr>
          <w:szCs w:val="22"/>
        </w:rPr>
        <w:t>Tabuľka č. 1</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2313"/>
        <w:gridCol w:w="879"/>
        <w:gridCol w:w="892"/>
        <w:gridCol w:w="1317"/>
        <w:gridCol w:w="1493"/>
        <w:gridCol w:w="1163"/>
        <w:gridCol w:w="1580"/>
      </w:tblGrid>
      <w:tr>
        <w:trPr>
          <w:trHeight w:val="990" w:hRule="atLeast"/>
        </w:trPr>
        <w:tc>
          <w:tcPr>
            <w:tcW w:w="2313" w:type="dxa"/>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879" w:type="dxa"/>
            <w:tcBorders>
              <w:top w:val="single" w:sz="12" w:space="0" w:color="000000"/>
              <w:left w:val="single" w:sz="12" w:space="0" w:color="000000"/>
              <w:right w:val="single" w:sz="12" w:space="0" w:color="000000"/>
            </w:tcBorders>
            <w:vAlign w:val="center"/>
          </w:tcPr>
          <w:p>
            <w:pPr>
              <w:pStyle w:val="TopHeader"/>
              <w:widowControl w:val="false"/>
              <w:bidi w:val="0"/>
              <w:rPr/>
            </w:pPr>
            <w:r>
              <w:rPr/>
              <w:t>Mena</w:t>
            </w:r>
          </w:p>
        </w:tc>
        <w:tc>
          <w:tcPr>
            <w:tcW w:w="892" w:type="dxa"/>
            <w:tcBorders>
              <w:top w:val="single" w:sz="12" w:space="0" w:color="000000"/>
              <w:left w:val="single" w:sz="12" w:space="0" w:color="000000"/>
              <w:right w:val="single" w:sz="12" w:space="0" w:color="000000"/>
            </w:tcBorders>
            <w:vAlign w:val="center"/>
          </w:tcPr>
          <w:p>
            <w:pPr>
              <w:pStyle w:val="TopHeader"/>
              <w:widowControl w:val="false"/>
              <w:bidi w:val="0"/>
              <w:rPr/>
            </w:pPr>
            <w:r>
              <w:rPr/>
              <w:t xml:space="preserve">Úrok </w:t>
              <w:br/>
              <w:t>p. a.</w:t>
            </w:r>
          </w:p>
          <w:p>
            <w:pPr>
              <w:pStyle w:val="TopHeader"/>
              <w:widowControl w:val="false"/>
              <w:bidi w:val="0"/>
              <w:rPr/>
            </w:pPr>
            <w:r>
              <w:rPr/>
              <w:t>v %</w:t>
            </w:r>
          </w:p>
        </w:tc>
        <w:tc>
          <w:tcPr>
            <w:tcW w:w="1317" w:type="dxa"/>
            <w:tcBorders>
              <w:top w:val="single" w:sz="12" w:space="0" w:color="000000"/>
              <w:left w:val="single" w:sz="12" w:space="0" w:color="000000"/>
              <w:right w:val="single" w:sz="12" w:space="0" w:color="000000"/>
            </w:tcBorders>
            <w:vAlign w:val="center"/>
          </w:tcPr>
          <w:p>
            <w:pPr>
              <w:pStyle w:val="TopHeader"/>
              <w:widowControl w:val="false"/>
              <w:bidi w:val="0"/>
              <w:rPr/>
            </w:pPr>
            <w:r>
              <w:rPr/>
              <w:t>Dátum splatnosti</w:t>
            </w:r>
          </w:p>
        </w:tc>
        <w:tc>
          <w:tcPr>
            <w:tcW w:w="1493" w:type="dxa"/>
            <w:tcBorders>
              <w:top w:val="single" w:sz="12" w:space="0" w:color="000000"/>
              <w:left w:val="single" w:sz="12" w:space="0" w:color="000000"/>
              <w:right w:val="single" w:sz="12" w:space="0" w:color="000000"/>
            </w:tcBorders>
            <w:vAlign w:val="center"/>
          </w:tcPr>
          <w:p>
            <w:pPr>
              <w:pStyle w:val="TopHeader"/>
              <w:widowControl w:val="false"/>
              <w:bidi w:val="0"/>
              <w:rPr/>
            </w:pPr>
            <w:r>
              <w:rPr/>
              <w:t>Suma istiny v príslušnej mene</w:t>
              <w:br/>
              <w:t xml:space="preserve"> za bežné účtovné obdobie</w:t>
            </w:r>
          </w:p>
        </w:tc>
        <w:tc>
          <w:tcPr>
            <w:tcW w:w="1163" w:type="dxa"/>
            <w:tcBorders>
              <w:top w:val="single" w:sz="12" w:space="0" w:color="000000"/>
              <w:left w:val="single" w:sz="12" w:space="0" w:color="000000"/>
              <w:right w:val="single" w:sz="12" w:space="0" w:color="000000"/>
            </w:tcBorders>
          </w:tcPr>
          <w:p>
            <w:pPr>
              <w:pStyle w:val="TopHeader"/>
              <w:widowControl w:val="false"/>
              <w:bidi w:val="0"/>
              <w:rPr/>
            </w:pPr>
            <w:r>
              <w:rPr/>
              <w:t>Suma istiny v eurách</w:t>
            </w:r>
          </w:p>
          <w:p>
            <w:pPr>
              <w:pStyle w:val="TopHeader"/>
              <w:widowControl w:val="false"/>
              <w:bidi w:val="0"/>
              <w:rPr/>
            </w:pPr>
            <w:r>
              <w:rPr/>
              <w:t xml:space="preserve"> </w:t>
            </w:r>
            <w:r>
              <w:rPr/>
              <w:t>za bežné účtovné obdobie</w:t>
            </w:r>
          </w:p>
        </w:tc>
        <w:tc>
          <w:tcPr>
            <w:tcW w:w="1580" w:type="dxa"/>
            <w:tcBorders>
              <w:top w:val="single" w:sz="12" w:space="0" w:color="000000"/>
              <w:left w:val="single" w:sz="12" w:space="0" w:color="000000"/>
              <w:right w:val="single" w:sz="12" w:space="0" w:color="000000"/>
            </w:tcBorders>
            <w:vAlign w:val="center"/>
          </w:tcPr>
          <w:p>
            <w:pPr>
              <w:pStyle w:val="TopHeader"/>
              <w:widowControl w:val="false"/>
              <w:bidi w:val="0"/>
              <w:rPr/>
            </w:pPr>
            <w:r>
              <w:rPr/>
              <w:t>Suma istiny v príslušnej mene za bezprostred-ne predchá-dzajúce účtovné obdobie</w:t>
            </w:r>
          </w:p>
        </w:tc>
      </w:tr>
      <w:tr>
        <w:trPr>
          <w:trHeight w:val="330" w:hRule="atLeast"/>
        </w:trPr>
        <w:tc>
          <w:tcPr>
            <w:tcW w:w="2313"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a</w:t>
            </w:r>
          </w:p>
        </w:tc>
        <w:tc>
          <w:tcPr>
            <w:tcW w:w="879"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b</w:t>
            </w:r>
          </w:p>
        </w:tc>
        <w:tc>
          <w:tcPr>
            <w:tcW w:w="892"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c</w:t>
            </w:r>
          </w:p>
        </w:tc>
        <w:tc>
          <w:tcPr>
            <w:tcW w:w="1317"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d</w:t>
            </w:r>
          </w:p>
        </w:tc>
        <w:tc>
          <w:tcPr>
            <w:tcW w:w="1493"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e</w:t>
            </w:r>
          </w:p>
        </w:tc>
        <w:tc>
          <w:tcPr>
            <w:tcW w:w="1163"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f</w:t>
            </w:r>
          </w:p>
        </w:tc>
        <w:tc>
          <w:tcPr>
            <w:tcW w:w="1580"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g</w:t>
            </w:r>
          </w:p>
        </w:tc>
      </w:tr>
      <w:tr>
        <w:trPr>
          <w:trHeight w:val="330" w:hRule="atLeast"/>
        </w:trPr>
        <w:tc>
          <w:tcPr>
            <w:tcW w:w="9637" w:type="dxa"/>
            <w:gridSpan w:val="7"/>
            <w:tcBorders>
              <w:top w:val="single" w:sz="12" w:space="0" w:color="000000"/>
              <w:left w:val="single" w:sz="12" w:space="0" w:color="000000"/>
              <w:bottom w:val="single" w:sz="12" w:space="0" w:color="000000"/>
              <w:right w:val="single" w:sz="12" w:space="0" w:color="000000"/>
            </w:tcBorders>
          </w:tcPr>
          <w:p>
            <w:pPr>
              <w:pStyle w:val="Normal"/>
              <w:widowControl w:val="false"/>
              <w:bidi w:val="0"/>
              <w:spacing w:lineRule="auto" w:line="240" w:before="0" w:after="0"/>
              <w:jc w:val="left"/>
              <w:rPr>
                <w:szCs w:val="22"/>
              </w:rPr>
            </w:pPr>
            <w:r>
              <w:rPr>
                <w:b/>
                <w:bCs/>
                <w:szCs w:val="22"/>
              </w:rPr>
              <w:t>Dlhodobé bankové úvery</w:t>
            </w:r>
          </w:p>
        </w:tc>
      </w:tr>
      <w:tr>
        <w:trPr>
          <w:trHeight w:val="397" w:hRule="atLeast"/>
        </w:trPr>
        <w:tc>
          <w:tcPr>
            <w:tcW w:w="2313"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úver</w:t>
            </w:r>
          </w:p>
        </w:tc>
        <w:tc>
          <w:tcPr>
            <w:tcW w:w="879"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EUR</w:t>
            </w:r>
          </w:p>
        </w:tc>
        <w:tc>
          <w:tcPr>
            <w:tcW w:w="892"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17"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493"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63" w:type="dxa"/>
            <w:tcBorders>
              <w:top w:val="single" w:sz="12"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r>
          </w:p>
        </w:tc>
        <w:tc>
          <w:tcPr>
            <w:tcW w:w="1580"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231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879"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31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879"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30" w:hRule="atLeast"/>
        </w:trPr>
        <w:tc>
          <w:tcPr>
            <w:tcW w:w="9637" w:type="dxa"/>
            <w:gridSpan w:val="7"/>
            <w:tcBorders>
              <w:top w:val="single" w:sz="12" w:space="0" w:color="000000"/>
              <w:left w:val="single" w:sz="12" w:space="0" w:color="000000"/>
              <w:bottom w:val="single" w:sz="12" w:space="0" w:color="000000"/>
              <w:right w:val="single" w:sz="12" w:space="0" w:color="000000"/>
            </w:tcBorders>
          </w:tcPr>
          <w:p>
            <w:pPr>
              <w:pStyle w:val="Normal"/>
              <w:widowControl w:val="false"/>
              <w:bidi w:val="0"/>
              <w:spacing w:lineRule="auto" w:line="240" w:before="0" w:after="0"/>
              <w:jc w:val="left"/>
              <w:rPr>
                <w:szCs w:val="22"/>
              </w:rPr>
            </w:pPr>
            <w:r>
              <w:rPr>
                <w:b/>
                <w:bCs/>
                <w:szCs w:val="22"/>
              </w:rPr>
              <w:t>Krátkodobé bankové úvery</w:t>
            </w:r>
          </w:p>
        </w:tc>
      </w:tr>
      <w:tr>
        <w:trPr>
          <w:trHeight w:val="397" w:hRule="atLeast"/>
        </w:trPr>
        <w:tc>
          <w:tcPr>
            <w:tcW w:w="2313"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879"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92"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17"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93"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63" w:type="dxa"/>
            <w:tcBorders>
              <w:top w:val="single" w:sz="12"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31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879"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313"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879"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92"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1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93"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63" w:type="dxa"/>
            <w:tcBorders>
              <w:top w:val="single" w:sz="4" w:space="0" w:color="000000"/>
              <w:left w:val="single" w:sz="4" w:space="0" w:color="000000"/>
              <w:bottom w:val="single" w:sz="12"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t>Tabuľka č. 2</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2313"/>
        <w:gridCol w:w="913"/>
        <w:gridCol w:w="858"/>
        <w:gridCol w:w="1324"/>
        <w:gridCol w:w="1471"/>
        <w:gridCol w:w="1178"/>
        <w:gridCol w:w="1580"/>
      </w:tblGrid>
      <w:tr>
        <w:trPr>
          <w:trHeight w:val="990" w:hRule="atLeast"/>
        </w:trPr>
        <w:tc>
          <w:tcPr>
            <w:tcW w:w="2313" w:type="dxa"/>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913" w:type="dxa"/>
            <w:tcBorders>
              <w:top w:val="single" w:sz="12" w:space="0" w:color="000000"/>
              <w:left w:val="single" w:sz="12" w:space="0" w:color="000000"/>
              <w:right w:val="single" w:sz="12" w:space="0" w:color="000000"/>
            </w:tcBorders>
            <w:vAlign w:val="center"/>
          </w:tcPr>
          <w:p>
            <w:pPr>
              <w:pStyle w:val="TopHeader"/>
              <w:widowControl w:val="false"/>
              <w:bidi w:val="0"/>
              <w:rPr/>
            </w:pPr>
            <w:r>
              <w:rPr/>
              <w:t>Mena</w:t>
            </w:r>
          </w:p>
        </w:tc>
        <w:tc>
          <w:tcPr>
            <w:tcW w:w="858" w:type="dxa"/>
            <w:tcBorders>
              <w:top w:val="single" w:sz="12" w:space="0" w:color="000000"/>
              <w:left w:val="single" w:sz="12" w:space="0" w:color="000000"/>
              <w:right w:val="single" w:sz="12" w:space="0" w:color="000000"/>
            </w:tcBorders>
            <w:vAlign w:val="center"/>
          </w:tcPr>
          <w:p>
            <w:pPr>
              <w:pStyle w:val="TopHeader"/>
              <w:widowControl w:val="false"/>
              <w:bidi w:val="0"/>
              <w:rPr/>
            </w:pPr>
            <w:r>
              <w:rPr/>
              <w:t xml:space="preserve">Úrok </w:t>
              <w:br/>
              <w:t>p. a.</w:t>
            </w:r>
          </w:p>
          <w:p>
            <w:pPr>
              <w:pStyle w:val="TopHeader"/>
              <w:widowControl w:val="false"/>
              <w:bidi w:val="0"/>
              <w:rPr/>
            </w:pPr>
            <w:r>
              <w:rPr/>
              <w:t>v %</w:t>
            </w:r>
          </w:p>
        </w:tc>
        <w:tc>
          <w:tcPr>
            <w:tcW w:w="1324" w:type="dxa"/>
            <w:tcBorders>
              <w:top w:val="single" w:sz="12" w:space="0" w:color="000000"/>
              <w:left w:val="single" w:sz="12" w:space="0" w:color="000000"/>
              <w:right w:val="single" w:sz="12" w:space="0" w:color="000000"/>
            </w:tcBorders>
            <w:vAlign w:val="center"/>
          </w:tcPr>
          <w:p>
            <w:pPr>
              <w:pStyle w:val="TopHeader"/>
              <w:widowControl w:val="false"/>
              <w:bidi w:val="0"/>
              <w:rPr/>
            </w:pPr>
            <w:r>
              <w:rPr/>
              <w:t>Dátum splatnosti</w:t>
            </w:r>
          </w:p>
        </w:tc>
        <w:tc>
          <w:tcPr>
            <w:tcW w:w="1471" w:type="dxa"/>
            <w:tcBorders>
              <w:top w:val="single" w:sz="12" w:space="0" w:color="000000"/>
              <w:left w:val="single" w:sz="12" w:space="0" w:color="000000"/>
              <w:right w:val="single" w:sz="12" w:space="0" w:color="000000"/>
            </w:tcBorders>
            <w:vAlign w:val="center"/>
          </w:tcPr>
          <w:p>
            <w:pPr>
              <w:pStyle w:val="TopHeader"/>
              <w:widowControl w:val="false"/>
              <w:bidi w:val="0"/>
              <w:rPr/>
            </w:pPr>
            <w:r>
              <w:rPr/>
              <w:t>Suma istiny v príslušnej mene</w:t>
              <w:br/>
              <w:t xml:space="preserve"> za bežné účtovné obdobie</w:t>
            </w:r>
          </w:p>
        </w:tc>
        <w:tc>
          <w:tcPr>
            <w:tcW w:w="1178" w:type="dxa"/>
            <w:tcBorders>
              <w:top w:val="single" w:sz="12" w:space="0" w:color="000000"/>
              <w:left w:val="single" w:sz="12" w:space="0" w:color="000000"/>
              <w:right w:val="single" w:sz="12" w:space="0" w:color="000000"/>
            </w:tcBorders>
          </w:tcPr>
          <w:p>
            <w:pPr>
              <w:pStyle w:val="TopHeader"/>
              <w:widowControl w:val="false"/>
              <w:bidi w:val="0"/>
              <w:rPr/>
            </w:pPr>
            <w:r>
              <w:rPr/>
              <w:t>Suma istiny v eurách</w:t>
            </w:r>
          </w:p>
          <w:p>
            <w:pPr>
              <w:pStyle w:val="TopHeader"/>
              <w:widowControl w:val="false"/>
              <w:bidi w:val="0"/>
              <w:rPr/>
            </w:pPr>
            <w:r>
              <w:rPr/>
              <w:t xml:space="preserve"> </w:t>
            </w:r>
            <w:r>
              <w:rPr/>
              <w:t>za bežné účtovné obdobie</w:t>
            </w:r>
          </w:p>
        </w:tc>
        <w:tc>
          <w:tcPr>
            <w:tcW w:w="1580" w:type="dxa"/>
            <w:tcBorders>
              <w:top w:val="single" w:sz="12" w:space="0" w:color="000000"/>
              <w:left w:val="single" w:sz="12" w:space="0" w:color="000000"/>
              <w:right w:val="single" w:sz="12" w:space="0" w:color="000000"/>
            </w:tcBorders>
            <w:vAlign w:val="center"/>
          </w:tcPr>
          <w:p>
            <w:pPr>
              <w:pStyle w:val="TopHeader"/>
              <w:widowControl w:val="false"/>
              <w:bidi w:val="0"/>
              <w:rPr/>
            </w:pPr>
            <w:r>
              <w:rPr/>
              <w:t>Suma istiny v príslušnej mene za bezprostredne predchádzajú-ce účtovné obdobie</w:t>
            </w:r>
          </w:p>
        </w:tc>
      </w:tr>
      <w:tr>
        <w:trPr>
          <w:trHeight w:val="330" w:hRule="atLeast"/>
        </w:trPr>
        <w:tc>
          <w:tcPr>
            <w:tcW w:w="2313"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bCs/>
                <w:szCs w:val="22"/>
              </w:rPr>
            </w:pPr>
            <w:r>
              <w:rPr>
                <w:bCs/>
                <w:szCs w:val="22"/>
              </w:rPr>
              <w:t>a</w:t>
            </w:r>
          </w:p>
        </w:tc>
        <w:tc>
          <w:tcPr>
            <w:tcW w:w="913"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b</w:t>
            </w:r>
          </w:p>
        </w:tc>
        <w:tc>
          <w:tcPr>
            <w:tcW w:w="858"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c</w:t>
            </w:r>
          </w:p>
        </w:tc>
        <w:tc>
          <w:tcPr>
            <w:tcW w:w="132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d</w:t>
            </w:r>
          </w:p>
        </w:tc>
        <w:tc>
          <w:tcPr>
            <w:tcW w:w="1471"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e</w:t>
            </w:r>
          </w:p>
        </w:tc>
        <w:tc>
          <w:tcPr>
            <w:tcW w:w="1178"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f</w:t>
            </w:r>
          </w:p>
        </w:tc>
        <w:tc>
          <w:tcPr>
            <w:tcW w:w="1580"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g</w:t>
            </w:r>
          </w:p>
        </w:tc>
      </w:tr>
      <w:tr>
        <w:trPr>
          <w:trHeight w:val="330" w:hRule="atLeast"/>
        </w:trPr>
        <w:tc>
          <w:tcPr>
            <w:tcW w:w="9637" w:type="dxa"/>
            <w:gridSpan w:val="7"/>
            <w:tcBorders>
              <w:top w:val="single" w:sz="12" w:space="0" w:color="000000"/>
              <w:left w:val="single" w:sz="12" w:space="0" w:color="000000"/>
              <w:bottom w:val="single" w:sz="12" w:space="0" w:color="000000"/>
              <w:right w:val="single" w:sz="12" w:space="0" w:color="000000"/>
            </w:tcBorders>
          </w:tcPr>
          <w:p>
            <w:pPr>
              <w:pStyle w:val="Normal"/>
              <w:widowControl w:val="false"/>
              <w:bidi w:val="0"/>
              <w:spacing w:lineRule="auto" w:line="240" w:before="0" w:after="0"/>
              <w:jc w:val="left"/>
              <w:rPr>
                <w:szCs w:val="22"/>
              </w:rPr>
            </w:pPr>
            <w:r>
              <w:rPr>
                <w:b/>
                <w:bCs/>
                <w:szCs w:val="22"/>
              </w:rPr>
              <w:t>Dlhodobé pôžičky</w:t>
            </w:r>
          </w:p>
        </w:tc>
      </w:tr>
      <w:tr>
        <w:trPr>
          <w:trHeight w:val="397" w:hRule="atLeast"/>
        </w:trPr>
        <w:tc>
          <w:tcPr>
            <w:tcW w:w="2313"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913"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8"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24"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1"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8" w:type="dxa"/>
            <w:tcBorders>
              <w:top w:val="single" w:sz="12"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31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913"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31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913"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30" w:hRule="atLeast"/>
        </w:trPr>
        <w:tc>
          <w:tcPr>
            <w:tcW w:w="9637" w:type="dxa"/>
            <w:gridSpan w:val="7"/>
            <w:tcBorders>
              <w:top w:val="single" w:sz="12" w:space="0" w:color="000000"/>
              <w:left w:val="single" w:sz="12" w:space="0" w:color="000000"/>
              <w:bottom w:val="single" w:sz="12" w:space="0" w:color="000000"/>
              <w:right w:val="single" w:sz="12" w:space="0" w:color="000000"/>
            </w:tcBorders>
          </w:tcPr>
          <w:p>
            <w:pPr>
              <w:pStyle w:val="Normal"/>
              <w:widowControl w:val="false"/>
              <w:bidi w:val="0"/>
              <w:spacing w:lineRule="auto" w:line="240" w:before="0" w:after="0"/>
              <w:jc w:val="left"/>
              <w:rPr>
                <w:szCs w:val="22"/>
              </w:rPr>
            </w:pPr>
            <w:r>
              <w:rPr>
                <w:b/>
                <w:bCs/>
                <w:szCs w:val="22"/>
              </w:rPr>
              <w:t>Krátkodobé pôžičky</w:t>
            </w:r>
          </w:p>
        </w:tc>
      </w:tr>
      <w:tr>
        <w:trPr>
          <w:trHeight w:val="397" w:hRule="atLeast"/>
        </w:trPr>
        <w:tc>
          <w:tcPr>
            <w:tcW w:w="2313"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913"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8"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24"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1"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8" w:type="dxa"/>
            <w:tcBorders>
              <w:top w:val="single" w:sz="12"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31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913"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31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913"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45" w:hRule="atLeast"/>
        </w:trPr>
        <w:tc>
          <w:tcPr>
            <w:tcW w:w="9637" w:type="dxa"/>
            <w:gridSpan w:val="7"/>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b/>
                <w:bCs/>
                <w:szCs w:val="22"/>
              </w:rPr>
              <w:t>Krátkodobé finančné výpomoci</w:t>
            </w:r>
          </w:p>
        </w:tc>
      </w:tr>
      <w:tr>
        <w:trPr>
          <w:trHeight w:val="397" w:hRule="atLeast"/>
        </w:trPr>
        <w:tc>
          <w:tcPr>
            <w:tcW w:w="2313"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913"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313"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913"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8"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324"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71"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8" w:type="dxa"/>
            <w:tcBorders>
              <w:top w:val="single" w:sz="4" w:space="0" w:color="000000"/>
              <w:left w:val="single" w:sz="4" w:space="0" w:color="000000"/>
              <w:bottom w:val="single" w:sz="12" w:space="0" w:color="000000"/>
              <w:right w:val="single" w:sz="4" w:space="0" w:color="000000"/>
            </w:tcBorders>
          </w:tcPr>
          <w:p>
            <w:pPr>
              <w:pStyle w:val="Normal"/>
              <w:widowControl w:val="false"/>
              <w:bidi w:val="0"/>
              <w:spacing w:lineRule="auto" w:line="240" w:before="0" w:after="0"/>
              <w:jc w:val="left"/>
              <w:rPr>
                <w:szCs w:val="22"/>
              </w:rPr>
            </w:pPr>
            <w:r>
              <w:rPr>
                <w:szCs w:val="22"/>
              </w:rPr>
            </w:r>
          </w:p>
        </w:tc>
        <w:tc>
          <w:tcPr>
            <w:tcW w:w="1580" w:type="dxa"/>
            <w:tcBorders>
              <w:top w:val="single" w:sz="4" w:space="0" w:color="000000"/>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ormal"/>
        <w:bidi w:val="0"/>
        <w:spacing w:lineRule="auto" w:line="240" w:before="0" w:after="0"/>
        <w:jc w:val="left"/>
        <w:rPr>
          <w:rFonts w:ascii="Arial" w:hAnsi="Arial" w:cs="Arial"/>
          <w:b/>
          <w:szCs w:val="22"/>
        </w:rPr>
      </w:pPr>
      <w:r>
        <w:rPr>
          <w:rFonts w:cs="Arial" w:ascii="Arial" w:hAnsi="Arial"/>
          <w:b/>
          <w:szCs w:val="22"/>
        </w:rPr>
      </w:r>
    </w:p>
    <w:p>
      <w:pPr>
        <w:pStyle w:val="Normal"/>
        <w:bidi w:val="0"/>
        <w:spacing w:lineRule="auto" w:line="240" w:before="0" w:after="0"/>
        <w:jc w:val="both"/>
        <w:rPr>
          <w:rFonts w:ascii="Arial" w:hAnsi="Arial" w:cs="Arial"/>
          <w:b/>
          <w:szCs w:val="22"/>
        </w:rPr>
      </w:pPr>
      <w:r>
        <w:rPr>
          <w:rFonts w:cs="Arial" w:ascii="Arial" w:hAnsi="Arial"/>
          <w:b/>
          <w:szCs w:val="22"/>
        </w:rPr>
        <w:t>významné položky časového rozlíšenia výdavkov budúcich období a výnosov budúcich období</w:t>
      </w:r>
    </w:p>
    <w:p>
      <w:pPr>
        <w:pStyle w:val="Normal"/>
        <w:bidi w:val="0"/>
        <w:spacing w:lineRule="auto" w:line="240" w:before="0" w:after="0"/>
        <w:jc w:val="both"/>
        <w:rPr>
          <w:rFonts w:ascii="Arial" w:hAnsi="Arial" w:cs="Arial"/>
          <w:b/>
          <w:szCs w:val="22"/>
        </w:rPr>
      </w:pPr>
      <w:r>
        <w:rPr>
          <w:rFonts w:cs="Arial" w:ascii="Arial" w:hAnsi="Arial"/>
          <w:b/>
          <w:szCs w:val="22"/>
        </w:rPr>
      </w:r>
    </w:p>
    <w:p>
      <w:pPr>
        <w:pStyle w:val="Normal"/>
        <w:bidi w:val="0"/>
        <w:spacing w:lineRule="auto" w:line="240" w:before="0" w:after="0"/>
        <w:jc w:val="both"/>
        <w:rPr>
          <w:rFonts w:ascii="Arial" w:hAnsi="Arial" w:cs="Arial"/>
          <w:szCs w:val="22"/>
        </w:rPr>
      </w:pPr>
      <w:r>
        <w:rPr>
          <w:rFonts w:cs="Arial" w:ascii="Arial" w:hAnsi="Arial"/>
          <w:szCs w:val="22"/>
        </w:rPr>
        <w:t>Spoločnosť nemá žiadne významné položky časového rozlíšenia výdavkov budúcich období a výnosov budúcich období.</w:t>
      </w:r>
    </w:p>
    <w:p>
      <w:pPr>
        <w:pStyle w:val="Normal"/>
        <w:bidi w:val="0"/>
        <w:spacing w:lineRule="auto" w:line="240" w:before="0" w:after="0"/>
        <w:jc w:val="both"/>
        <w:rPr>
          <w:rFonts w:ascii="Arial" w:hAnsi="Arial" w:cs="Arial"/>
          <w:szCs w:val="22"/>
        </w:rPr>
      </w:pPr>
      <w:r>
        <w:rPr>
          <w:rFonts w:cs="Arial" w:ascii="Arial" w:hAnsi="Arial"/>
          <w:szCs w:val="22"/>
        </w:rPr>
      </w:r>
    </w:p>
    <w:p>
      <w:pPr>
        <w:pStyle w:val="Normal"/>
        <w:bidi w:val="0"/>
        <w:spacing w:lineRule="auto" w:line="240" w:before="0" w:after="0"/>
        <w:jc w:val="both"/>
        <w:rPr>
          <w:rFonts w:ascii="Arial" w:hAnsi="Arial" w:cs="Arial"/>
          <w:b/>
          <w:szCs w:val="22"/>
        </w:rPr>
      </w:pPr>
      <w:r>
        <w:rPr>
          <w:rFonts w:cs="Arial" w:ascii="Arial" w:hAnsi="Arial"/>
          <w:b/>
          <w:szCs w:val="22"/>
        </w:rPr>
        <w:t>významné položky derivátov</w:t>
      </w:r>
    </w:p>
    <w:p>
      <w:pPr>
        <w:pStyle w:val="Normal"/>
        <w:bidi w:val="0"/>
        <w:spacing w:lineRule="auto" w:line="240" w:before="0" w:after="0"/>
        <w:jc w:val="both"/>
        <w:rPr>
          <w:rFonts w:ascii="Arial" w:hAnsi="Arial" w:cs="Arial"/>
          <w:szCs w:val="22"/>
        </w:rPr>
      </w:pPr>
      <w:r>
        <w:rPr>
          <w:rFonts w:cs="Arial" w:ascii="Arial" w:hAnsi="Arial"/>
          <w:szCs w:val="22"/>
        </w:rPr>
        <w:t>Spoločnosť nemá žiadne významné položky derivátov.</w:t>
      </w:r>
    </w:p>
    <w:p>
      <w:pPr>
        <w:pStyle w:val="Normal"/>
        <w:bidi w:val="0"/>
        <w:spacing w:lineRule="auto" w:line="240" w:before="0" w:after="0"/>
        <w:jc w:val="left"/>
        <w:rPr>
          <w:rFonts w:ascii="Arial" w:hAnsi="Arial" w:cs="Arial"/>
          <w:szCs w:val="22"/>
        </w:rPr>
      </w:pPr>
      <w:r>
        <w:rPr>
          <w:rFonts w:cs="Arial" w:ascii="Arial" w:hAnsi="Arial"/>
          <w:szCs w:val="22"/>
        </w:rPr>
      </w:r>
    </w:p>
    <w:p>
      <w:pPr>
        <w:pStyle w:val="Nzov"/>
        <w:numPr>
          <w:ilvl w:val="0"/>
          <w:numId w:val="7"/>
        </w:numPr>
        <w:bidi w:val="0"/>
        <w:spacing w:beforeAutospacing="0" w:before="0" w:after="0"/>
        <w:jc w:val="both"/>
        <w:rPr>
          <w:szCs w:val="22"/>
        </w:rPr>
      </w:pPr>
      <w:r>
        <w:rPr>
          <w:szCs w:val="22"/>
        </w:rPr>
        <w:t xml:space="preserve">Informácie k prílohe č. 3 časti  G. písm. k) o významných položkách derivátov za bežné účtovné obdobie </w:t>
      </w:r>
    </w:p>
    <w:p>
      <w:pPr>
        <w:pStyle w:val="Normal"/>
        <w:bidi w:val="0"/>
        <w:spacing w:lineRule="auto" w:line="240" w:before="0" w:after="0"/>
        <w:jc w:val="left"/>
        <w:rPr>
          <w:szCs w:val="22"/>
        </w:rPr>
      </w:pPr>
      <w:r>
        <w:rPr>
          <w:szCs w:val="22"/>
        </w:rPr>
        <w:t>Tabuľka č. 1</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4106"/>
        <w:gridCol w:w="1550"/>
        <w:gridCol w:w="15"/>
        <w:gridCol w:w="1680"/>
        <w:gridCol w:w="2286"/>
      </w:tblGrid>
      <w:tr>
        <w:trPr>
          <w:trHeight w:val="278" w:hRule="atLeast"/>
        </w:trPr>
        <w:tc>
          <w:tcPr>
            <w:tcW w:w="4106"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3245" w:type="dxa"/>
            <w:gridSpan w:val="3"/>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Účtovná hodnota</w:t>
            </w:r>
          </w:p>
        </w:tc>
        <w:tc>
          <w:tcPr>
            <w:tcW w:w="2286"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Dohodnutá cena podkladového nástroja</w:t>
            </w:r>
          </w:p>
        </w:tc>
      </w:tr>
      <w:tr>
        <w:trPr>
          <w:trHeight w:val="284" w:hRule="atLeast"/>
        </w:trPr>
        <w:tc>
          <w:tcPr>
            <w:tcW w:w="4106"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550"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pohľadávky</w:t>
            </w:r>
          </w:p>
        </w:tc>
        <w:tc>
          <w:tcPr>
            <w:tcW w:w="1695" w:type="dxa"/>
            <w:gridSpan w:val="2"/>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center"/>
              <w:rPr>
                <w:b/>
                <w:szCs w:val="22"/>
              </w:rPr>
            </w:pPr>
            <w:r>
              <w:rPr>
                <w:b/>
                <w:szCs w:val="22"/>
              </w:rPr>
              <w:t>záväzku</w:t>
            </w:r>
          </w:p>
        </w:tc>
        <w:tc>
          <w:tcPr>
            <w:tcW w:w="2286"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r>
      <w:tr>
        <w:trPr>
          <w:trHeight w:val="106" w:hRule="atLeast"/>
        </w:trPr>
        <w:tc>
          <w:tcPr>
            <w:tcW w:w="4106"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a</w:t>
            </w:r>
          </w:p>
        </w:tc>
        <w:tc>
          <w:tcPr>
            <w:tcW w:w="1550"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b</w:t>
            </w:r>
          </w:p>
        </w:tc>
        <w:tc>
          <w:tcPr>
            <w:tcW w:w="1695" w:type="dxa"/>
            <w:gridSpan w:val="2"/>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c</w:t>
            </w:r>
          </w:p>
        </w:tc>
        <w:tc>
          <w:tcPr>
            <w:tcW w:w="2286"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d</w:t>
            </w:r>
          </w:p>
        </w:tc>
      </w:tr>
      <w:tr>
        <w:trPr>
          <w:trHeight w:val="330" w:hRule="atLeast"/>
        </w:trPr>
        <w:tc>
          <w:tcPr>
            <w:tcW w:w="4106"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Deriváty určené na obchodovanie, z toho:</w:t>
            </w:r>
          </w:p>
        </w:tc>
        <w:tc>
          <w:tcPr>
            <w:tcW w:w="1550" w:type="dxa"/>
            <w:tcBorders>
              <w:top w:val="single" w:sz="12"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left"/>
              <w:rPr>
                <w:b/>
                <w:szCs w:val="22"/>
              </w:rPr>
            </w:pPr>
            <w:r>
              <w:rPr>
                <w:b/>
                <w:szCs w:val="22"/>
              </w:rPr>
            </w:r>
          </w:p>
        </w:tc>
        <w:tc>
          <w:tcPr>
            <w:tcW w:w="1695" w:type="dxa"/>
            <w:gridSpan w:val="2"/>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left"/>
              <w:rPr>
                <w:b/>
                <w:szCs w:val="22"/>
              </w:rPr>
            </w:pPr>
            <w:r>
              <w:rPr>
                <w:b/>
                <w:szCs w:val="22"/>
              </w:rPr>
            </w:r>
          </w:p>
        </w:tc>
        <w:tc>
          <w:tcPr>
            <w:tcW w:w="2286" w:type="dxa"/>
            <w:tcBorders>
              <w:top w:val="single" w:sz="12"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r>
          </w:p>
        </w:tc>
      </w:tr>
      <w:tr>
        <w:trPr>
          <w:trHeight w:val="397" w:hRule="atLeast"/>
        </w:trPr>
        <w:tc>
          <w:tcPr>
            <w:tcW w:w="4106" w:type="dxa"/>
            <w:tcBorders>
              <w:top w:val="single" w:sz="12"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550" w:type="dxa"/>
            <w:tcBorders>
              <w:top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95" w:type="dxa"/>
            <w:gridSpan w:val="2"/>
            <w:tcBorders>
              <w:top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286" w:type="dxa"/>
            <w:tcBorders>
              <w:top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4106"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550"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95" w:type="dxa"/>
            <w:gridSpan w:val="2"/>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286"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4106"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550"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95" w:type="dxa"/>
            <w:gridSpan w:val="2"/>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286"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4106"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550" w:type="dxa"/>
            <w:tcBorders>
              <w:top w:val="single" w:sz="6"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95" w:type="dxa"/>
            <w:gridSpan w:val="2"/>
            <w:tcBorders>
              <w:top w:val="single" w:sz="6"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286" w:type="dxa"/>
            <w:tcBorders>
              <w:top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4106"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Zabezpečovacie deriváty, z toho:</w:t>
            </w:r>
          </w:p>
        </w:tc>
        <w:tc>
          <w:tcPr>
            <w:tcW w:w="1550"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95" w:type="dxa"/>
            <w:gridSpan w:val="2"/>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286" w:type="dxa"/>
            <w:tcBorders>
              <w:top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4106"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565" w:type="dxa"/>
            <w:gridSpan w:val="2"/>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80"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286"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4106"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565" w:type="dxa"/>
            <w:gridSpan w:val="2"/>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80"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286" w:type="dxa"/>
            <w:tcBorders>
              <w:top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4106"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565" w:type="dxa"/>
            <w:gridSpan w:val="2"/>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80"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286" w:type="dxa"/>
            <w:tcBorders>
              <w:top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4106" w:type="dxa"/>
            <w:tcBorders>
              <w:top w:val="single" w:sz="6"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r>
          </w:p>
        </w:tc>
        <w:tc>
          <w:tcPr>
            <w:tcW w:w="1565" w:type="dxa"/>
            <w:gridSpan w:val="2"/>
            <w:tcBorders>
              <w:top w:val="single" w:sz="6"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680" w:type="dxa"/>
            <w:tcBorders>
              <w:top w:val="single" w:sz="6"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2286" w:type="dxa"/>
            <w:tcBorders>
              <w:top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t>Tabuľka č. 2</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4095"/>
        <w:gridCol w:w="1737"/>
        <w:gridCol w:w="1036"/>
        <w:gridCol w:w="1772"/>
        <w:gridCol w:w="998"/>
      </w:tblGrid>
      <w:tr>
        <w:trPr>
          <w:trHeight w:val="622" w:hRule="atLeast"/>
        </w:trPr>
        <w:tc>
          <w:tcPr>
            <w:tcW w:w="4095"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2773" w:type="dxa"/>
            <w:gridSpan w:val="2"/>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c>
          <w:tcPr>
            <w:tcW w:w="2770" w:type="dxa"/>
            <w:gridSpan w:val="2"/>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330" w:hRule="atLeast"/>
        </w:trPr>
        <w:tc>
          <w:tcPr>
            <w:tcW w:w="4095"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2773" w:type="dxa"/>
            <w:gridSpan w:val="2"/>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 xml:space="preserve">Zmena reálnej hodnoty </w:t>
              <w:br/>
              <w:t>(+/-) s vplyvom na</w:t>
            </w:r>
          </w:p>
        </w:tc>
        <w:tc>
          <w:tcPr>
            <w:tcW w:w="2770" w:type="dxa"/>
            <w:gridSpan w:val="2"/>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Zmena reálnej hodnoty (+/-) s vplyvom na</w:t>
            </w:r>
          </w:p>
        </w:tc>
      </w:tr>
      <w:tr>
        <w:trPr>
          <w:trHeight w:val="345" w:hRule="atLeast"/>
        </w:trPr>
        <w:tc>
          <w:tcPr>
            <w:tcW w:w="4095"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737" w:type="dxa"/>
            <w:tcBorders>
              <w:top w:val="single" w:sz="12" w:space="0" w:color="000000"/>
              <w:left w:val="single" w:sz="12" w:space="0" w:color="000000"/>
              <w:right w:val="single" w:sz="12" w:space="0" w:color="000000"/>
            </w:tcBorders>
            <w:vAlign w:val="center"/>
          </w:tcPr>
          <w:p>
            <w:pPr>
              <w:pStyle w:val="TopHeader"/>
              <w:widowControl w:val="false"/>
              <w:bidi w:val="0"/>
              <w:rPr/>
            </w:pPr>
            <w:r>
              <w:rPr/>
              <w:t>výsledok hospodárenia</w:t>
            </w:r>
          </w:p>
        </w:tc>
        <w:tc>
          <w:tcPr>
            <w:tcW w:w="1036" w:type="dxa"/>
            <w:tcBorders>
              <w:top w:val="single" w:sz="12" w:space="0" w:color="000000"/>
              <w:left w:val="single" w:sz="12" w:space="0" w:color="000000"/>
              <w:right w:val="single" w:sz="12" w:space="0" w:color="000000"/>
            </w:tcBorders>
            <w:vAlign w:val="center"/>
          </w:tcPr>
          <w:p>
            <w:pPr>
              <w:pStyle w:val="TopHeader"/>
              <w:widowControl w:val="false"/>
              <w:bidi w:val="0"/>
              <w:rPr/>
            </w:pPr>
            <w:r>
              <w:rPr/>
              <w:t>vlastné imanie</w:t>
            </w:r>
          </w:p>
        </w:tc>
        <w:tc>
          <w:tcPr>
            <w:tcW w:w="1772" w:type="dxa"/>
            <w:tcBorders>
              <w:top w:val="single" w:sz="12" w:space="0" w:color="000000"/>
              <w:left w:val="single" w:sz="12" w:space="0" w:color="000000"/>
              <w:right w:val="single" w:sz="12" w:space="0" w:color="000000"/>
            </w:tcBorders>
            <w:vAlign w:val="center"/>
          </w:tcPr>
          <w:p>
            <w:pPr>
              <w:pStyle w:val="TopHeader"/>
              <w:widowControl w:val="false"/>
              <w:bidi w:val="0"/>
              <w:rPr/>
            </w:pPr>
            <w:r>
              <w:rPr/>
              <w:t>výsledok hospodárenia</w:t>
            </w:r>
          </w:p>
        </w:tc>
        <w:tc>
          <w:tcPr>
            <w:tcW w:w="998" w:type="dxa"/>
            <w:tcBorders>
              <w:top w:val="single" w:sz="12" w:space="0" w:color="000000"/>
              <w:left w:val="single" w:sz="12" w:space="0" w:color="000000"/>
              <w:right w:val="single" w:sz="12" w:space="0" w:color="000000"/>
            </w:tcBorders>
            <w:vAlign w:val="center"/>
          </w:tcPr>
          <w:p>
            <w:pPr>
              <w:pStyle w:val="TopHeader"/>
              <w:widowControl w:val="false"/>
              <w:bidi w:val="0"/>
              <w:rPr/>
            </w:pPr>
            <w:r>
              <w:rPr/>
              <w:t>vlastné imanie</w:t>
            </w:r>
          </w:p>
        </w:tc>
      </w:tr>
      <w:tr>
        <w:trPr>
          <w:trHeight w:val="149" w:hRule="atLeast"/>
        </w:trPr>
        <w:tc>
          <w:tcPr>
            <w:tcW w:w="4095"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a</w:t>
            </w:r>
          </w:p>
        </w:tc>
        <w:tc>
          <w:tcPr>
            <w:tcW w:w="1737"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b</w:t>
            </w:r>
          </w:p>
        </w:tc>
        <w:tc>
          <w:tcPr>
            <w:tcW w:w="1036"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c</w:t>
            </w:r>
          </w:p>
        </w:tc>
        <w:tc>
          <w:tcPr>
            <w:tcW w:w="1772"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d</w:t>
            </w:r>
          </w:p>
        </w:tc>
        <w:tc>
          <w:tcPr>
            <w:tcW w:w="998"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e</w:t>
            </w:r>
          </w:p>
        </w:tc>
      </w:tr>
      <w:tr>
        <w:trPr>
          <w:trHeight w:val="369" w:hRule="atLeast"/>
        </w:trPr>
        <w:tc>
          <w:tcPr>
            <w:tcW w:w="4095"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b/>
                <w:szCs w:val="22"/>
              </w:rPr>
              <w:t>Deriváty určené na obchodovanie, z toho:</w:t>
            </w:r>
          </w:p>
        </w:tc>
        <w:tc>
          <w:tcPr>
            <w:tcW w:w="1737"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36" w:type="dxa"/>
            <w:tcBorders>
              <w:top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772"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98"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4095"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737"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36" w:type="dxa"/>
            <w:tcBorders>
              <w:top w:val="single" w:sz="4"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77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98"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4095"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737"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36" w:type="dxa"/>
            <w:tcBorders>
              <w:top w:val="single" w:sz="4"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77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98"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4095"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r>
          </w:p>
        </w:tc>
        <w:tc>
          <w:tcPr>
            <w:tcW w:w="1737"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1036" w:type="dxa"/>
            <w:tcBorders>
              <w:top w:val="single" w:sz="4" w:space="0" w:color="000000"/>
              <w:bottom w:val="single" w:sz="12" w:space="0" w:color="000000"/>
              <w:right w:val="single" w:sz="8" w:space="0" w:color="000000"/>
            </w:tcBorders>
            <w:vAlign w:val="center"/>
          </w:tcPr>
          <w:p>
            <w:pPr>
              <w:pStyle w:val="Normal"/>
              <w:widowControl w:val="false"/>
              <w:bidi w:val="0"/>
              <w:spacing w:lineRule="auto" w:line="240" w:before="0" w:after="0"/>
              <w:jc w:val="left"/>
              <w:rPr>
                <w:b/>
                <w:szCs w:val="22"/>
              </w:rPr>
            </w:pPr>
            <w:r>
              <w:rPr>
                <w:b/>
                <w:szCs w:val="22"/>
              </w:rPr>
            </w:r>
          </w:p>
        </w:tc>
        <w:tc>
          <w:tcPr>
            <w:tcW w:w="1772"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b/>
                <w:szCs w:val="22"/>
              </w:rPr>
            </w:pPr>
            <w:r>
              <w:rPr>
                <w:b/>
                <w:szCs w:val="22"/>
              </w:rPr>
            </w:r>
          </w:p>
        </w:tc>
        <w:tc>
          <w:tcPr>
            <w:tcW w:w="998" w:type="dxa"/>
            <w:tcBorders>
              <w:top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r>
          </w:p>
        </w:tc>
      </w:tr>
      <w:tr>
        <w:trPr>
          <w:trHeight w:val="369" w:hRule="atLeast"/>
        </w:trPr>
        <w:tc>
          <w:tcPr>
            <w:tcW w:w="4095"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b/>
                <w:szCs w:val="22"/>
              </w:rPr>
              <w:t>Zabezpečovacie deriváty, z toho:</w:t>
            </w:r>
          </w:p>
        </w:tc>
        <w:tc>
          <w:tcPr>
            <w:tcW w:w="1737" w:type="dxa"/>
            <w:tcBorders>
              <w:top w:val="single" w:sz="12"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36" w:type="dxa"/>
            <w:tcBorders>
              <w:top w:val="single" w:sz="12" w:space="0" w:color="000000"/>
              <w:bottom w:val="single" w:sz="12"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772" w:type="dxa"/>
            <w:tcBorders>
              <w:top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98" w:type="dxa"/>
            <w:tcBorders>
              <w:top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4095"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737"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36" w:type="dxa"/>
            <w:tcBorders>
              <w:top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772"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98"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4095"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737"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36" w:type="dxa"/>
            <w:tcBorders>
              <w:top w:val="single" w:sz="4"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77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98"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4095"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r>
          </w:p>
        </w:tc>
        <w:tc>
          <w:tcPr>
            <w:tcW w:w="1737" w:type="dxa"/>
            <w:tcBorders>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036" w:type="dxa"/>
            <w:tcBorders>
              <w:bottom w:val="single" w:sz="12"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772" w:type="dxa"/>
            <w:tcBorders>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998" w:type="dxa"/>
            <w:tcBorders>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Nzov"/>
        <w:keepNext w:val="false"/>
        <w:widowControl w:val="false"/>
        <w:bidi w:val="0"/>
        <w:spacing w:beforeAutospacing="0" w:before="0" w:after="0"/>
        <w:jc w:val="left"/>
        <w:rPr>
          <w:szCs w:val="22"/>
        </w:rPr>
      </w:pPr>
      <w:r>
        <w:rPr>
          <w:szCs w:val="22"/>
        </w:rPr>
      </w:r>
    </w:p>
    <w:p>
      <w:pPr>
        <w:pStyle w:val="Nzov"/>
        <w:keepNext w:val="false"/>
        <w:widowControl w:val="false"/>
        <w:bidi w:val="0"/>
        <w:spacing w:beforeAutospacing="0" w:before="0" w:after="0"/>
        <w:jc w:val="left"/>
        <w:rPr>
          <w:rFonts w:ascii="Arial" w:hAnsi="Arial" w:cs="Arial"/>
          <w:szCs w:val="22"/>
        </w:rPr>
      </w:pPr>
      <w:r>
        <w:rPr>
          <w:rFonts w:cs="Arial" w:ascii="Arial" w:hAnsi="Arial"/>
          <w:szCs w:val="22"/>
        </w:rPr>
        <w:t>majetok a záväzky zabezpečených derivátmi</w:t>
      </w:r>
    </w:p>
    <w:p>
      <w:pPr>
        <w:pStyle w:val="Normal"/>
        <w:bidi w:val="0"/>
        <w:jc w:val="left"/>
        <w:rPr>
          <w:rFonts w:ascii="Arial" w:hAnsi="Arial" w:cs="Arial"/>
        </w:rPr>
      </w:pPr>
      <w:r>
        <w:rPr>
          <w:rFonts w:cs="Arial" w:ascii="Arial" w:hAnsi="Arial"/>
        </w:rPr>
        <w:t>Spoločnosť nemá žiadny majetok a záväzky zabezpečený derivátmi.</w:t>
      </w:r>
    </w:p>
    <w:p>
      <w:pPr>
        <w:pStyle w:val="Nzov"/>
        <w:keepNext w:val="false"/>
        <w:widowControl w:val="false"/>
        <w:numPr>
          <w:ilvl w:val="0"/>
          <w:numId w:val="7"/>
        </w:numPr>
        <w:bidi w:val="0"/>
        <w:spacing w:beforeAutospacing="0" w:before="0" w:after="0"/>
        <w:jc w:val="left"/>
        <w:rPr>
          <w:szCs w:val="22"/>
        </w:rPr>
      </w:pPr>
      <w:r>
        <w:rPr>
          <w:szCs w:val="22"/>
        </w:rPr>
        <w:t>Informácie k prílohe č. 3 časti G. písm. l) o položkách zabezpečených derivátmi</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5500"/>
        <w:gridCol w:w="2058"/>
        <w:gridCol w:w="2080"/>
      </w:tblGrid>
      <w:tr>
        <w:trPr>
          <w:trHeight w:val="352" w:hRule="atLeast"/>
        </w:trPr>
        <w:tc>
          <w:tcPr>
            <w:tcW w:w="5500"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Zabezpečovaná položka</w:t>
            </w:r>
          </w:p>
        </w:tc>
        <w:tc>
          <w:tcPr>
            <w:tcW w:w="4138" w:type="dxa"/>
            <w:gridSpan w:val="2"/>
            <w:tcBorders>
              <w:top w:val="single" w:sz="12" w:space="0" w:color="000000"/>
              <w:left w:val="single" w:sz="12" w:space="0" w:color="000000"/>
              <w:right w:val="single" w:sz="12" w:space="0" w:color="000000"/>
            </w:tcBorders>
            <w:vAlign w:val="center"/>
          </w:tcPr>
          <w:p>
            <w:pPr>
              <w:pStyle w:val="TopHeader"/>
              <w:widowControl w:val="false"/>
              <w:bidi w:val="0"/>
              <w:rPr/>
            </w:pPr>
            <w:r>
              <w:rPr/>
              <w:t>Reálna hodnota</w:t>
            </w:r>
          </w:p>
        </w:tc>
      </w:tr>
      <w:tr>
        <w:trPr>
          <w:trHeight w:val="808" w:hRule="atLeast"/>
        </w:trPr>
        <w:tc>
          <w:tcPr>
            <w:tcW w:w="5500"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2058" w:type="dxa"/>
            <w:tcBorders>
              <w:top w:val="single" w:sz="12" w:space="0" w:color="000000"/>
              <w:left w:val="single" w:sz="12" w:space="0" w:color="000000"/>
              <w:right w:val="single" w:sz="12" w:space="0" w:color="000000"/>
            </w:tcBorders>
            <w:vAlign w:val="center"/>
          </w:tcPr>
          <w:p>
            <w:pPr>
              <w:pStyle w:val="TopHeader"/>
              <w:widowControl w:val="false"/>
              <w:bidi w:val="0"/>
              <w:rPr/>
            </w:pPr>
            <w:r>
              <w:rPr/>
              <w:t>Bežné účtovné obdobie</w:t>
            </w:r>
          </w:p>
        </w:tc>
        <w:tc>
          <w:tcPr>
            <w:tcW w:w="2080" w:type="dxa"/>
            <w:tcBorders>
              <w:top w:val="single" w:sz="12" w:space="0" w:color="000000"/>
              <w:left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167" w:hRule="atLeast"/>
        </w:trPr>
        <w:tc>
          <w:tcPr>
            <w:tcW w:w="5500"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a</w:t>
            </w:r>
          </w:p>
        </w:tc>
        <w:tc>
          <w:tcPr>
            <w:tcW w:w="2058"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b</w:t>
            </w:r>
          </w:p>
        </w:tc>
        <w:tc>
          <w:tcPr>
            <w:tcW w:w="2080"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c</w:t>
            </w:r>
          </w:p>
        </w:tc>
      </w:tr>
      <w:tr>
        <w:trPr>
          <w:trHeight w:val="369" w:hRule="atLeast"/>
        </w:trPr>
        <w:tc>
          <w:tcPr>
            <w:tcW w:w="5500"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Majetok vykázaný v súvahe</w:t>
            </w:r>
          </w:p>
        </w:tc>
        <w:tc>
          <w:tcPr>
            <w:tcW w:w="2058" w:type="dxa"/>
            <w:tcBorders>
              <w:top w:val="single" w:sz="12" w:space="0" w:color="000000"/>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2080"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5500"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Záväzok vykázaný v súvahe</w:t>
            </w:r>
          </w:p>
        </w:tc>
        <w:tc>
          <w:tcPr>
            <w:tcW w:w="2058" w:type="dxa"/>
            <w:tcBorders>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2080" w:type="dxa"/>
            <w:tcBorders>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5500"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Zmluvy, ktoré sa neúčtujú na súvahových účtoch</w:t>
            </w:r>
          </w:p>
        </w:tc>
        <w:tc>
          <w:tcPr>
            <w:tcW w:w="2058" w:type="dxa"/>
            <w:tcBorders>
              <w:left w:val="single" w:sz="12" w:space="0" w:color="000000"/>
              <w:bottom w:val="single" w:sz="6"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2080" w:type="dxa"/>
            <w:tcBorders>
              <w:left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5500"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Očakávané budúce obchody dosiaľ zmluvne nezabezpečené</w:t>
            </w:r>
          </w:p>
        </w:tc>
        <w:tc>
          <w:tcPr>
            <w:tcW w:w="2058" w:type="dxa"/>
            <w:tcBorders>
              <w:top w:val="single" w:sz="6" w:space="0" w:color="000000"/>
              <w:left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2080" w:type="dxa"/>
            <w:tcBorders>
              <w:top w:val="single" w:sz="6" w:space="0" w:color="000000"/>
              <w:left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5500"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Spolu</w:t>
            </w:r>
          </w:p>
        </w:tc>
        <w:tc>
          <w:tcPr>
            <w:tcW w:w="2058" w:type="dxa"/>
            <w:tcBorders>
              <w:left w:val="single" w:sz="12" w:space="0" w:color="000000"/>
              <w:bottom w:val="single" w:sz="12"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t> </w:t>
            </w:r>
          </w:p>
        </w:tc>
        <w:tc>
          <w:tcPr>
            <w:tcW w:w="2080" w:type="dxa"/>
            <w:tcBorders>
              <w:left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bl>
    <w:p>
      <w:pPr>
        <w:pStyle w:val="Normal"/>
        <w:bidi w:val="0"/>
        <w:jc w:val="left"/>
        <w:rPr>
          <w:rFonts w:ascii="Arial" w:hAnsi="Arial" w:cs="Arial"/>
          <w:b/>
        </w:rPr>
      </w:pPr>
      <w:r>
        <w:rPr>
          <w:rFonts w:cs="Arial" w:ascii="Arial" w:hAnsi="Arial"/>
          <w:b/>
        </w:rPr>
      </w:r>
    </w:p>
    <w:p>
      <w:pPr>
        <w:pStyle w:val="Normal"/>
        <w:bidi w:val="0"/>
        <w:jc w:val="left"/>
        <w:rPr>
          <w:rFonts w:ascii="Arial" w:hAnsi="Arial" w:cs="Arial"/>
          <w:b/>
        </w:rPr>
      </w:pPr>
      <w:r>
        <w:rPr>
          <w:rFonts w:cs="Arial" w:ascii="Arial" w:hAnsi="Arial"/>
          <w:b/>
        </w:rPr>
        <w:t xml:space="preserve">majetok prenajatý formou finančného prenájmu </w:t>
      </w:r>
    </w:p>
    <w:p>
      <w:pPr>
        <w:pStyle w:val="Normal"/>
        <w:bidi w:val="0"/>
        <w:jc w:val="left"/>
        <w:rPr>
          <w:rFonts w:ascii="Arial" w:hAnsi="Arial" w:cs="Arial"/>
        </w:rPr>
      </w:pPr>
      <w:r>
        <w:rPr>
          <w:rFonts w:cs="Arial" w:ascii="Arial" w:hAnsi="Arial"/>
        </w:rPr>
        <w:t>Spoločnosť nemá žiadny majetok prenajatý formou finančného prenájmu.</w:t>
      </w:r>
    </w:p>
    <w:p>
      <w:pPr>
        <w:pStyle w:val="Normal"/>
        <w:bidi w:val="0"/>
        <w:jc w:val="left"/>
        <w:rPr>
          <w:rFonts w:ascii="Arial" w:hAnsi="Arial" w:cs="Arial"/>
        </w:rPr>
      </w:pPr>
      <w:r>
        <w:rPr/>
      </w:r>
    </w:p>
    <w:p>
      <w:pPr>
        <w:pStyle w:val="Nzov"/>
        <w:keepNext w:val="false"/>
        <w:widowControl w:val="false"/>
        <w:numPr>
          <w:ilvl w:val="0"/>
          <w:numId w:val="7"/>
        </w:numPr>
        <w:bidi w:val="0"/>
        <w:spacing w:beforeAutospacing="0" w:before="0" w:after="0"/>
        <w:jc w:val="left"/>
        <w:rPr>
          <w:szCs w:val="22"/>
        </w:rPr>
      </w:pPr>
      <w:r>
        <w:rPr>
          <w:szCs w:val="22"/>
        </w:rPr>
        <w:t>Informácie k prílohe č. 3 časti G. písm. m) o majetku prenajatom formou finančného prenájmu</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1650"/>
        <w:gridCol w:w="1271"/>
        <w:gridCol w:w="1523"/>
        <w:gridCol w:w="1157"/>
        <w:gridCol w:w="1284"/>
        <w:gridCol w:w="1578"/>
        <w:gridCol w:w="1174"/>
      </w:tblGrid>
      <w:tr>
        <w:trPr>
          <w:trHeight w:val="571" w:hRule="atLeast"/>
        </w:trPr>
        <w:tc>
          <w:tcPr>
            <w:tcW w:w="1650"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Názov</w:t>
              <w:br/>
              <w:t>položky</w:t>
            </w:r>
          </w:p>
        </w:tc>
        <w:tc>
          <w:tcPr>
            <w:tcW w:w="3951" w:type="dxa"/>
            <w:gridSpan w:val="3"/>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c>
          <w:tcPr>
            <w:tcW w:w="4036" w:type="dxa"/>
            <w:gridSpan w:val="3"/>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330" w:hRule="atLeast"/>
        </w:trPr>
        <w:tc>
          <w:tcPr>
            <w:tcW w:w="1650"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3951" w:type="dxa"/>
            <w:gridSpan w:val="3"/>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Splatnosť</w:t>
            </w:r>
          </w:p>
        </w:tc>
        <w:tc>
          <w:tcPr>
            <w:tcW w:w="4036" w:type="dxa"/>
            <w:gridSpan w:val="3"/>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Splatnosť</w:t>
            </w:r>
          </w:p>
        </w:tc>
      </w:tr>
      <w:tr>
        <w:trPr>
          <w:trHeight w:val="345" w:hRule="atLeast"/>
        </w:trPr>
        <w:tc>
          <w:tcPr>
            <w:tcW w:w="1650"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271" w:type="dxa"/>
            <w:tcBorders>
              <w:top w:val="single" w:sz="12" w:space="0" w:color="000000"/>
              <w:left w:val="single" w:sz="12" w:space="0" w:color="000000"/>
              <w:right w:val="single" w:sz="12" w:space="0" w:color="000000"/>
            </w:tcBorders>
            <w:vAlign w:val="center"/>
          </w:tcPr>
          <w:p>
            <w:pPr>
              <w:pStyle w:val="TopHeader"/>
              <w:widowControl w:val="false"/>
              <w:bidi w:val="0"/>
              <w:rPr/>
            </w:pPr>
            <w:r>
              <w:rPr/>
              <w:t>do jedného roka vrátane</w:t>
            </w:r>
          </w:p>
        </w:tc>
        <w:tc>
          <w:tcPr>
            <w:tcW w:w="1523" w:type="dxa"/>
            <w:tcBorders>
              <w:top w:val="single" w:sz="12" w:space="0" w:color="000000"/>
              <w:left w:val="single" w:sz="12" w:space="0" w:color="000000"/>
              <w:right w:val="single" w:sz="12" w:space="0" w:color="000000"/>
            </w:tcBorders>
            <w:vAlign w:val="center"/>
          </w:tcPr>
          <w:p>
            <w:pPr>
              <w:pStyle w:val="TopHeader"/>
              <w:widowControl w:val="false"/>
              <w:bidi w:val="0"/>
              <w:rPr/>
            </w:pPr>
            <w:r>
              <w:rPr/>
              <w:t>od jedného roka do piatich rokov vrátane</w:t>
            </w:r>
          </w:p>
        </w:tc>
        <w:tc>
          <w:tcPr>
            <w:tcW w:w="1157" w:type="dxa"/>
            <w:tcBorders>
              <w:top w:val="single" w:sz="12" w:space="0" w:color="000000"/>
              <w:left w:val="single" w:sz="12" w:space="0" w:color="000000"/>
              <w:right w:val="single" w:sz="12" w:space="0" w:color="000000"/>
            </w:tcBorders>
            <w:vAlign w:val="center"/>
          </w:tcPr>
          <w:p>
            <w:pPr>
              <w:pStyle w:val="TopHeader"/>
              <w:widowControl w:val="false"/>
              <w:bidi w:val="0"/>
              <w:rPr/>
            </w:pPr>
            <w:r>
              <w:rPr/>
              <w:t>viac ako päť rokov</w:t>
            </w:r>
          </w:p>
        </w:tc>
        <w:tc>
          <w:tcPr>
            <w:tcW w:w="1284" w:type="dxa"/>
            <w:tcBorders>
              <w:top w:val="single" w:sz="12" w:space="0" w:color="000000"/>
              <w:left w:val="single" w:sz="12" w:space="0" w:color="000000"/>
              <w:right w:val="single" w:sz="12" w:space="0" w:color="000000"/>
            </w:tcBorders>
            <w:vAlign w:val="center"/>
          </w:tcPr>
          <w:p>
            <w:pPr>
              <w:pStyle w:val="TopHeader"/>
              <w:widowControl w:val="false"/>
              <w:bidi w:val="0"/>
              <w:rPr/>
            </w:pPr>
            <w:r>
              <w:rPr/>
              <w:t>do jedného roka vrátane</w:t>
            </w:r>
          </w:p>
        </w:tc>
        <w:tc>
          <w:tcPr>
            <w:tcW w:w="1578" w:type="dxa"/>
            <w:tcBorders>
              <w:top w:val="single" w:sz="12" w:space="0" w:color="000000"/>
              <w:left w:val="single" w:sz="12" w:space="0" w:color="000000"/>
              <w:right w:val="single" w:sz="12" w:space="0" w:color="000000"/>
            </w:tcBorders>
            <w:vAlign w:val="center"/>
          </w:tcPr>
          <w:p>
            <w:pPr>
              <w:pStyle w:val="TopHeader"/>
              <w:widowControl w:val="false"/>
              <w:bidi w:val="0"/>
              <w:rPr/>
            </w:pPr>
            <w:r>
              <w:rPr/>
              <w:t>od jedného roka do piatich rokov vrátane</w:t>
            </w:r>
          </w:p>
        </w:tc>
        <w:tc>
          <w:tcPr>
            <w:tcW w:w="1174" w:type="dxa"/>
            <w:tcBorders>
              <w:top w:val="single" w:sz="12" w:space="0" w:color="000000"/>
              <w:left w:val="single" w:sz="12" w:space="0" w:color="000000"/>
              <w:right w:val="single" w:sz="12" w:space="0" w:color="000000"/>
            </w:tcBorders>
            <w:vAlign w:val="center"/>
          </w:tcPr>
          <w:p>
            <w:pPr>
              <w:pStyle w:val="TopHeader"/>
              <w:widowControl w:val="false"/>
              <w:bidi w:val="0"/>
              <w:rPr/>
            </w:pPr>
            <w:r>
              <w:rPr/>
              <w:t>viac ako päť rokov</w:t>
            </w:r>
          </w:p>
        </w:tc>
      </w:tr>
      <w:tr>
        <w:trPr>
          <w:trHeight w:val="151" w:hRule="atLeast"/>
        </w:trPr>
        <w:tc>
          <w:tcPr>
            <w:tcW w:w="1650"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a</w:t>
            </w:r>
          </w:p>
        </w:tc>
        <w:tc>
          <w:tcPr>
            <w:tcW w:w="1271"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b</w:t>
            </w:r>
          </w:p>
        </w:tc>
        <w:tc>
          <w:tcPr>
            <w:tcW w:w="1523"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c</w:t>
            </w:r>
          </w:p>
        </w:tc>
        <w:tc>
          <w:tcPr>
            <w:tcW w:w="1157"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d</w:t>
            </w:r>
          </w:p>
        </w:tc>
        <w:tc>
          <w:tcPr>
            <w:tcW w:w="128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e</w:t>
            </w:r>
          </w:p>
        </w:tc>
        <w:tc>
          <w:tcPr>
            <w:tcW w:w="1578"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f</w:t>
            </w:r>
          </w:p>
        </w:tc>
        <w:tc>
          <w:tcPr>
            <w:tcW w:w="117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g</w:t>
            </w:r>
          </w:p>
        </w:tc>
      </w:tr>
      <w:tr>
        <w:trPr>
          <w:trHeight w:val="397" w:hRule="atLeast"/>
        </w:trPr>
        <w:tc>
          <w:tcPr>
            <w:tcW w:w="1650"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Istina</w:t>
            </w:r>
          </w:p>
        </w:tc>
        <w:tc>
          <w:tcPr>
            <w:tcW w:w="1271"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23"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57" w:type="dxa"/>
            <w:tcBorders>
              <w:top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284"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78"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4" w:type="dxa"/>
            <w:tcBorders>
              <w:top w:val="single" w:sz="12"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50"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Finančný náklad</w:t>
            </w:r>
          </w:p>
        </w:tc>
        <w:tc>
          <w:tcPr>
            <w:tcW w:w="1271"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23"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57" w:type="dxa"/>
            <w:tcBorders>
              <w:top w:val="single" w:sz="4" w:space="0" w:color="000000"/>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284" w:type="dxa"/>
            <w:tcBorders>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78"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4" w:type="dxa"/>
            <w:tcBorders>
              <w:bottom w:val="single" w:sz="4"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1650"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Spolu</w:t>
            </w:r>
          </w:p>
        </w:tc>
        <w:tc>
          <w:tcPr>
            <w:tcW w:w="1271"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23"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57" w:type="dxa"/>
            <w:tcBorders>
              <w:top w:val="single" w:sz="4" w:space="0" w:color="000000"/>
              <w:bottom w:val="single" w:sz="12"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c>
          <w:tcPr>
            <w:tcW w:w="1284" w:type="dxa"/>
            <w:tcBorders>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578" w:type="dxa"/>
            <w:tcBorders>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174" w:type="dxa"/>
            <w:tcBorders>
              <w:bottom w:val="single" w:sz="12" w:space="0" w:color="000000"/>
              <w:right w:val="single" w:sz="8" w:space="0" w:color="000000"/>
            </w:tcBorders>
            <w:vAlign w:val="center"/>
          </w:tcPr>
          <w:p>
            <w:pPr>
              <w:pStyle w:val="Normal"/>
              <w:widowControl w:val="false"/>
              <w:bidi w:val="0"/>
              <w:spacing w:lineRule="auto" w:line="240" w:before="0" w:after="0"/>
              <w:jc w:val="left"/>
              <w:rPr>
                <w:szCs w:val="22"/>
              </w:rPr>
            </w:pPr>
            <w:r>
              <w:rPr>
                <w:szCs w:val="22"/>
              </w:rPr>
            </w:r>
          </w:p>
        </w:tc>
      </w:tr>
    </w:tbl>
    <w:p>
      <w:pPr>
        <w:pStyle w:val="ListParagraph"/>
        <w:bidi w:val="0"/>
        <w:ind w:left="502" w:hanging="0"/>
        <w:jc w:val="left"/>
        <w:rPr>
          <w:rFonts w:ascii="Arial" w:hAnsi="Arial" w:cs="Arial"/>
          <w:b/>
          <w:sz w:val="28"/>
          <w:szCs w:val="28"/>
        </w:rPr>
      </w:pPr>
      <w:r>
        <w:rPr>
          <w:rFonts w:cs="Arial" w:ascii="Arial" w:hAnsi="Arial"/>
          <w:b/>
          <w:sz w:val="28"/>
          <w:szCs w:val="28"/>
        </w:rPr>
      </w:r>
    </w:p>
    <w:p>
      <w:pPr>
        <w:pStyle w:val="ListParagraph"/>
        <w:bidi w:val="0"/>
        <w:ind w:left="502" w:hanging="0"/>
        <w:jc w:val="left"/>
        <w:rPr>
          <w:rFonts w:ascii="Arial" w:hAnsi="Arial" w:cs="Arial"/>
          <w:b/>
          <w:sz w:val="28"/>
          <w:szCs w:val="28"/>
        </w:rPr>
      </w:pPr>
      <w:r>
        <w:rPr>
          <w:rFonts w:cs="Arial" w:ascii="Arial" w:hAnsi="Arial"/>
          <w:b/>
          <w:sz w:val="28"/>
          <w:szCs w:val="28"/>
        </w:rPr>
      </w:r>
    </w:p>
    <w:p>
      <w:pPr>
        <w:pStyle w:val="ListParagraph"/>
        <w:numPr>
          <w:ilvl w:val="0"/>
          <w:numId w:val="4"/>
        </w:numPr>
        <w:bidi w:val="0"/>
        <w:jc w:val="left"/>
        <w:rPr>
          <w:rFonts w:ascii="Arial" w:hAnsi="Arial" w:cs="Arial"/>
          <w:b/>
          <w:sz w:val="28"/>
          <w:szCs w:val="28"/>
        </w:rPr>
      </w:pPr>
      <w:r>
        <w:rPr>
          <w:rFonts w:cs="Arial" w:ascii="Arial" w:hAnsi="Arial"/>
          <w:b/>
          <w:sz w:val="28"/>
          <w:szCs w:val="28"/>
        </w:rPr>
        <w:t>Informácie o výnosoch</w:t>
      </w:r>
    </w:p>
    <w:p>
      <w:pPr>
        <w:pStyle w:val="Normal"/>
        <w:bidi w:val="0"/>
        <w:ind w:left="142" w:hanging="0"/>
        <w:jc w:val="left"/>
        <w:rPr>
          <w:rFonts w:ascii="Arial" w:hAnsi="Arial" w:cs="Arial"/>
          <w:b/>
        </w:rPr>
      </w:pPr>
      <w:r>
        <w:rPr>
          <w:rFonts w:cs="Arial" w:ascii="Arial" w:hAnsi="Arial"/>
          <w:b/>
        </w:rPr>
        <w:t>a/ suma tržieb za vlastné výrobky, tovar  a služby</w:t>
      </w:r>
    </w:p>
    <w:p>
      <w:pPr>
        <w:pStyle w:val="Normal"/>
        <w:bidi w:val="0"/>
        <w:ind w:left="142" w:hanging="0"/>
        <w:jc w:val="both"/>
        <w:rPr>
          <w:rFonts w:ascii="Arial" w:hAnsi="Arial" w:cs="Arial"/>
        </w:rPr>
      </w:pPr>
      <w:r>
        <w:rPr>
          <w:rFonts w:cs="Arial" w:ascii="Arial" w:hAnsi="Arial"/>
        </w:rPr>
        <w:t xml:space="preserve">Spoločnosť mala v období od </w:t>
      </w:r>
      <w:r>
        <w:rPr>
          <w:rFonts w:cs="Arial" w:ascii="Arial" w:hAnsi="Arial"/>
        </w:rPr>
        <w:t>1</w:t>
      </w:r>
      <w:r>
        <w:rPr>
          <w:rFonts w:cs="Arial" w:ascii="Arial" w:hAnsi="Arial"/>
        </w:rPr>
        <w:t>1.0</w:t>
      </w:r>
      <w:r>
        <w:rPr>
          <w:rFonts w:cs="Arial" w:ascii="Arial" w:hAnsi="Arial"/>
        </w:rPr>
        <w:t>6</w:t>
      </w:r>
      <w:r>
        <w:rPr>
          <w:rFonts w:cs="Arial" w:ascii="Arial" w:hAnsi="Arial"/>
        </w:rPr>
        <w:t>. 202</w:t>
      </w:r>
      <w:r>
        <w:rPr>
          <w:rFonts w:cs="Arial" w:ascii="Arial" w:hAnsi="Arial"/>
        </w:rPr>
        <w:t>5</w:t>
      </w:r>
      <w:r>
        <w:rPr>
          <w:rFonts w:cs="Arial" w:ascii="Arial" w:hAnsi="Arial"/>
        </w:rPr>
        <w:t xml:space="preserve"> – 31.12.202</w:t>
      </w:r>
      <w:r>
        <w:rPr>
          <w:rFonts w:cs="Arial" w:ascii="Arial" w:hAnsi="Arial"/>
        </w:rPr>
        <w:t>5</w:t>
      </w:r>
      <w:r>
        <w:rPr>
          <w:rFonts w:cs="Arial" w:ascii="Arial" w:hAnsi="Arial"/>
        </w:rPr>
        <w:t xml:space="preserve"> tržbu z predaja služieb vo výške </w:t>
      </w:r>
      <w:r>
        <w:rPr>
          <w:rFonts w:cs="Arial" w:ascii="Arial" w:hAnsi="Arial"/>
        </w:rPr>
        <w:t>2.747,00</w:t>
      </w:r>
      <w:r>
        <w:rPr>
          <w:rFonts w:cs="Arial" w:ascii="Arial" w:hAnsi="Arial"/>
        </w:rPr>
        <w:t xml:space="preserve"> eur.</w:t>
      </w:r>
    </w:p>
    <w:p>
      <w:pPr>
        <w:pStyle w:val="Normal"/>
        <w:bidi w:val="0"/>
        <w:ind w:left="142" w:hanging="0"/>
        <w:jc w:val="both"/>
        <w:rPr>
          <w:rFonts w:ascii="Arial" w:hAnsi="Arial" w:cs="Arial"/>
        </w:rPr>
      </w:pPr>
      <w:r>
        <w:rPr/>
      </w:r>
    </w:p>
    <w:p>
      <w:pPr>
        <w:pStyle w:val="Normal"/>
        <w:bidi w:val="0"/>
        <w:ind w:left="142" w:hanging="0"/>
        <w:jc w:val="both"/>
        <w:rPr>
          <w:rFonts w:ascii="Arial" w:hAnsi="Arial" w:cs="Arial"/>
          <w:b/>
        </w:rPr>
      </w:pPr>
      <w:r>
        <w:rPr>
          <w:rFonts w:cs="Arial" w:ascii="Arial" w:hAnsi="Arial"/>
          <w:b/>
        </w:rPr>
        <w:t>b/ zmeny stavu vnútroorganizačných zásob</w:t>
      </w:r>
    </w:p>
    <w:p>
      <w:pPr>
        <w:pStyle w:val="Normal"/>
        <w:bidi w:val="0"/>
        <w:ind w:left="142" w:hanging="0"/>
        <w:jc w:val="both"/>
        <w:rPr>
          <w:rFonts w:ascii="Arial" w:hAnsi="Arial" w:cs="Arial"/>
        </w:rPr>
      </w:pPr>
      <w:r>
        <w:rPr>
          <w:rFonts w:cs="Arial" w:ascii="Arial" w:hAnsi="Arial"/>
        </w:rPr>
        <w:t>Spoločnosť v roku 202</w:t>
      </w:r>
      <w:r>
        <w:rPr>
          <w:rFonts w:cs="Arial" w:ascii="Arial" w:hAnsi="Arial"/>
        </w:rPr>
        <w:t>5</w:t>
      </w:r>
      <w:r>
        <w:rPr>
          <w:rFonts w:cs="Arial" w:ascii="Arial" w:hAnsi="Arial"/>
        </w:rPr>
        <w:t xml:space="preserve"> nemala žiadnu zmenu stavu vnútroorganizačných zásob.</w:t>
      </w:r>
    </w:p>
    <w:p>
      <w:pPr>
        <w:pStyle w:val="Normal"/>
        <w:bidi w:val="0"/>
        <w:ind w:left="142" w:hanging="0"/>
        <w:jc w:val="both"/>
        <w:rPr>
          <w:rFonts w:ascii="Arial" w:hAnsi="Arial" w:cs="Arial"/>
        </w:rPr>
      </w:pPr>
      <w:r>
        <w:rPr/>
      </w:r>
    </w:p>
    <w:p>
      <w:pPr>
        <w:pStyle w:val="Normal"/>
        <w:bidi w:val="0"/>
        <w:ind w:left="142" w:hanging="0"/>
        <w:jc w:val="both"/>
        <w:rPr>
          <w:rFonts w:ascii="Arial" w:hAnsi="Arial" w:cs="Arial"/>
        </w:rPr>
      </w:pPr>
      <w:r>
        <w:rPr/>
      </w:r>
    </w:p>
    <w:p>
      <w:pPr>
        <w:pStyle w:val="Normal"/>
        <w:bidi w:val="0"/>
        <w:ind w:left="142" w:hanging="0"/>
        <w:jc w:val="both"/>
        <w:rPr>
          <w:rFonts w:ascii="Arial" w:hAnsi="Arial" w:cs="Arial"/>
        </w:rPr>
      </w:pPr>
      <w:r>
        <w:rPr>
          <w:rFonts w:cs="Arial" w:ascii="Arial" w:hAnsi="Arial"/>
        </w:rPr>
      </w:r>
    </w:p>
    <w:p>
      <w:pPr>
        <w:pStyle w:val="Nzov"/>
        <w:keepNext w:val="false"/>
        <w:widowControl w:val="false"/>
        <w:numPr>
          <w:ilvl w:val="0"/>
          <w:numId w:val="7"/>
        </w:numPr>
        <w:bidi w:val="0"/>
        <w:spacing w:beforeAutospacing="0" w:before="0" w:after="0"/>
        <w:jc w:val="both"/>
        <w:rPr>
          <w:szCs w:val="22"/>
        </w:rPr>
      </w:pPr>
      <w:r>
        <w:rPr>
          <w:szCs w:val="22"/>
        </w:rPr>
        <w:t>Informácie k prílohe č. 3 časti H. písm. b) o zmene stavu vnútroorganizačných zásob</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2592"/>
        <w:gridCol w:w="1172"/>
        <w:gridCol w:w="1291"/>
        <w:gridCol w:w="1455"/>
        <w:gridCol w:w="1165"/>
        <w:gridCol w:w="1962"/>
      </w:tblGrid>
      <w:tr>
        <w:trPr>
          <w:trHeight w:val="990" w:hRule="atLeast"/>
        </w:trPr>
        <w:tc>
          <w:tcPr>
            <w:tcW w:w="2592"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1172"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c>
          <w:tcPr>
            <w:tcW w:w="2746" w:type="dxa"/>
            <w:gridSpan w:val="2"/>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c>
          <w:tcPr>
            <w:tcW w:w="3127" w:type="dxa"/>
            <w:gridSpan w:val="2"/>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Zmena stavu vnútroorganizačných</w:t>
            </w:r>
          </w:p>
          <w:p>
            <w:pPr>
              <w:pStyle w:val="TopHeader"/>
              <w:widowControl w:val="false"/>
              <w:bidi w:val="0"/>
              <w:rPr/>
            </w:pPr>
            <w:r>
              <w:rPr/>
              <w:t>zásob</w:t>
            </w:r>
          </w:p>
        </w:tc>
      </w:tr>
      <w:tr>
        <w:trPr>
          <w:trHeight w:val="930" w:hRule="atLeast"/>
        </w:trPr>
        <w:tc>
          <w:tcPr>
            <w:tcW w:w="2592"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172" w:type="dxa"/>
            <w:tcBorders>
              <w:top w:val="single" w:sz="12" w:space="0" w:color="000000"/>
              <w:left w:val="single" w:sz="12" w:space="0" w:color="000000"/>
              <w:right w:val="single" w:sz="12" w:space="0" w:color="000000"/>
            </w:tcBorders>
            <w:vAlign w:val="center"/>
          </w:tcPr>
          <w:p>
            <w:pPr>
              <w:pStyle w:val="TopHeader"/>
              <w:widowControl w:val="false"/>
              <w:bidi w:val="0"/>
              <w:rPr/>
            </w:pPr>
            <w:r>
              <w:rPr/>
              <w:t>Konečný zostatok</w:t>
            </w:r>
          </w:p>
        </w:tc>
        <w:tc>
          <w:tcPr>
            <w:tcW w:w="1291" w:type="dxa"/>
            <w:tcBorders>
              <w:top w:val="single" w:sz="12" w:space="0" w:color="000000"/>
              <w:left w:val="single" w:sz="12" w:space="0" w:color="000000"/>
              <w:right w:val="single" w:sz="12" w:space="0" w:color="000000"/>
            </w:tcBorders>
            <w:vAlign w:val="center"/>
          </w:tcPr>
          <w:p>
            <w:pPr>
              <w:pStyle w:val="TopHeader"/>
              <w:widowControl w:val="false"/>
              <w:bidi w:val="0"/>
              <w:rPr/>
            </w:pPr>
            <w:r>
              <w:rPr/>
              <w:t>Konečný zostatok</w:t>
            </w:r>
          </w:p>
        </w:tc>
        <w:tc>
          <w:tcPr>
            <w:tcW w:w="1455" w:type="dxa"/>
            <w:tcBorders>
              <w:top w:val="single" w:sz="12" w:space="0" w:color="000000"/>
              <w:left w:val="single" w:sz="12" w:space="0" w:color="000000"/>
              <w:right w:val="single" w:sz="12" w:space="0" w:color="000000"/>
            </w:tcBorders>
            <w:vAlign w:val="center"/>
          </w:tcPr>
          <w:p>
            <w:pPr>
              <w:pStyle w:val="TopHeader"/>
              <w:widowControl w:val="false"/>
              <w:bidi w:val="0"/>
              <w:rPr/>
            </w:pPr>
            <w:r>
              <w:rPr/>
              <w:t>Začiatočný stav</w:t>
            </w:r>
          </w:p>
        </w:tc>
        <w:tc>
          <w:tcPr>
            <w:tcW w:w="1165" w:type="dxa"/>
            <w:tcBorders>
              <w:top w:val="single" w:sz="12" w:space="0" w:color="000000"/>
              <w:left w:val="single" w:sz="12" w:space="0" w:color="000000"/>
              <w:right w:val="single" w:sz="12" w:space="0" w:color="000000"/>
            </w:tcBorders>
            <w:vAlign w:val="center"/>
          </w:tcPr>
          <w:p>
            <w:pPr>
              <w:pStyle w:val="TopHeader"/>
              <w:widowControl w:val="false"/>
              <w:bidi w:val="0"/>
              <w:rPr/>
            </w:pPr>
            <w:r>
              <w:rPr/>
              <w:t>Bežné účtovné obdobie</w:t>
            </w:r>
          </w:p>
        </w:tc>
        <w:tc>
          <w:tcPr>
            <w:tcW w:w="1962" w:type="dxa"/>
            <w:tcBorders>
              <w:top w:val="single" w:sz="12" w:space="0" w:color="000000"/>
              <w:left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144" w:hRule="atLeast"/>
        </w:trPr>
        <w:tc>
          <w:tcPr>
            <w:tcW w:w="2592"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a</w:t>
            </w:r>
          </w:p>
        </w:tc>
        <w:tc>
          <w:tcPr>
            <w:tcW w:w="1172"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B</w:t>
            </w:r>
          </w:p>
        </w:tc>
        <w:tc>
          <w:tcPr>
            <w:tcW w:w="1291"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c</w:t>
            </w:r>
          </w:p>
        </w:tc>
        <w:tc>
          <w:tcPr>
            <w:tcW w:w="1455"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D</w:t>
            </w:r>
          </w:p>
        </w:tc>
        <w:tc>
          <w:tcPr>
            <w:tcW w:w="1165"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e</w:t>
            </w:r>
          </w:p>
        </w:tc>
        <w:tc>
          <w:tcPr>
            <w:tcW w:w="1962"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f</w:t>
            </w:r>
          </w:p>
        </w:tc>
      </w:tr>
      <w:tr>
        <w:trPr>
          <w:trHeight w:val="567" w:hRule="atLeast"/>
        </w:trPr>
        <w:tc>
          <w:tcPr>
            <w:tcW w:w="2592"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Nedokončená výroba </w:t>
              <w:br/>
              <w:t>a polotovary vlastnej výroby</w:t>
            </w:r>
          </w:p>
        </w:tc>
        <w:tc>
          <w:tcPr>
            <w:tcW w:w="1172" w:type="dxa"/>
            <w:tcBorders>
              <w:top w:val="single" w:sz="12" w:space="0" w:color="000000"/>
              <w:left w:val="single" w:sz="12" w:space="0" w:color="000000"/>
              <w:bottom w:val="single" w:sz="4"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t> </w:t>
            </w:r>
          </w:p>
        </w:tc>
        <w:tc>
          <w:tcPr>
            <w:tcW w:w="1291" w:type="dxa"/>
            <w:tcBorders>
              <w:top w:val="single" w:sz="12" w:space="0" w:color="000000"/>
              <w:left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p>
        </w:tc>
        <w:tc>
          <w:tcPr>
            <w:tcW w:w="1455"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c>
          <w:tcPr>
            <w:tcW w:w="1165"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c>
          <w:tcPr>
            <w:tcW w:w="1962"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97" w:hRule="atLeast"/>
        </w:trPr>
        <w:tc>
          <w:tcPr>
            <w:tcW w:w="2592"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Výrobky</w:t>
            </w:r>
          </w:p>
        </w:tc>
        <w:tc>
          <w:tcPr>
            <w:tcW w:w="1172" w:type="dxa"/>
            <w:tcBorders>
              <w:top w:val="single" w:sz="4"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t xml:space="preserve"> </w:t>
            </w:r>
          </w:p>
        </w:tc>
        <w:tc>
          <w:tcPr>
            <w:tcW w:w="1291" w:type="dxa"/>
            <w:tcBorders>
              <w:top w:val="single" w:sz="4" w:space="0" w:color="000000"/>
              <w:left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p>
        </w:tc>
        <w:tc>
          <w:tcPr>
            <w:tcW w:w="1455" w:type="dxa"/>
            <w:tcBorders>
              <w:top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c>
          <w:tcPr>
            <w:tcW w:w="1165"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c>
          <w:tcPr>
            <w:tcW w:w="1962"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r>
      <w:tr>
        <w:trPr>
          <w:trHeight w:val="397" w:hRule="atLeast"/>
        </w:trPr>
        <w:tc>
          <w:tcPr>
            <w:tcW w:w="2592" w:type="dxa"/>
            <w:tcBorders>
              <w:top w:val="single" w:sz="6" w:space="0" w:color="000000"/>
              <w:left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Zvieratá</w:t>
            </w:r>
          </w:p>
        </w:tc>
        <w:tc>
          <w:tcPr>
            <w:tcW w:w="1172" w:type="dxa"/>
            <w:tcBorders>
              <w:top w:val="single" w:sz="6" w:space="0" w:color="000000"/>
              <w:left w:val="single" w:sz="12" w:space="0" w:color="000000"/>
              <w:bottom w:val="single" w:sz="4"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t> </w:t>
            </w:r>
          </w:p>
        </w:tc>
        <w:tc>
          <w:tcPr>
            <w:tcW w:w="1291" w:type="dxa"/>
            <w:tcBorders>
              <w:top w:val="single" w:sz="6" w:space="0" w:color="000000"/>
              <w:left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p>
        </w:tc>
        <w:tc>
          <w:tcPr>
            <w:tcW w:w="1455"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c>
          <w:tcPr>
            <w:tcW w:w="1165"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c>
          <w:tcPr>
            <w:tcW w:w="1962"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97" w:hRule="atLeast"/>
        </w:trPr>
        <w:tc>
          <w:tcPr>
            <w:tcW w:w="2592"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Spolu</w:t>
            </w:r>
          </w:p>
        </w:tc>
        <w:tc>
          <w:tcPr>
            <w:tcW w:w="1172" w:type="dxa"/>
            <w:tcBorders>
              <w:top w:val="single" w:sz="4"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left"/>
              <w:rPr>
                <w:szCs w:val="22"/>
              </w:rPr>
            </w:pPr>
            <w:r>
              <w:rPr>
                <w:szCs w:val="22"/>
              </w:rPr>
              <w:t xml:space="preserve"> </w:t>
            </w:r>
          </w:p>
        </w:tc>
        <w:tc>
          <w:tcPr>
            <w:tcW w:w="1291" w:type="dxa"/>
            <w:tcBorders>
              <w:top w:val="single" w:sz="4" w:space="0" w:color="000000"/>
              <w:left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p>
        </w:tc>
        <w:tc>
          <w:tcPr>
            <w:tcW w:w="1455" w:type="dxa"/>
            <w:tcBorders>
              <w:top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c>
          <w:tcPr>
            <w:tcW w:w="1165"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c>
          <w:tcPr>
            <w:tcW w:w="1962"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r>
      <w:tr>
        <w:trPr>
          <w:trHeight w:val="397" w:hRule="atLeast"/>
        </w:trPr>
        <w:tc>
          <w:tcPr>
            <w:tcW w:w="2592"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Manká a škody</w:t>
            </w:r>
          </w:p>
        </w:tc>
        <w:tc>
          <w:tcPr>
            <w:tcW w:w="1172"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center"/>
              <w:rPr>
                <w:szCs w:val="22"/>
              </w:rPr>
            </w:pPr>
            <w:r>
              <w:rPr>
                <w:szCs w:val="22"/>
              </w:rPr>
              <w:t>X</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center"/>
              <w:rPr>
                <w:szCs w:val="22"/>
              </w:rPr>
            </w:pPr>
            <w:r>
              <w:rPr>
                <w:szCs w:val="22"/>
              </w:rPr>
              <w:t>x</w:t>
            </w:r>
          </w:p>
        </w:tc>
        <w:tc>
          <w:tcPr>
            <w:tcW w:w="145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X</w:t>
            </w:r>
          </w:p>
        </w:tc>
        <w:tc>
          <w:tcPr>
            <w:tcW w:w="1165"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c>
          <w:tcPr>
            <w:tcW w:w="1962"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97" w:hRule="atLeast"/>
        </w:trPr>
        <w:tc>
          <w:tcPr>
            <w:tcW w:w="259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Reprezentačné</w:t>
            </w:r>
          </w:p>
        </w:tc>
        <w:tc>
          <w:tcPr>
            <w:tcW w:w="1172" w:type="dxa"/>
            <w:tcBorders>
              <w:top w:val="single" w:sz="6" w:space="0" w:color="000000"/>
              <w:left w:val="single" w:sz="12" w:space="0" w:color="000000"/>
              <w:bottom w:val="single" w:sz="6" w:space="0" w:color="000000"/>
              <w:right w:val="single" w:sz="6" w:space="0" w:color="000000"/>
            </w:tcBorders>
            <w:vAlign w:val="center"/>
          </w:tcPr>
          <w:p>
            <w:pPr>
              <w:pStyle w:val="Normal"/>
              <w:widowControl w:val="false"/>
              <w:bidi w:val="0"/>
              <w:spacing w:lineRule="auto" w:line="240" w:before="0" w:after="0"/>
              <w:jc w:val="center"/>
              <w:rPr>
                <w:szCs w:val="22"/>
              </w:rPr>
            </w:pPr>
            <w:r>
              <w:rPr>
                <w:szCs w:val="22"/>
              </w:rPr>
              <w:t>X</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bidi w:val="0"/>
              <w:spacing w:lineRule="auto" w:line="240" w:before="0" w:after="0"/>
              <w:jc w:val="center"/>
              <w:rPr>
                <w:szCs w:val="22"/>
              </w:rPr>
            </w:pPr>
            <w:r>
              <w:rPr>
                <w:szCs w:val="22"/>
              </w:rPr>
              <w:t>x</w:t>
            </w:r>
          </w:p>
        </w:tc>
        <w:tc>
          <w:tcPr>
            <w:tcW w:w="1455" w:type="dxa"/>
            <w:tcBorders>
              <w:top w:val="single" w:sz="6" w:space="0" w:color="000000"/>
              <w:left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x</w:t>
            </w:r>
          </w:p>
        </w:tc>
        <w:tc>
          <w:tcPr>
            <w:tcW w:w="1165"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c>
          <w:tcPr>
            <w:tcW w:w="196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259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Dary</w:t>
            </w:r>
          </w:p>
        </w:tc>
        <w:tc>
          <w:tcPr>
            <w:tcW w:w="1172" w:type="dxa"/>
            <w:tcBorders>
              <w:top w:val="single" w:sz="6" w:space="0" w:color="000000"/>
              <w:left w:val="single" w:sz="12" w:space="0" w:color="000000"/>
              <w:bottom w:val="single" w:sz="6" w:space="0" w:color="000000"/>
              <w:right w:val="single" w:sz="6" w:space="0" w:color="000000"/>
            </w:tcBorders>
          </w:tcPr>
          <w:p>
            <w:pPr>
              <w:pStyle w:val="Normal"/>
              <w:widowControl w:val="false"/>
              <w:bidi w:val="0"/>
              <w:spacing w:lineRule="auto" w:line="240" w:before="0" w:after="0"/>
              <w:jc w:val="center"/>
              <w:rPr>
                <w:szCs w:val="22"/>
              </w:rPr>
            </w:pPr>
            <w:r>
              <w:rPr>
                <w:szCs w:val="22"/>
              </w:rPr>
              <w:t>X</w:t>
            </w:r>
          </w:p>
        </w:tc>
        <w:tc>
          <w:tcPr>
            <w:tcW w:w="1291" w:type="dxa"/>
            <w:tcBorders>
              <w:top w:val="single" w:sz="6" w:space="0" w:color="000000"/>
              <w:left w:val="single" w:sz="6" w:space="0" w:color="000000"/>
              <w:bottom w:val="single" w:sz="6" w:space="0" w:color="000000"/>
              <w:right w:val="single" w:sz="6" w:space="0" w:color="000000"/>
            </w:tcBorders>
          </w:tcPr>
          <w:p>
            <w:pPr>
              <w:pStyle w:val="Normal"/>
              <w:widowControl w:val="false"/>
              <w:bidi w:val="0"/>
              <w:spacing w:lineRule="auto" w:line="240" w:before="0" w:after="0"/>
              <w:jc w:val="center"/>
              <w:rPr>
                <w:szCs w:val="22"/>
              </w:rPr>
            </w:pPr>
            <w:r>
              <w:rPr>
                <w:szCs w:val="22"/>
              </w:rPr>
              <w:t>x</w:t>
            </w:r>
          </w:p>
        </w:tc>
        <w:tc>
          <w:tcPr>
            <w:tcW w:w="1455" w:type="dxa"/>
            <w:tcBorders>
              <w:top w:val="single" w:sz="6" w:space="0" w:color="000000"/>
              <w:left w:val="single" w:sz="6" w:space="0" w:color="000000"/>
              <w:bottom w:val="single" w:sz="6" w:space="0" w:color="000000"/>
              <w:right w:val="single" w:sz="12" w:space="0" w:color="000000"/>
            </w:tcBorders>
          </w:tcPr>
          <w:p>
            <w:pPr>
              <w:pStyle w:val="Normal"/>
              <w:widowControl w:val="false"/>
              <w:bidi w:val="0"/>
              <w:spacing w:lineRule="auto" w:line="240" w:before="0" w:after="0"/>
              <w:jc w:val="center"/>
              <w:rPr>
                <w:szCs w:val="22"/>
              </w:rPr>
            </w:pPr>
            <w:r>
              <w:rPr>
                <w:szCs w:val="22"/>
              </w:rPr>
              <w:t>x</w:t>
            </w:r>
          </w:p>
        </w:tc>
        <w:tc>
          <w:tcPr>
            <w:tcW w:w="1165"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c>
          <w:tcPr>
            <w:tcW w:w="196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97" w:hRule="atLeast"/>
        </w:trPr>
        <w:tc>
          <w:tcPr>
            <w:tcW w:w="2592"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Iné</w:t>
            </w:r>
          </w:p>
        </w:tc>
        <w:tc>
          <w:tcPr>
            <w:tcW w:w="1172" w:type="dxa"/>
            <w:tcBorders>
              <w:top w:val="single" w:sz="6" w:space="0" w:color="000000"/>
              <w:left w:val="single" w:sz="12" w:space="0" w:color="000000"/>
              <w:bottom w:val="single" w:sz="12" w:space="0" w:color="000000"/>
              <w:right w:val="single" w:sz="6" w:space="0" w:color="000000"/>
            </w:tcBorders>
          </w:tcPr>
          <w:p>
            <w:pPr>
              <w:pStyle w:val="Normal"/>
              <w:widowControl w:val="false"/>
              <w:bidi w:val="0"/>
              <w:spacing w:lineRule="auto" w:line="240" w:before="0" w:after="0"/>
              <w:jc w:val="center"/>
              <w:rPr>
                <w:szCs w:val="22"/>
              </w:rPr>
            </w:pPr>
            <w:r>
              <w:rPr>
                <w:szCs w:val="22"/>
              </w:rPr>
              <w:t>X</w:t>
            </w:r>
          </w:p>
        </w:tc>
        <w:tc>
          <w:tcPr>
            <w:tcW w:w="1291" w:type="dxa"/>
            <w:tcBorders>
              <w:top w:val="single" w:sz="6" w:space="0" w:color="000000"/>
              <w:left w:val="single" w:sz="6" w:space="0" w:color="000000"/>
              <w:bottom w:val="single" w:sz="12" w:space="0" w:color="000000"/>
              <w:right w:val="single" w:sz="6" w:space="0" w:color="000000"/>
            </w:tcBorders>
          </w:tcPr>
          <w:p>
            <w:pPr>
              <w:pStyle w:val="Normal"/>
              <w:widowControl w:val="false"/>
              <w:bidi w:val="0"/>
              <w:spacing w:lineRule="auto" w:line="240" w:before="0" w:after="0"/>
              <w:jc w:val="center"/>
              <w:rPr>
                <w:szCs w:val="22"/>
              </w:rPr>
            </w:pPr>
            <w:r>
              <w:rPr>
                <w:szCs w:val="22"/>
              </w:rPr>
              <w:t>x</w:t>
            </w:r>
          </w:p>
        </w:tc>
        <w:tc>
          <w:tcPr>
            <w:tcW w:w="1455" w:type="dxa"/>
            <w:tcBorders>
              <w:top w:val="single" w:sz="6" w:space="0" w:color="000000"/>
              <w:left w:val="single" w:sz="6" w:space="0" w:color="000000"/>
              <w:bottom w:val="single" w:sz="12" w:space="0" w:color="000000"/>
              <w:right w:val="single" w:sz="12" w:space="0" w:color="000000"/>
            </w:tcBorders>
          </w:tcPr>
          <w:p>
            <w:pPr>
              <w:pStyle w:val="Normal"/>
              <w:widowControl w:val="false"/>
              <w:bidi w:val="0"/>
              <w:spacing w:lineRule="auto" w:line="240" w:before="0" w:after="0"/>
              <w:jc w:val="center"/>
              <w:rPr>
                <w:szCs w:val="22"/>
              </w:rPr>
            </w:pPr>
            <w:r>
              <w:rPr>
                <w:szCs w:val="22"/>
              </w:rPr>
              <w:t>x</w:t>
            </w:r>
          </w:p>
        </w:tc>
        <w:tc>
          <w:tcPr>
            <w:tcW w:w="1165"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c>
          <w:tcPr>
            <w:tcW w:w="1962"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705" w:hRule="atLeast"/>
        </w:trPr>
        <w:tc>
          <w:tcPr>
            <w:tcW w:w="2592"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Zmena stavu vnútroorganizačných zásob vo výkaze ziskov a strát</w:t>
            </w:r>
          </w:p>
        </w:tc>
        <w:tc>
          <w:tcPr>
            <w:tcW w:w="1172" w:type="dxa"/>
            <w:tcBorders>
              <w:top w:val="single" w:sz="12" w:space="0" w:color="000000"/>
              <w:left w:val="single" w:sz="12" w:space="0" w:color="000000"/>
              <w:bottom w:val="single" w:sz="12" w:space="0" w:color="000000"/>
              <w:right w:val="single" w:sz="6" w:space="0" w:color="000000"/>
            </w:tcBorders>
            <w:vAlign w:val="center"/>
          </w:tcPr>
          <w:p>
            <w:pPr>
              <w:pStyle w:val="Normal"/>
              <w:widowControl w:val="false"/>
              <w:bidi w:val="0"/>
              <w:spacing w:lineRule="auto" w:line="240" w:before="0" w:after="0"/>
              <w:jc w:val="center"/>
              <w:rPr>
                <w:szCs w:val="22"/>
              </w:rPr>
            </w:pPr>
            <w:r>
              <w:rPr>
                <w:szCs w:val="22"/>
              </w:rPr>
              <w:t>X</w:t>
            </w:r>
          </w:p>
        </w:tc>
        <w:tc>
          <w:tcPr>
            <w:tcW w:w="1291" w:type="dxa"/>
            <w:tcBorders>
              <w:top w:val="single" w:sz="12" w:space="0" w:color="000000"/>
              <w:left w:val="single" w:sz="6" w:space="0" w:color="000000"/>
              <w:bottom w:val="single" w:sz="12" w:space="0" w:color="000000"/>
              <w:right w:val="single" w:sz="6" w:space="0" w:color="000000"/>
            </w:tcBorders>
            <w:vAlign w:val="center"/>
          </w:tcPr>
          <w:p>
            <w:pPr>
              <w:pStyle w:val="Normal"/>
              <w:widowControl w:val="false"/>
              <w:bidi w:val="0"/>
              <w:spacing w:lineRule="auto" w:line="240" w:before="0" w:after="0"/>
              <w:jc w:val="center"/>
              <w:rPr>
                <w:szCs w:val="22"/>
              </w:rPr>
            </w:pPr>
            <w:r>
              <w:rPr>
                <w:szCs w:val="22"/>
              </w:rPr>
              <w:t>x</w:t>
            </w:r>
          </w:p>
        </w:tc>
        <w:tc>
          <w:tcPr>
            <w:tcW w:w="1455" w:type="dxa"/>
            <w:tcBorders>
              <w:top w:val="single" w:sz="12" w:space="0" w:color="000000"/>
              <w:left w:val="single" w:sz="6"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x</w:t>
            </w:r>
          </w:p>
        </w:tc>
        <w:tc>
          <w:tcPr>
            <w:tcW w:w="1165"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c>
          <w:tcPr>
            <w:tcW w:w="1962" w:type="dxa"/>
            <w:tcBorders>
              <w:top w:val="single" w:sz="12"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r>
    </w:tbl>
    <w:p>
      <w:pPr>
        <w:pStyle w:val="Normal"/>
        <w:bidi w:val="0"/>
        <w:spacing w:lineRule="auto" w:line="240" w:before="0" w:after="0"/>
        <w:jc w:val="left"/>
        <w:rPr>
          <w:b/>
          <w:kern w:val="2"/>
          <w:szCs w:val="22"/>
        </w:rPr>
      </w:pPr>
      <w:r>
        <w:rPr>
          <w:b/>
          <w:kern w:val="2"/>
          <w:szCs w:val="22"/>
        </w:rPr>
      </w:r>
    </w:p>
    <w:p>
      <w:pPr>
        <w:pStyle w:val="Normal"/>
        <w:bidi w:val="0"/>
        <w:spacing w:lineRule="auto" w:line="240" w:before="0" w:after="0"/>
        <w:jc w:val="both"/>
        <w:rPr>
          <w:rFonts w:ascii="Arial" w:hAnsi="Arial" w:cs="Arial"/>
          <w:b/>
          <w:kern w:val="2"/>
          <w:szCs w:val="22"/>
        </w:rPr>
      </w:pPr>
      <w:r>
        <w:rPr>
          <w:rFonts w:cs="Arial" w:ascii="Arial" w:hAnsi="Arial"/>
          <w:b/>
          <w:kern w:val="2"/>
          <w:szCs w:val="22"/>
        </w:rPr>
      </w:r>
    </w:p>
    <w:p>
      <w:pPr>
        <w:pStyle w:val="Normal"/>
        <w:bidi w:val="0"/>
        <w:spacing w:lineRule="auto" w:line="240" w:before="0" w:after="0"/>
        <w:jc w:val="both"/>
        <w:rPr>
          <w:rFonts w:ascii="Arial" w:hAnsi="Arial" w:cs="Arial"/>
          <w:b/>
          <w:kern w:val="2"/>
          <w:szCs w:val="22"/>
        </w:rPr>
      </w:pPr>
      <w:r>
        <w:rPr>
          <w:rFonts w:cs="Arial" w:ascii="Arial" w:hAnsi="Arial"/>
          <w:b/>
          <w:kern w:val="2"/>
          <w:szCs w:val="22"/>
        </w:rPr>
        <w:t>c/ opis a suma významných položiek výnosov pri aktivácii nákladov</w:t>
      </w:r>
    </w:p>
    <w:p>
      <w:pPr>
        <w:pStyle w:val="Normal"/>
        <w:bidi w:val="0"/>
        <w:spacing w:lineRule="auto" w:line="240" w:before="0" w:after="0"/>
        <w:jc w:val="both"/>
        <w:rPr>
          <w:rFonts w:ascii="Arial" w:hAnsi="Arial" w:cs="Arial"/>
          <w:kern w:val="2"/>
          <w:szCs w:val="22"/>
        </w:rPr>
      </w:pPr>
      <w:r>
        <w:rPr>
          <w:rFonts w:cs="Arial" w:ascii="Arial" w:hAnsi="Arial"/>
          <w:kern w:val="2"/>
          <w:szCs w:val="22"/>
        </w:rPr>
        <w:t>Spoločnosť nemalo žiadne významné položky výnosov pri aktivácii nákladov.</w:t>
      </w:r>
    </w:p>
    <w:p>
      <w:pPr>
        <w:pStyle w:val="Normal"/>
        <w:bidi w:val="0"/>
        <w:spacing w:lineRule="auto" w:line="240" w:before="0" w:after="0"/>
        <w:jc w:val="both"/>
        <w:rPr>
          <w:rFonts w:ascii="Arial" w:hAnsi="Arial" w:cs="Arial"/>
          <w:b/>
          <w:kern w:val="2"/>
          <w:szCs w:val="22"/>
        </w:rPr>
      </w:pPr>
      <w:r>
        <w:rPr>
          <w:rFonts w:cs="Arial" w:ascii="Arial" w:hAnsi="Arial"/>
          <w:b/>
          <w:kern w:val="2"/>
          <w:szCs w:val="22"/>
        </w:rPr>
      </w:r>
    </w:p>
    <w:p>
      <w:pPr>
        <w:pStyle w:val="Normal"/>
        <w:bidi w:val="0"/>
        <w:spacing w:lineRule="auto" w:line="240" w:before="0" w:after="0"/>
        <w:jc w:val="both"/>
        <w:rPr>
          <w:rFonts w:ascii="Arial" w:hAnsi="Arial" w:cs="Arial"/>
          <w:b/>
          <w:kern w:val="2"/>
          <w:szCs w:val="22"/>
        </w:rPr>
      </w:pPr>
      <w:r>
        <w:rPr>
          <w:rFonts w:cs="Arial" w:ascii="Arial" w:hAnsi="Arial"/>
          <w:b/>
          <w:kern w:val="2"/>
          <w:szCs w:val="22"/>
        </w:rPr>
        <w:t>d/ opis a suma ostatných významných položiek výnosov z hospodárskej činnosti</w:t>
      </w:r>
    </w:p>
    <w:p>
      <w:pPr>
        <w:pStyle w:val="Normal"/>
        <w:bidi w:val="0"/>
        <w:spacing w:lineRule="auto" w:line="240" w:before="0" w:after="0"/>
        <w:jc w:val="both"/>
        <w:rPr>
          <w:rFonts w:ascii="Arial" w:hAnsi="Arial" w:cs="Arial"/>
          <w:kern w:val="2"/>
          <w:szCs w:val="22"/>
        </w:rPr>
      </w:pPr>
      <w:r>
        <w:rPr>
          <w:rFonts w:cs="Arial" w:ascii="Arial" w:hAnsi="Arial"/>
          <w:kern w:val="2"/>
          <w:szCs w:val="22"/>
        </w:rPr>
        <w:t>Spoločnosť v roku 202</w:t>
      </w:r>
      <w:r>
        <w:rPr>
          <w:rFonts w:cs="Arial" w:ascii="Arial" w:hAnsi="Arial"/>
          <w:kern w:val="2"/>
          <w:szCs w:val="22"/>
        </w:rPr>
        <w:t>5</w:t>
      </w:r>
      <w:r>
        <w:rPr>
          <w:rFonts w:cs="Arial" w:ascii="Arial" w:hAnsi="Arial"/>
          <w:kern w:val="2"/>
          <w:szCs w:val="22"/>
        </w:rPr>
        <w:t xml:space="preserve"> mala výnosy z hospodárskej činnosti vo výške </w:t>
      </w:r>
      <w:r>
        <w:rPr>
          <w:rFonts w:cs="Arial" w:ascii="Arial" w:hAnsi="Arial"/>
          <w:kern w:val="2"/>
          <w:szCs w:val="22"/>
        </w:rPr>
        <w:t>2.747,00</w:t>
      </w:r>
      <w:r>
        <w:rPr>
          <w:rFonts w:cs="Arial" w:ascii="Arial" w:hAnsi="Arial"/>
          <w:kern w:val="2"/>
          <w:szCs w:val="22"/>
        </w:rPr>
        <w:t xml:space="preserve"> eur. </w:t>
      </w:r>
    </w:p>
    <w:p>
      <w:pPr>
        <w:pStyle w:val="Normal"/>
        <w:bidi w:val="0"/>
        <w:spacing w:lineRule="auto" w:line="240" w:before="0" w:after="0"/>
        <w:jc w:val="both"/>
        <w:rPr>
          <w:rFonts w:ascii="Arial" w:hAnsi="Arial" w:cs="Arial"/>
          <w:kern w:val="2"/>
          <w:szCs w:val="22"/>
        </w:rPr>
      </w:pPr>
      <w:r>
        <w:rPr>
          <w:rFonts w:cs="Arial" w:ascii="Arial" w:hAnsi="Arial"/>
          <w:kern w:val="2"/>
          <w:szCs w:val="22"/>
        </w:rPr>
      </w:r>
    </w:p>
    <w:p>
      <w:pPr>
        <w:pStyle w:val="Normal"/>
        <w:bidi w:val="0"/>
        <w:spacing w:lineRule="auto" w:line="240" w:before="0" w:after="0"/>
        <w:jc w:val="both"/>
        <w:rPr>
          <w:rFonts w:ascii="Arial" w:hAnsi="Arial" w:cs="Arial"/>
          <w:b/>
          <w:kern w:val="2"/>
          <w:szCs w:val="22"/>
        </w:rPr>
      </w:pPr>
      <w:r>
        <w:rPr>
          <w:rFonts w:cs="Arial" w:ascii="Arial" w:hAnsi="Arial"/>
          <w:b/>
          <w:kern w:val="2"/>
          <w:szCs w:val="22"/>
        </w:rPr>
        <w:t>e/ opis a suma významných položiek finančných výnosov</w:t>
      </w:r>
    </w:p>
    <w:p>
      <w:pPr>
        <w:pStyle w:val="Normal"/>
        <w:bidi w:val="0"/>
        <w:spacing w:lineRule="auto" w:line="240" w:before="0" w:after="0"/>
        <w:jc w:val="both"/>
        <w:rPr>
          <w:rFonts w:ascii="Arial" w:hAnsi="Arial" w:cs="Arial"/>
          <w:kern w:val="2"/>
          <w:szCs w:val="22"/>
        </w:rPr>
      </w:pPr>
      <w:r>
        <w:rPr>
          <w:rFonts w:cs="Arial" w:ascii="Arial" w:hAnsi="Arial"/>
          <w:kern w:val="2"/>
          <w:szCs w:val="22"/>
        </w:rPr>
        <w:t xml:space="preserve">Spoločnosť nemala žiadne významné položky finančných výnosov. </w:t>
      </w:r>
    </w:p>
    <w:p>
      <w:pPr>
        <w:pStyle w:val="Normal"/>
        <w:bidi w:val="0"/>
        <w:spacing w:lineRule="auto" w:line="240" w:before="0" w:after="0"/>
        <w:jc w:val="both"/>
        <w:rPr>
          <w:rFonts w:ascii="Arial" w:hAnsi="Arial" w:cs="Arial"/>
          <w:kern w:val="2"/>
          <w:szCs w:val="22"/>
        </w:rPr>
      </w:pPr>
      <w:r>
        <w:rPr>
          <w:rFonts w:cs="Arial" w:ascii="Arial" w:hAnsi="Arial"/>
          <w:kern w:val="2"/>
          <w:szCs w:val="22"/>
        </w:rPr>
      </w:r>
    </w:p>
    <w:p>
      <w:pPr>
        <w:pStyle w:val="Normal"/>
        <w:bidi w:val="0"/>
        <w:spacing w:lineRule="auto" w:line="240" w:before="0" w:after="0"/>
        <w:jc w:val="both"/>
        <w:rPr>
          <w:rFonts w:ascii="Arial" w:hAnsi="Arial" w:cs="Arial"/>
          <w:b/>
          <w:kern w:val="2"/>
          <w:szCs w:val="22"/>
        </w:rPr>
      </w:pPr>
      <w:r>
        <w:rPr>
          <w:rFonts w:cs="Arial" w:ascii="Arial" w:hAnsi="Arial"/>
          <w:b/>
          <w:kern w:val="2"/>
          <w:szCs w:val="22"/>
        </w:rPr>
        <w:t>f/ suma položiek výnosov, ktoré majú výnimočný rozsah alebo výskyt</w:t>
      </w:r>
    </w:p>
    <w:p>
      <w:pPr>
        <w:pStyle w:val="Normal"/>
        <w:bidi w:val="0"/>
        <w:spacing w:lineRule="auto" w:line="240" w:before="0" w:after="0"/>
        <w:jc w:val="both"/>
        <w:rPr>
          <w:rFonts w:ascii="Arial" w:hAnsi="Arial" w:cs="Arial"/>
          <w:kern w:val="2"/>
          <w:szCs w:val="22"/>
        </w:rPr>
      </w:pPr>
      <w:r>
        <w:rPr>
          <w:rFonts w:cs="Arial" w:ascii="Arial" w:hAnsi="Arial"/>
          <w:kern w:val="2"/>
          <w:szCs w:val="22"/>
        </w:rPr>
        <w:t>Spoločnosť nemala žiadne významné položky finančných výnosov.</w:t>
      </w:r>
    </w:p>
    <w:p>
      <w:pPr>
        <w:pStyle w:val="Normal"/>
        <w:bidi w:val="0"/>
        <w:spacing w:lineRule="auto" w:line="240" w:before="0" w:after="0"/>
        <w:jc w:val="both"/>
        <w:rPr>
          <w:rFonts w:ascii="Arial" w:hAnsi="Arial" w:cs="Arial"/>
          <w:kern w:val="2"/>
          <w:szCs w:val="22"/>
        </w:rPr>
      </w:pPr>
      <w:r>
        <w:rPr>
          <w:rFonts w:cs="Arial" w:ascii="Arial" w:hAnsi="Arial"/>
          <w:kern w:val="2"/>
          <w:szCs w:val="22"/>
        </w:rPr>
      </w:r>
    </w:p>
    <w:p>
      <w:pPr>
        <w:pStyle w:val="Normal"/>
        <w:bidi w:val="0"/>
        <w:spacing w:lineRule="auto" w:line="240" w:before="0" w:after="0"/>
        <w:jc w:val="both"/>
        <w:rPr>
          <w:rFonts w:ascii="Arial" w:hAnsi="Arial" w:cs="Arial"/>
          <w:b/>
          <w:kern w:val="2"/>
          <w:szCs w:val="22"/>
        </w:rPr>
      </w:pPr>
      <w:r>
        <w:rPr>
          <w:rFonts w:cs="Arial" w:ascii="Arial" w:hAnsi="Arial"/>
          <w:b/>
          <w:kern w:val="2"/>
          <w:szCs w:val="22"/>
        </w:rPr>
        <w:t>g/ suma čistého obratu podľa §19 odst.1 písm. a/ druhého bodu zákona o účtovníctve na zistenie povinnosti overenia individuálnej účtovnej závierky audítorom</w:t>
      </w:r>
    </w:p>
    <w:p>
      <w:pPr>
        <w:pStyle w:val="Normal"/>
        <w:bidi w:val="0"/>
        <w:spacing w:lineRule="auto" w:line="240" w:before="0" w:after="0"/>
        <w:jc w:val="both"/>
        <w:rPr>
          <w:rFonts w:ascii="Arial" w:hAnsi="Arial" w:cs="Arial"/>
          <w:kern w:val="2"/>
          <w:szCs w:val="22"/>
        </w:rPr>
      </w:pPr>
      <w:r>
        <w:rPr>
          <w:rFonts w:cs="Arial" w:ascii="Arial" w:hAnsi="Arial"/>
          <w:kern w:val="2"/>
          <w:szCs w:val="22"/>
        </w:rPr>
        <w:t>Spoločnosť nemá povinnosť overovať účtovnú závierku audítorom.</w:t>
      </w:r>
    </w:p>
    <w:p>
      <w:pPr>
        <w:pStyle w:val="Normal"/>
        <w:bidi w:val="0"/>
        <w:spacing w:lineRule="auto" w:line="240" w:before="0" w:after="0"/>
        <w:jc w:val="left"/>
        <w:rPr>
          <w:b/>
          <w:kern w:val="2"/>
          <w:szCs w:val="22"/>
        </w:rPr>
      </w:pPr>
      <w:r>
        <w:rPr>
          <w:b/>
          <w:kern w:val="2"/>
          <w:szCs w:val="22"/>
        </w:rPr>
      </w:r>
    </w:p>
    <w:p>
      <w:pPr>
        <w:pStyle w:val="Nzov"/>
        <w:numPr>
          <w:ilvl w:val="0"/>
          <w:numId w:val="7"/>
        </w:numPr>
        <w:bidi w:val="0"/>
        <w:spacing w:beforeAutospacing="0" w:before="0" w:after="0"/>
        <w:jc w:val="left"/>
        <w:rPr>
          <w:szCs w:val="22"/>
        </w:rPr>
      </w:pPr>
      <w:r>
        <w:rPr>
          <w:szCs w:val="22"/>
        </w:rPr>
        <w:t>Informácie k prílohe č. 3 časti H. písm. g) o čistom obrate</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6012"/>
        <w:gridCol w:w="1812"/>
        <w:gridCol w:w="1814"/>
      </w:tblGrid>
      <w:tr>
        <w:trPr>
          <w:trHeight w:val="1005" w:hRule="atLeast"/>
        </w:trPr>
        <w:tc>
          <w:tcPr>
            <w:tcW w:w="6012"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Názov položky</w:t>
            </w:r>
          </w:p>
        </w:tc>
        <w:tc>
          <w:tcPr>
            <w:tcW w:w="1812"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c>
          <w:tcPr>
            <w:tcW w:w="1814"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369" w:hRule="atLeast"/>
        </w:trPr>
        <w:tc>
          <w:tcPr>
            <w:tcW w:w="6012"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Tržby za vlastné výrobky</w:t>
            </w:r>
          </w:p>
        </w:tc>
        <w:tc>
          <w:tcPr>
            <w:tcW w:w="1812"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814"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69" w:hRule="atLeast"/>
        </w:trPr>
        <w:tc>
          <w:tcPr>
            <w:tcW w:w="601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Tržby z predaja služieb</w:t>
            </w:r>
          </w:p>
        </w:tc>
        <w:tc>
          <w:tcPr>
            <w:tcW w:w="181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2747</w:t>
            </w:r>
          </w:p>
        </w:tc>
        <w:tc>
          <w:tcPr>
            <w:tcW w:w="181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69" w:hRule="atLeast"/>
        </w:trPr>
        <w:tc>
          <w:tcPr>
            <w:tcW w:w="601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Tržby za tovar</w:t>
            </w:r>
          </w:p>
        </w:tc>
        <w:tc>
          <w:tcPr>
            <w:tcW w:w="1812"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814"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69" w:hRule="atLeast"/>
        </w:trPr>
        <w:tc>
          <w:tcPr>
            <w:tcW w:w="601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Výnosy zo zákazky</w:t>
            </w:r>
          </w:p>
        </w:tc>
        <w:tc>
          <w:tcPr>
            <w:tcW w:w="181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81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69" w:hRule="atLeast"/>
        </w:trPr>
        <w:tc>
          <w:tcPr>
            <w:tcW w:w="601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Výnosy z nehnuteľnosti na predaj</w:t>
            </w:r>
          </w:p>
        </w:tc>
        <w:tc>
          <w:tcPr>
            <w:tcW w:w="1812"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814"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69" w:hRule="atLeast"/>
        </w:trPr>
        <w:tc>
          <w:tcPr>
            <w:tcW w:w="6012"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Iné výnosy súvisiace s bežnou činnosťou (kurz.zisk)</w:t>
            </w:r>
          </w:p>
        </w:tc>
        <w:tc>
          <w:tcPr>
            <w:tcW w:w="1812"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r>
              <w:rPr>
                <w:szCs w:val="22"/>
              </w:rPr>
              <w:t>0</w:t>
            </w:r>
          </w:p>
        </w:tc>
        <w:tc>
          <w:tcPr>
            <w:tcW w:w="1814"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369" w:hRule="atLeast"/>
        </w:trPr>
        <w:tc>
          <w:tcPr>
            <w:tcW w:w="6012"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t>Čistý obrat celkom</w:t>
            </w:r>
          </w:p>
        </w:tc>
        <w:tc>
          <w:tcPr>
            <w:tcW w:w="1812"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r>
              <w:rPr>
                <w:szCs w:val="22"/>
              </w:rPr>
              <w:t>2747</w:t>
            </w:r>
          </w:p>
        </w:tc>
        <w:tc>
          <w:tcPr>
            <w:tcW w:w="181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p>
        </w:tc>
      </w:tr>
    </w:tbl>
    <w:p>
      <w:pPr>
        <w:pStyle w:val="Normal"/>
        <w:bidi w:val="0"/>
        <w:ind w:left="142" w:hanging="0"/>
        <w:jc w:val="left"/>
        <w:rPr>
          <w:rFonts w:ascii="Arial" w:hAnsi="Arial" w:cs="Arial"/>
          <w:b/>
          <w:sz w:val="28"/>
          <w:szCs w:val="28"/>
        </w:rPr>
      </w:pPr>
      <w:r>
        <w:rPr>
          <w:rFonts w:cs="Arial" w:ascii="Arial" w:hAnsi="Arial"/>
          <w:b/>
          <w:sz w:val="28"/>
          <w:szCs w:val="28"/>
        </w:rPr>
      </w:r>
    </w:p>
    <w:p>
      <w:pPr>
        <w:pStyle w:val="Normal"/>
        <w:bidi w:val="0"/>
        <w:ind w:left="142" w:hanging="0"/>
        <w:jc w:val="left"/>
        <w:rPr>
          <w:rFonts w:ascii="Arial" w:hAnsi="Arial" w:cs="Arial"/>
          <w:b/>
          <w:sz w:val="28"/>
          <w:szCs w:val="28"/>
        </w:rPr>
      </w:pPr>
      <w:r>
        <w:rPr>
          <w:rFonts w:cs="Arial" w:ascii="Arial" w:hAnsi="Arial"/>
          <w:b/>
          <w:sz w:val="28"/>
          <w:szCs w:val="28"/>
        </w:rPr>
      </w:r>
    </w:p>
    <w:p>
      <w:pPr>
        <w:pStyle w:val="ListParagraph"/>
        <w:numPr>
          <w:ilvl w:val="0"/>
          <w:numId w:val="4"/>
        </w:numPr>
        <w:bidi w:val="0"/>
        <w:jc w:val="left"/>
        <w:rPr>
          <w:rFonts w:ascii="Arial" w:hAnsi="Arial" w:cs="Arial"/>
          <w:b/>
          <w:sz w:val="28"/>
          <w:szCs w:val="28"/>
        </w:rPr>
      </w:pPr>
      <w:r>
        <w:rPr>
          <w:rFonts w:cs="Arial" w:ascii="Arial" w:hAnsi="Arial"/>
          <w:b/>
          <w:sz w:val="28"/>
          <w:szCs w:val="28"/>
        </w:rPr>
        <w:t>Informácie o nákladoch</w:t>
      </w:r>
    </w:p>
    <w:p>
      <w:pPr>
        <w:pStyle w:val="Normal"/>
        <w:bidi w:val="0"/>
        <w:ind w:left="284" w:hanging="0"/>
        <w:jc w:val="left"/>
        <w:rPr>
          <w:rFonts w:ascii="Arial" w:hAnsi="Arial" w:cs="Arial"/>
          <w:b/>
          <w:sz w:val="28"/>
          <w:szCs w:val="28"/>
        </w:rPr>
      </w:pPr>
      <w:r>
        <w:rPr>
          <w:rFonts w:cs="Arial" w:ascii="Arial" w:hAnsi="Arial"/>
          <w:b/>
          <w:szCs w:val="22"/>
        </w:rPr>
        <w:t>a/ významné položky nákladov za poskytnuté služby</w:t>
      </w:r>
    </w:p>
    <w:p>
      <w:pPr>
        <w:pStyle w:val="Normal"/>
        <w:bidi w:val="0"/>
        <w:jc w:val="left"/>
        <w:rPr>
          <w:rFonts w:ascii="Arial" w:hAnsi="Arial" w:cs="Arial"/>
        </w:rPr>
      </w:pPr>
      <w:r>
        <w:rPr/>
      </w:r>
    </w:p>
    <w:p>
      <w:pPr>
        <w:pStyle w:val="Normal"/>
        <w:bidi w:val="0"/>
        <w:jc w:val="left"/>
        <w:rPr>
          <w:rFonts w:ascii="Arial" w:hAnsi="Arial" w:cs="Arial"/>
        </w:rPr>
      </w:pPr>
      <w:r>
        <w:rPr>
          <w:rFonts w:cs="Arial" w:ascii="Arial" w:hAnsi="Arial"/>
        </w:rPr>
        <w:t xml:space="preserve">služby                                                                                               </w:t>
      </w:r>
      <w:r>
        <w:rPr>
          <w:rFonts w:cs="Arial" w:ascii="Arial" w:hAnsi="Arial"/>
        </w:rPr>
        <w:t>2.747,00</w:t>
      </w:r>
      <w:r>
        <w:rPr>
          <w:rFonts w:cs="Arial" w:ascii="Arial" w:hAnsi="Arial"/>
        </w:rPr>
        <w:t xml:space="preserve"> eur  </w:t>
      </w:r>
    </w:p>
    <w:p>
      <w:pPr>
        <w:pStyle w:val="Normal"/>
        <w:bidi w:val="0"/>
        <w:jc w:val="left"/>
        <w:rPr>
          <w:rFonts w:ascii="Arial" w:hAnsi="Arial" w:cs="Arial"/>
          <w:b/>
        </w:rPr>
      </w:pPr>
      <w:r>
        <w:rPr>
          <w:rFonts w:cs="Arial" w:ascii="Arial" w:hAnsi="Arial"/>
          <w:b/>
        </w:rPr>
        <w:t>Spolu                                                                                               2.</w:t>
      </w:r>
      <w:r>
        <w:rPr>
          <w:rFonts w:cs="Arial" w:ascii="Arial" w:hAnsi="Arial"/>
          <w:b/>
        </w:rPr>
        <w:t>747,00</w:t>
      </w:r>
      <w:r>
        <w:rPr>
          <w:rFonts w:cs="Arial" w:ascii="Arial" w:hAnsi="Arial"/>
          <w:b/>
        </w:rPr>
        <w:t xml:space="preserve"> eur</w:t>
      </w:r>
    </w:p>
    <w:p>
      <w:pPr>
        <w:pStyle w:val="Normal"/>
        <w:bidi w:val="0"/>
        <w:jc w:val="left"/>
        <w:rPr>
          <w:rFonts w:ascii="Arial" w:hAnsi="Arial" w:cs="Arial"/>
          <w:b/>
        </w:rPr>
      </w:pPr>
      <w:r>
        <w:rPr>
          <w:rFonts w:cs="Arial" w:ascii="Arial" w:hAnsi="Arial"/>
          <w:b/>
        </w:rPr>
      </w:r>
    </w:p>
    <w:p>
      <w:pPr>
        <w:pStyle w:val="Normal"/>
        <w:bidi w:val="0"/>
        <w:jc w:val="left"/>
        <w:rPr>
          <w:rFonts w:ascii="Arial" w:hAnsi="Arial" w:cs="Arial"/>
          <w:b/>
        </w:rPr>
      </w:pPr>
      <w:r>
        <w:rPr>
          <w:rFonts w:cs="Arial" w:ascii="Arial" w:hAnsi="Arial"/>
          <w:b/>
        </w:rPr>
        <w:t>b/ významné položky ostatných nákladov z hospodárskej činnosti</w:t>
      </w:r>
    </w:p>
    <w:p>
      <w:pPr>
        <w:pStyle w:val="Normal"/>
        <w:bidi w:val="0"/>
        <w:jc w:val="left"/>
        <w:rPr>
          <w:rFonts w:ascii="Arial" w:hAnsi="Arial" w:cs="Arial"/>
        </w:rPr>
      </w:pPr>
      <w:r>
        <w:rPr/>
      </w:r>
    </w:p>
    <w:p>
      <w:pPr>
        <w:pStyle w:val="Normal"/>
        <w:bidi w:val="0"/>
        <w:jc w:val="left"/>
        <w:rPr>
          <w:rFonts w:ascii="Arial" w:hAnsi="Arial" w:cs="Arial"/>
        </w:rPr>
      </w:pPr>
      <w:r>
        <w:rPr>
          <w:rFonts w:cs="Arial" w:ascii="Arial" w:hAnsi="Arial"/>
        </w:rPr>
        <w:t>OE – nákup                                                                                          354,00 eur</w:t>
      </w:r>
    </w:p>
    <w:p>
      <w:pPr>
        <w:pStyle w:val="Normal"/>
        <w:bidi w:val="0"/>
        <w:jc w:val="left"/>
        <w:rPr>
          <w:rFonts w:ascii="Arial" w:hAnsi="Arial" w:cs="Arial"/>
        </w:rPr>
      </w:pPr>
      <w:r>
        <w:rPr>
          <w:rFonts w:cs="Arial" w:ascii="Arial" w:hAnsi="Arial"/>
        </w:rPr>
        <w:t>drobný nákup                                                                                       152,00 eur</w:t>
      </w:r>
    </w:p>
    <w:p>
      <w:pPr>
        <w:pStyle w:val="Normal"/>
        <w:bidi w:val="0"/>
        <w:jc w:val="left"/>
        <w:rPr>
          <w:rFonts w:ascii="Arial" w:hAnsi="Arial" w:cs="Arial"/>
        </w:rPr>
      </w:pPr>
      <w:r>
        <w:rPr>
          <w:rFonts w:cs="Arial" w:ascii="Arial" w:hAnsi="Arial"/>
        </w:rPr>
        <w:t>služby                                                                                                   900,00 eur</w:t>
      </w:r>
    </w:p>
    <w:p>
      <w:pPr>
        <w:pStyle w:val="Normal"/>
        <w:bidi w:val="0"/>
        <w:jc w:val="left"/>
        <w:rPr>
          <w:rFonts w:ascii="Arial" w:hAnsi="Arial" w:cs="Arial"/>
        </w:rPr>
      </w:pPr>
      <w:r>
        <w:rPr>
          <w:rFonts w:cs="Arial" w:ascii="Arial" w:hAnsi="Arial"/>
        </w:rPr>
        <w:t>licencia                                                                                                 120,00 eur</w:t>
      </w:r>
    </w:p>
    <w:p>
      <w:pPr>
        <w:pStyle w:val="Normal"/>
        <w:bidi w:val="0"/>
        <w:jc w:val="left"/>
        <w:rPr>
          <w:rFonts w:ascii="Arial" w:hAnsi="Arial" w:cs="Arial"/>
          <w:b/>
        </w:rPr>
      </w:pPr>
      <w:r>
        <w:rPr>
          <w:rFonts w:cs="Arial" w:ascii="Arial" w:hAnsi="Arial"/>
          <w:b/>
        </w:rPr>
        <w:t xml:space="preserve">spolu                                                                                                 </w:t>
      </w:r>
      <w:r>
        <w:rPr>
          <w:rFonts w:cs="Arial" w:ascii="Arial" w:hAnsi="Arial"/>
          <w:b/>
        </w:rPr>
        <w:t>1.526,00</w:t>
      </w:r>
      <w:r>
        <w:rPr>
          <w:rFonts w:cs="Arial" w:ascii="Arial" w:hAnsi="Arial"/>
          <w:b/>
        </w:rPr>
        <w:t xml:space="preserve"> eur</w:t>
      </w:r>
    </w:p>
    <w:p>
      <w:pPr>
        <w:pStyle w:val="Normal"/>
        <w:bidi w:val="0"/>
        <w:jc w:val="left"/>
        <w:rPr>
          <w:rFonts w:ascii="Arial" w:hAnsi="Arial" w:cs="Arial"/>
          <w:b/>
        </w:rPr>
      </w:pPr>
      <w:r>
        <w:rPr/>
      </w:r>
    </w:p>
    <w:p>
      <w:pPr>
        <w:pStyle w:val="Normal"/>
        <w:bidi w:val="0"/>
        <w:jc w:val="left"/>
        <w:rPr>
          <w:rFonts w:ascii="Arial" w:hAnsi="Arial" w:cs="Arial"/>
        </w:rPr>
      </w:pPr>
      <w:r>
        <w:rPr>
          <w:rFonts w:cs="Arial" w:ascii="Arial" w:hAnsi="Arial"/>
        </w:rPr>
        <w:t xml:space="preserve">dane a poplatky                                                                                    </w:t>
      </w:r>
      <w:r>
        <w:rPr>
          <w:rFonts w:cs="Arial" w:ascii="Arial" w:hAnsi="Arial"/>
        </w:rPr>
        <w:t>215,00</w:t>
      </w:r>
      <w:r>
        <w:rPr>
          <w:rFonts w:cs="Arial" w:ascii="Arial" w:hAnsi="Arial"/>
        </w:rPr>
        <w:t xml:space="preserve"> eur</w:t>
      </w:r>
    </w:p>
    <w:p>
      <w:pPr>
        <w:pStyle w:val="Normal"/>
        <w:bidi w:val="0"/>
        <w:jc w:val="left"/>
        <w:rPr>
          <w:rFonts w:ascii="Arial" w:hAnsi="Arial" w:cs="Arial"/>
          <w:b/>
        </w:rPr>
      </w:pPr>
      <w:r>
        <w:rPr>
          <w:rFonts w:cs="Arial" w:ascii="Arial" w:hAnsi="Arial"/>
          <w:b/>
        </w:rPr>
        <w:t xml:space="preserve">spolu                                                                                                    </w:t>
      </w:r>
      <w:r>
        <w:rPr>
          <w:rFonts w:cs="Arial" w:ascii="Arial" w:hAnsi="Arial"/>
          <w:b/>
        </w:rPr>
        <w:t>215,00</w:t>
      </w:r>
      <w:r>
        <w:rPr>
          <w:rFonts w:cs="Arial" w:ascii="Arial" w:hAnsi="Arial"/>
          <w:b/>
        </w:rPr>
        <w:t>eur</w:t>
      </w:r>
    </w:p>
    <w:p>
      <w:pPr>
        <w:pStyle w:val="Normal"/>
        <w:bidi w:val="0"/>
        <w:jc w:val="left"/>
        <w:rPr>
          <w:b w:val="false"/>
          <w:bCs w:val="false"/>
        </w:rPr>
      </w:pPr>
      <w:r>
        <w:rPr>
          <w:rFonts w:cs="Arial" w:ascii="Arial" w:hAnsi="Arial"/>
          <w:b w:val="false"/>
          <w:bCs w:val="false"/>
        </w:rPr>
        <w:t xml:space="preserve">                                                                                            </w:t>
      </w:r>
    </w:p>
    <w:p>
      <w:pPr>
        <w:pStyle w:val="Normal"/>
        <w:bidi w:val="0"/>
        <w:jc w:val="left"/>
        <w:rPr>
          <w:rFonts w:ascii="Arial" w:hAnsi="Arial" w:cs="Arial"/>
          <w:b/>
        </w:rPr>
      </w:pPr>
      <w:r>
        <w:rPr>
          <w:rFonts w:cs="Arial" w:ascii="Arial" w:hAnsi="Arial"/>
          <w:b/>
        </w:rPr>
        <w:t xml:space="preserve">c/ významné položky finančných nákladov </w:t>
      </w:r>
    </w:p>
    <w:p>
      <w:pPr>
        <w:pStyle w:val="Normal"/>
        <w:bidi w:val="0"/>
        <w:jc w:val="both"/>
        <w:rPr>
          <w:rFonts w:ascii="Arial" w:hAnsi="Arial" w:cs="Arial"/>
        </w:rPr>
      </w:pPr>
      <w:r>
        <w:rPr>
          <w:rFonts w:cs="Arial" w:ascii="Arial" w:hAnsi="Arial"/>
        </w:rPr>
        <w:t>V roku 202</w:t>
      </w:r>
      <w:r>
        <w:rPr>
          <w:rFonts w:cs="Arial" w:ascii="Arial" w:hAnsi="Arial"/>
        </w:rPr>
        <w:t>5</w:t>
      </w:r>
      <w:r>
        <w:rPr>
          <w:rFonts w:cs="Arial" w:ascii="Arial" w:hAnsi="Arial"/>
        </w:rPr>
        <w:t xml:space="preserve"> nemala spoločnosť žiadne významné položky finančných nákladov. </w:t>
      </w:r>
    </w:p>
    <w:p>
      <w:pPr>
        <w:pStyle w:val="Normal"/>
        <w:bidi w:val="0"/>
        <w:jc w:val="both"/>
        <w:rPr>
          <w:rFonts w:ascii="Arial" w:hAnsi="Arial" w:cs="Arial"/>
        </w:rPr>
      </w:pPr>
      <w:r>
        <w:rPr>
          <w:rFonts w:cs="Arial" w:ascii="Arial" w:hAnsi="Arial"/>
        </w:rPr>
        <w:t xml:space="preserve">Poplatky banke boli vo výške </w:t>
      </w:r>
      <w:r>
        <w:rPr>
          <w:rFonts w:cs="Arial" w:ascii="Arial" w:hAnsi="Arial"/>
        </w:rPr>
        <w:t xml:space="preserve">0 </w:t>
      </w:r>
      <w:r>
        <w:rPr>
          <w:rFonts w:cs="Arial" w:ascii="Arial" w:hAnsi="Arial"/>
        </w:rPr>
        <w:t>eur.</w:t>
      </w:r>
    </w:p>
    <w:p>
      <w:pPr>
        <w:pStyle w:val="Normal"/>
        <w:bidi w:val="0"/>
        <w:jc w:val="both"/>
        <w:rPr>
          <w:rFonts w:ascii="Arial" w:hAnsi="Arial" w:cs="Arial"/>
        </w:rPr>
      </w:pPr>
      <w:r>
        <w:rPr/>
      </w:r>
    </w:p>
    <w:p>
      <w:pPr>
        <w:pStyle w:val="Normal"/>
        <w:bidi w:val="0"/>
        <w:jc w:val="both"/>
        <w:rPr>
          <w:rFonts w:ascii="Arial" w:hAnsi="Arial" w:cs="Arial"/>
        </w:rPr>
      </w:pPr>
      <w:r>
        <w:rPr>
          <w:rFonts w:cs="Arial" w:ascii="Arial" w:hAnsi="Arial"/>
          <w:b/>
        </w:rPr>
        <w:t>d/ položky nákladov, ktoré majú výnimočný rozsah alebo výskyt</w:t>
      </w:r>
    </w:p>
    <w:p>
      <w:pPr>
        <w:pStyle w:val="Normal"/>
        <w:bidi w:val="0"/>
        <w:jc w:val="both"/>
        <w:rPr>
          <w:rFonts w:ascii="Arial" w:hAnsi="Arial" w:cs="Arial"/>
        </w:rPr>
      </w:pPr>
      <w:r>
        <w:rPr>
          <w:rFonts w:cs="Arial" w:ascii="Arial" w:hAnsi="Arial"/>
        </w:rPr>
        <w:t>V roku 202</w:t>
      </w:r>
      <w:r>
        <w:rPr>
          <w:rFonts w:cs="Arial" w:ascii="Arial" w:hAnsi="Arial"/>
        </w:rPr>
        <w:t>5</w:t>
      </w:r>
      <w:r>
        <w:rPr>
          <w:rFonts w:cs="Arial" w:ascii="Arial" w:hAnsi="Arial"/>
        </w:rPr>
        <w:t xml:space="preserve"> nemala spoločnosť žiadne položky nákladov, ktoré majú výnimočný rozsah, alebo výskyt.</w:t>
      </w:r>
    </w:p>
    <w:p>
      <w:pPr>
        <w:pStyle w:val="Normal"/>
        <w:bidi w:val="0"/>
        <w:jc w:val="both"/>
        <w:rPr>
          <w:rFonts w:ascii="Arial" w:hAnsi="Arial" w:cs="Arial"/>
        </w:rPr>
      </w:pPr>
      <w:r>
        <w:rPr/>
      </w:r>
    </w:p>
    <w:p>
      <w:pPr>
        <w:pStyle w:val="Normal"/>
        <w:bidi w:val="0"/>
        <w:jc w:val="both"/>
        <w:rPr>
          <w:rFonts w:ascii="Arial" w:hAnsi="Arial" w:cs="Arial"/>
          <w:b/>
        </w:rPr>
      </w:pPr>
      <w:r>
        <w:rPr>
          <w:rFonts w:cs="Arial" w:ascii="Arial" w:hAnsi="Arial"/>
          <w:b/>
        </w:rPr>
        <w:t>e/ celková suma nákladov za overenie individuálnej účtovnej závierky audítorom, alebo audítorskou spoločnosťou, uisťovacie audítorské služby s výnimkou overenia individuálnej účtovnej závierky</w:t>
      </w:r>
    </w:p>
    <w:p>
      <w:pPr>
        <w:pStyle w:val="Normal"/>
        <w:bidi w:val="0"/>
        <w:jc w:val="both"/>
        <w:rPr>
          <w:rFonts w:ascii="Arial" w:hAnsi="Arial" w:cs="Arial"/>
        </w:rPr>
      </w:pPr>
      <w:r>
        <w:rPr>
          <w:rFonts w:cs="Arial" w:ascii="Arial" w:hAnsi="Arial"/>
        </w:rPr>
        <w:t>Spoločnosť nemá povinnosť overenia individuálnej účtovnej závierky audítorom, preto nemala žiadne náklady voči audítorovi.</w:t>
      </w:r>
    </w:p>
    <w:p>
      <w:pPr>
        <w:pStyle w:val="Normal"/>
        <w:bidi w:val="0"/>
        <w:jc w:val="left"/>
        <w:rPr>
          <w:rFonts w:ascii="Arial" w:hAnsi="Arial" w:cs="Arial"/>
        </w:rPr>
      </w:pPr>
      <w:r>
        <w:rPr>
          <w:rFonts w:cs="Arial" w:ascii="Arial" w:hAnsi="Arial"/>
        </w:rPr>
      </w:r>
    </w:p>
    <w:p>
      <w:pPr>
        <w:pStyle w:val="Nzov"/>
        <w:numPr>
          <w:ilvl w:val="0"/>
          <w:numId w:val="7"/>
        </w:numPr>
        <w:bidi w:val="0"/>
        <w:spacing w:beforeAutospacing="0" w:before="0" w:after="0"/>
        <w:jc w:val="left"/>
        <w:rPr>
          <w:szCs w:val="22"/>
        </w:rPr>
      </w:pPr>
      <w:r>
        <w:rPr>
          <w:szCs w:val="22"/>
        </w:rPr>
        <w:t>Informácie k prílohe č. 3 časti I. o nákladoch voči audítorovi, audítorskej spoločnosti</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96"/>
        <w:gridCol w:w="1917"/>
        <w:gridCol w:w="2025"/>
      </w:tblGrid>
      <w:tr>
        <w:trPr>
          <w:trHeight w:val="1005" w:hRule="atLeast"/>
        </w:trPr>
        <w:tc>
          <w:tcPr>
            <w:tcW w:w="5696"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Názov položky</w:t>
            </w:r>
          </w:p>
        </w:tc>
        <w:tc>
          <w:tcPr>
            <w:tcW w:w="1917"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c>
          <w:tcPr>
            <w:tcW w:w="2025"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369" w:hRule="atLeast"/>
        </w:trPr>
        <w:tc>
          <w:tcPr>
            <w:tcW w:w="5696"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Náklady voči audítorovi, audítorskej spoločnosti, z toho:</w:t>
            </w:r>
          </w:p>
        </w:tc>
        <w:tc>
          <w:tcPr>
            <w:tcW w:w="1917"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 </w:t>
            </w:r>
          </w:p>
        </w:tc>
        <w:tc>
          <w:tcPr>
            <w:tcW w:w="2025"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b/>
                <w:szCs w:val="22"/>
              </w:rPr>
            </w:pPr>
            <w:r>
              <w:rPr>
                <w:b/>
                <w:szCs w:val="22"/>
              </w:rPr>
              <w:t> </w:t>
            </w:r>
          </w:p>
        </w:tc>
      </w:tr>
      <w:tr>
        <w:trPr>
          <w:trHeight w:val="369" w:hRule="atLeast"/>
        </w:trPr>
        <w:tc>
          <w:tcPr>
            <w:tcW w:w="5696"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náklady za overenie individuálnej účtovnej závierky</w:t>
            </w:r>
          </w:p>
        </w:tc>
        <w:tc>
          <w:tcPr>
            <w:tcW w:w="1917"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025"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5696"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iné uisťovacie audítorské služby</w:t>
            </w:r>
          </w:p>
        </w:tc>
        <w:tc>
          <w:tcPr>
            <w:tcW w:w="1917"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025"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5696"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súvisiace audítorské služby</w:t>
            </w:r>
          </w:p>
        </w:tc>
        <w:tc>
          <w:tcPr>
            <w:tcW w:w="1917"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025"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5696"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daňové poradenstvo</w:t>
            </w:r>
          </w:p>
        </w:tc>
        <w:tc>
          <w:tcPr>
            <w:tcW w:w="1917"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025"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69" w:hRule="atLeast"/>
        </w:trPr>
        <w:tc>
          <w:tcPr>
            <w:tcW w:w="5696"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ostatné neaudítorské služby</w:t>
            </w:r>
          </w:p>
        </w:tc>
        <w:tc>
          <w:tcPr>
            <w:tcW w:w="1917"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2025"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bl>
    <w:p>
      <w:pPr>
        <w:pStyle w:val="ListParagraph"/>
        <w:bidi w:val="0"/>
        <w:ind w:left="502" w:hanging="0"/>
        <w:jc w:val="left"/>
        <w:rPr>
          <w:rFonts w:ascii="Arial" w:hAnsi="Arial" w:cs="Arial"/>
          <w:b/>
          <w:sz w:val="28"/>
          <w:szCs w:val="28"/>
        </w:rPr>
      </w:pPr>
      <w:r>
        <w:rPr>
          <w:rFonts w:cs="Arial" w:ascii="Arial" w:hAnsi="Arial"/>
          <w:b/>
          <w:sz w:val="28"/>
          <w:szCs w:val="28"/>
        </w:rPr>
      </w:r>
    </w:p>
    <w:p>
      <w:pPr>
        <w:pStyle w:val="ListParagraph"/>
        <w:bidi w:val="0"/>
        <w:ind w:left="502" w:hanging="0"/>
        <w:jc w:val="left"/>
        <w:rPr>
          <w:rFonts w:ascii="Arial" w:hAnsi="Arial" w:cs="Arial"/>
          <w:b/>
          <w:sz w:val="28"/>
          <w:szCs w:val="28"/>
        </w:rPr>
      </w:pPr>
      <w:r>
        <w:rPr>
          <w:rFonts w:cs="Arial" w:ascii="Arial" w:hAnsi="Arial"/>
          <w:b/>
          <w:sz w:val="28"/>
          <w:szCs w:val="28"/>
        </w:rPr>
      </w:r>
    </w:p>
    <w:p>
      <w:pPr>
        <w:pStyle w:val="ListParagraph"/>
        <w:numPr>
          <w:ilvl w:val="0"/>
          <w:numId w:val="4"/>
        </w:numPr>
        <w:bidi w:val="0"/>
        <w:jc w:val="left"/>
        <w:rPr>
          <w:rFonts w:ascii="Arial" w:hAnsi="Arial" w:cs="Arial"/>
          <w:b/>
          <w:sz w:val="28"/>
          <w:szCs w:val="28"/>
        </w:rPr>
      </w:pPr>
      <w:r>
        <w:rPr>
          <w:rFonts w:cs="Arial" w:ascii="Arial" w:hAnsi="Arial"/>
          <w:b/>
          <w:sz w:val="28"/>
          <w:szCs w:val="28"/>
        </w:rPr>
        <w:t>Informácie o daniach z príjmov</w:t>
      </w:r>
    </w:p>
    <w:p>
      <w:pPr>
        <w:pStyle w:val="ListParagraph"/>
        <w:bidi w:val="0"/>
        <w:ind w:left="502" w:hanging="0"/>
        <w:jc w:val="left"/>
        <w:rPr>
          <w:rFonts w:ascii="Arial" w:hAnsi="Arial" w:cs="Arial"/>
          <w:b/>
          <w:sz w:val="28"/>
          <w:szCs w:val="28"/>
        </w:rPr>
      </w:pPr>
      <w:r>
        <w:rPr>
          <w:rFonts w:cs="Arial" w:ascii="Arial" w:hAnsi="Arial"/>
          <w:b/>
          <w:sz w:val="28"/>
          <w:szCs w:val="28"/>
        </w:rPr>
      </w:r>
    </w:p>
    <w:p>
      <w:pPr>
        <w:pStyle w:val="ListParagraph"/>
        <w:bidi w:val="0"/>
        <w:ind w:left="502" w:hanging="0"/>
        <w:jc w:val="both"/>
        <w:rPr>
          <w:rFonts w:ascii="Arial" w:hAnsi="Arial" w:cs="Arial"/>
          <w:szCs w:val="22"/>
        </w:rPr>
      </w:pPr>
      <w:r>
        <w:rPr>
          <w:rFonts w:cs="Arial" w:ascii="Arial" w:hAnsi="Arial"/>
          <w:b/>
          <w:szCs w:val="22"/>
        </w:rPr>
        <w:t>a/</w:t>
      </w:r>
      <w:r>
        <w:rPr>
          <w:rFonts w:cs="Arial" w:ascii="Arial" w:hAnsi="Arial"/>
          <w:szCs w:val="22"/>
        </w:rPr>
        <w:t xml:space="preserve"> suma odložených daní z príjmov účtovaných v bežnom účtovnom období nebola žiadna</w:t>
      </w:r>
    </w:p>
    <w:p>
      <w:pPr>
        <w:pStyle w:val="ListParagraph"/>
        <w:bidi w:val="0"/>
        <w:ind w:left="502" w:hanging="0"/>
        <w:jc w:val="both"/>
        <w:rPr>
          <w:rFonts w:ascii="Arial" w:hAnsi="Arial" w:cs="Arial"/>
          <w:szCs w:val="22"/>
        </w:rPr>
      </w:pPr>
      <w:r>
        <w:rPr>
          <w:rFonts w:cs="Arial" w:ascii="Arial" w:hAnsi="Arial"/>
          <w:szCs w:val="22"/>
        </w:rPr>
      </w:r>
    </w:p>
    <w:p>
      <w:pPr>
        <w:pStyle w:val="ListParagraph"/>
        <w:bidi w:val="0"/>
        <w:ind w:left="502" w:hanging="0"/>
        <w:jc w:val="both"/>
        <w:rPr>
          <w:rFonts w:ascii="Arial" w:hAnsi="Arial" w:cs="Arial"/>
          <w:szCs w:val="22"/>
        </w:rPr>
      </w:pPr>
      <w:r>
        <w:rPr>
          <w:rFonts w:cs="Arial" w:ascii="Arial" w:hAnsi="Arial"/>
          <w:b/>
          <w:szCs w:val="22"/>
        </w:rPr>
        <w:t>b/</w:t>
      </w:r>
      <w:r>
        <w:rPr>
          <w:rFonts w:cs="Arial" w:ascii="Arial" w:hAnsi="Arial"/>
          <w:szCs w:val="22"/>
        </w:rPr>
        <w:t xml:space="preserve"> suma odloženej daňovej pohľadávky účtovanej v bežnom účtovnom období, umorenie daňovej straty a  nevyužité daňové odpočty spoločnosť nemala</w:t>
      </w:r>
    </w:p>
    <w:p>
      <w:pPr>
        <w:pStyle w:val="ListParagraph"/>
        <w:bidi w:val="0"/>
        <w:ind w:left="502" w:hanging="0"/>
        <w:jc w:val="both"/>
        <w:rPr>
          <w:rFonts w:ascii="Arial" w:hAnsi="Arial" w:cs="Arial"/>
          <w:szCs w:val="22"/>
        </w:rPr>
      </w:pPr>
      <w:r>
        <w:rPr>
          <w:rFonts w:cs="Arial" w:ascii="Arial" w:hAnsi="Arial"/>
          <w:szCs w:val="22"/>
        </w:rPr>
      </w:r>
    </w:p>
    <w:p>
      <w:pPr>
        <w:pStyle w:val="ListParagraph"/>
        <w:bidi w:val="0"/>
        <w:ind w:left="502" w:hanging="0"/>
        <w:jc w:val="both"/>
        <w:rPr>
          <w:rFonts w:ascii="Arial" w:hAnsi="Arial" w:cs="Arial"/>
          <w:szCs w:val="22"/>
        </w:rPr>
      </w:pPr>
      <w:r>
        <w:rPr>
          <w:rFonts w:cs="Arial" w:ascii="Arial" w:hAnsi="Arial"/>
          <w:b/>
          <w:szCs w:val="22"/>
        </w:rPr>
        <w:t>c/</w:t>
      </w:r>
      <w:r>
        <w:rPr>
          <w:rFonts w:cs="Arial" w:ascii="Arial" w:hAnsi="Arial"/>
          <w:szCs w:val="22"/>
        </w:rPr>
        <w:t xml:space="preserve"> suma odloženého daňového záväzku, ktorý vznikol z dôvodu neúčtovania tej časti odloženej daňovej pohľadávky v bežnom účtovnom období, o ktorej sa účtovalo v bežnom účtovnom období spoločnosť nemala</w:t>
      </w:r>
    </w:p>
    <w:p>
      <w:pPr>
        <w:pStyle w:val="ListParagraph"/>
        <w:bidi w:val="0"/>
        <w:ind w:left="502" w:hanging="0"/>
        <w:jc w:val="both"/>
        <w:rPr>
          <w:rFonts w:ascii="Arial" w:hAnsi="Arial" w:cs="Arial"/>
          <w:szCs w:val="22"/>
        </w:rPr>
      </w:pPr>
      <w:r>
        <w:rPr>
          <w:rFonts w:cs="Arial" w:ascii="Arial" w:hAnsi="Arial"/>
          <w:szCs w:val="22"/>
        </w:rPr>
      </w:r>
    </w:p>
    <w:p>
      <w:pPr>
        <w:pStyle w:val="ListParagraph"/>
        <w:bidi w:val="0"/>
        <w:ind w:left="502" w:hanging="0"/>
        <w:jc w:val="both"/>
        <w:rPr>
          <w:rFonts w:ascii="Arial" w:hAnsi="Arial" w:cs="Arial"/>
          <w:szCs w:val="22"/>
        </w:rPr>
      </w:pPr>
      <w:r>
        <w:rPr>
          <w:rFonts w:cs="Arial" w:ascii="Arial" w:hAnsi="Arial"/>
          <w:b/>
          <w:szCs w:val="22"/>
        </w:rPr>
        <w:t>d/</w:t>
      </w:r>
      <w:r>
        <w:rPr>
          <w:rFonts w:cs="Arial" w:ascii="Arial" w:hAnsi="Arial"/>
          <w:szCs w:val="22"/>
        </w:rPr>
        <w:t xml:space="preserve"> suma neuplatneného umorenia daňovej straty, nevyužitých daňových odpočtov a iných nárokov a odpočítateľných dočasných rozdielov spoločnosť nemala </w:t>
      </w:r>
    </w:p>
    <w:p>
      <w:pPr>
        <w:pStyle w:val="ListParagraph"/>
        <w:bidi w:val="0"/>
        <w:ind w:left="502" w:hanging="0"/>
        <w:jc w:val="both"/>
        <w:rPr>
          <w:rFonts w:ascii="Arial" w:hAnsi="Arial" w:cs="Arial"/>
          <w:szCs w:val="22"/>
        </w:rPr>
      </w:pPr>
      <w:r>
        <w:rPr>
          <w:rFonts w:cs="Arial" w:ascii="Arial" w:hAnsi="Arial"/>
          <w:szCs w:val="22"/>
        </w:rPr>
      </w:r>
    </w:p>
    <w:p>
      <w:pPr>
        <w:pStyle w:val="ListParagraph"/>
        <w:bidi w:val="0"/>
        <w:ind w:left="502" w:hanging="0"/>
        <w:jc w:val="both"/>
        <w:rPr>
          <w:rFonts w:ascii="Arial" w:hAnsi="Arial" w:cs="Arial"/>
          <w:szCs w:val="22"/>
        </w:rPr>
      </w:pPr>
      <w:r>
        <w:rPr>
          <w:rFonts w:cs="Arial" w:ascii="Arial" w:hAnsi="Arial"/>
          <w:b/>
          <w:szCs w:val="22"/>
        </w:rPr>
        <w:t>e/</w:t>
      </w:r>
      <w:r>
        <w:rPr>
          <w:rFonts w:cs="Arial" w:ascii="Arial" w:hAnsi="Arial"/>
          <w:szCs w:val="22"/>
        </w:rPr>
        <w:t xml:space="preserve"> odložená daň z príjmov, ktorá sa vzťahuje k položkám účtovaných priamo na účty vlastného imania bez účtovania na účty nákladov a výnosov spoločnosť nemala</w:t>
      </w:r>
    </w:p>
    <w:p>
      <w:pPr>
        <w:pStyle w:val="ListParagraph"/>
        <w:bidi w:val="0"/>
        <w:ind w:left="502" w:hanging="0"/>
        <w:jc w:val="left"/>
        <w:rPr>
          <w:rFonts w:ascii="Arial" w:hAnsi="Arial" w:cs="Arial"/>
          <w:szCs w:val="22"/>
        </w:rPr>
      </w:pPr>
      <w:r>
        <w:rPr>
          <w:rFonts w:cs="Arial" w:ascii="Arial" w:hAnsi="Arial"/>
          <w:szCs w:val="22"/>
        </w:rPr>
      </w:r>
    </w:p>
    <w:p>
      <w:pPr>
        <w:pStyle w:val="Nzov"/>
        <w:numPr>
          <w:ilvl w:val="0"/>
          <w:numId w:val="7"/>
        </w:numPr>
        <w:bidi w:val="0"/>
        <w:spacing w:beforeAutospacing="0" w:before="0" w:after="0"/>
        <w:jc w:val="left"/>
        <w:rPr>
          <w:szCs w:val="22"/>
        </w:rPr>
      </w:pPr>
      <w:r>
        <w:rPr>
          <w:szCs w:val="22"/>
        </w:rPr>
        <w:t>Informácie k prílohe č. 3 časti J. písm. a) až e) o daniach z príjmov</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5990"/>
        <w:gridCol w:w="1728"/>
        <w:gridCol w:w="1920"/>
      </w:tblGrid>
      <w:tr>
        <w:trPr>
          <w:trHeight w:val="840" w:hRule="atLeast"/>
        </w:trPr>
        <w:tc>
          <w:tcPr>
            <w:tcW w:w="5990"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Názov položky</w:t>
            </w:r>
          </w:p>
        </w:tc>
        <w:tc>
          <w:tcPr>
            <w:tcW w:w="1728"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c>
          <w:tcPr>
            <w:tcW w:w="1920" w:type="dxa"/>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rHeight w:val="567" w:hRule="atLeast"/>
        </w:trPr>
        <w:tc>
          <w:tcPr>
            <w:tcW w:w="5990" w:type="dxa"/>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Suma odloženej daňovej pohľadávky účtovanej ako náklad alebo výnos vyplývajúca zo zmeny sadzby dane z príjmov</w:t>
            </w:r>
          </w:p>
        </w:tc>
        <w:tc>
          <w:tcPr>
            <w:tcW w:w="1728"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920"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567" w:hRule="atLeast"/>
        </w:trPr>
        <w:tc>
          <w:tcPr>
            <w:tcW w:w="5990" w:type="dxa"/>
            <w:tcBorders>
              <w:top w:val="single" w:sz="8"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Suma odloženého daňového záväzku účtovaného ako náklad alebo výnos vyplývajúci zo zmeny sadzby dane z príjmov</w:t>
            </w:r>
          </w:p>
        </w:tc>
        <w:tc>
          <w:tcPr>
            <w:tcW w:w="1728"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920"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567" w:hRule="atLeast"/>
        </w:trPr>
        <w:tc>
          <w:tcPr>
            <w:tcW w:w="5990"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28"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920"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567" w:hRule="atLeast"/>
        </w:trPr>
        <w:tc>
          <w:tcPr>
            <w:tcW w:w="5990"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Suma odloženého daňového záväzku, ktorý vznikol </w:t>
              <w:br/>
              <w:t>z dôvodu neúčtovania tej časti odloženej daňovej pohľadávky v bežnom účtovnom období, o ktorej sa účtovalo v predchádzajúcich účtovných obdobiach</w:t>
            </w:r>
          </w:p>
        </w:tc>
        <w:tc>
          <w:tcPr>
            <w:tcW w:w="1728"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920"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567" w:hRule="atLeast"/>
        </w:trPr>
        <w:tc>
          <w:tcPr>
            <w:tcW w:w="5990" w:type="dxa"/>
            <w:tcBorders>
              <w:top w:val="single" w:sz="4" w:space="0" w:color="000000"/>
              <w:left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Suma neuplatneného umorenia daňovej straty, nevyužitých daňových odpočtov a iných nárokov a odpočítateľných dočasných rozdielov, ku ktorým nebola účtovaná odložená daňová pohľadávka</w:t>
            </w:r>
          </w:p>
        </w:tc>
        <w:tc>
          <w:tcPr>
            <w:tcW w:w="1728"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920"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r>
        <w:trPr>
          <w:trHeight w:val="567" w:hRule="atLeast"/>
        </w:trPr>
        <w:tc>
          <w:tcPr>
            <w:tcW w:w="5990" w:type="dxa"/>
            <w:tcBorders>
              <w:top w:val="single" w:sz="4" w:space="0" w:color="000000"/>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Suma odloženej dani z príjmov, ktorá sa vzťahuje na položky účtované priamo na účty vlastného imania bez účtovania na účty nákladov a výnosov</w:t>
            </w:r>
          </w:p>
        </w:tc>
        <w:tc>
          <w:tcPr>
            <w:tcW w:w="1728"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920"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p>
        </w:tc>
      </w:tr>
    </w:tbl>
    <w:p>
      <w:pPr>
        <w:pStyle w:val="Nzov"/>
        <w:bidi w:val="0"/>
        <w:spacing w:beforeAutospacing="0" w:before="0" w:after="0"/>
        <w:jc w:val="left"/>
        <w:rPr>
          <w:b w:val="false"/>
          <w:szCs w:val="22"/>
        </w:rPr>
      </w:pPr>
      <w:r>
        <w:rPr>
          <w:b w:val="false"/>
          <w:szCs w:val="22"/>
        </w:rPr>
      </w:r>
    </w:p>
    <w:p>
      <w:pPr>
        <w:pStyle w:val="Nzov"/>
        <w:bidi w:val="0"/>
        <w:spacing w:beforeAutospacing="0" w:before="0" w:after="0"/>
        <w:jc w:val="both"/>
        <w:rPr>
          <w:rFonts w:ascii="Arial" w:hAnsi="Arial" w:cs="Arial"/>
          <w:b w:val="false"/>
          <w:szCs w:val="22"/>
        </w:rPr>
      </w:pPr>
      <w:r>
        <w:rPr>
          <w:rFonts w:cs="Arial" w:ascii="Arial" w:hAnsi="Arial"/>
          <w:szCs w:val="22"/>
        </w:rPr>
        <w:t xml:space="preserve">f/ </w:t>
      </w:r>
      <w:r>
        <w:rPr>
          <w:rFonts w:cs="Arial" w:ascii="Arial" w:hAnsi="Arial"/>
          <w:b w:val="false"/>
          <w:szCs w:val="22"/>
        </w:rPr>
        <w:t>vzťah medzi sumou splatnej dane z príjmov a sumou odloženej dane z príjmov a medzi výsledkom hospodárenia pred zdanením</w:t>
      </w:r>
    </w:p>
    <w:p>
      <w:pPr>
        <w:pStyle w:val="Normal"/>
        <w:bidi w:val="0"/>
        <w:jc w:val="left"/>
        <w:rPr/>
      </w:pPr>
      <w:r>
        <w:rPr/>
      </w:r>
    </w:p>
    <w:p>
      <w:pPr>
        <w:pStyle w:val="Nzov"/>
        <w:keepNext w:val="false"/>
        <w:widowControl w:val="false"/>
        <w:numPr>
          <w:ilvl w:val="0"/>
          <w:numId w:val="7"/>
        </w:numPr>
        <w:bidi w:val="0"/>
        <w:spacing w:beforeAutospacing="0" w:before="0" w:after="0"/>
        <w:jc w:val="left"/>
        <w:rPr>
          <w:szCs w:val="22"/>
        </w:rPr>
      </w:pPr>
      <w:r>
        <w:rPr>
          <w:szCs w:val="22"/>
        </w:rPr>
        <w:t>Informácie k prílohe č. 3  časti J.  písm. f) a g) o daniach z príjmov</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2844"/>
        <w:gridCol w:w="1730"/>
        <w:gridCol w:w="812"/>
        <w:gridCol w:w="728"/>
        <w:gridCol w:w="1928"/>
        <w:gridCol w:w="741"/>
        <w:gridCol w:w="854"/>
      </w:tblGrid>
      <w:tr>
        <w:trPr>
          <w:trHeight w:val="642" w:hRule="atLeast"/>
        </w:trPr>
        <w:tc>
          <w:tcPr>
            <w:tcW w:w="2844"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Názov položky</w:t>
            </w:r>
          </w:p>
        </w:tc>
        <w:tc>
          <w:tcPr>
            <w:tcW w:w="3270" w:type="dxa"/>
            <w:gridSpan w:val="3"/>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c>
          <w:tcPr>
            <w:tcW w:w="3523" w:type="dxa"/>
            <w:gridSpan w:val="3"/>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w:t>
            </w:r>
          </w:p>
          <w:p>
            <w:pPr>
              <w:pStyle w:val="TopHeader"/>
              <w:widowControl w:val="false"/>
              <w:bidi w:val="0"/>
              <w:rPr/>
            </w:pPr>
            <w:r>
              <w:rPr/>
              <w:t xml:space="preserve"> </w:t>
            </w:r>
            <w:r>
              <w:rPr/>
              <w:t>účtovné obdobie</w:t>
            </w:r>
          </w:p>
        </w:tc>
      </w:tr>
      <w:tr>
        <w:trPr>
          <w:trHeight w:val="345" w:hRule="atLeast"/>
        </w:trPr>
        <w:tc>
          <w:tcPr>
            <w:tcW w:w="2844"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730" w:type="dxa"/>
            <w:tcBorders>
              <w:top w:val="single" w:sz="12" w:space="0" w:color="000000"/>
              <w:left w:val="single" w:sz="12" w:space="0" w:color="000000"/>
              <w:right w:val="single" w:sz="12" w:space="0" w:color="000000"/>
            </w:tcBorders>
            <w:vAlign w:val="center"/>
          </w:tcPr>
          <w:p>
            <w:pPr>
              <w:pStyle w:val="TopHeader"/>
              <w:widowControl w:val="false"/>
              <w:bidi w:val="0"/>
              <w:rPr/>
            </w:pPr>
            <w:r>
              <w:rPr/>
              <w:t>Základ dane</w:t>
            </w:r>
          </w:p>
        </w:tc>
        <w:tc>
          <w:tcPr>
            <w:tcW w:w="812" w:type="dxa"/>
            <w:tcBorders>
              <w:top w:val="single" w:sz="12" w:space="0" w:color="000000"/>
              <w:left w:val="single" w:sz="12" w:space="0" w:color="000000"/>
              <w:right w:val="single" w:sz="12" w:space="0" w:color="000000"/>
            </w:tcBorders>
            <w:vAlign w:val="center"/>
          </w:tcPr>
          <w:p>
            <w:pPr>
              <w:pStyle w:val="TopHeader"/>
              <w:widowControl w:val="false"/>
              <w:bidi w:val="0"/>
              <w:rPr/>
            </w:pPr>
            <w:r>
              <w:rPr/>
              <w:t>Daň</w:t>
            </w:r>
          </w:p>
        </w:tc>
        <w:tc>
          <w:tcPr>
            <w:tcW w:w="728" w:type="dxa"/>
            <w:tcBorders>
              <w:top w:val="single" w:sz="12" w:space="0" w:color="000000"/>
              <w:left w:val="single" w:sz="12" w:space="0" w:color="000000"/>
              <w:right w:val="single" w:sz="12" w:space="0" w:color="000000"/>
            </w:tcBorders>
            <w:vAlign w:val="center"/>
          </w:tcPr>
          <w:p>
            <w:pPr>
              <w:pStyle w:val="TopHeader"/>
              <w:widowControl w:val="false"/>
              <w:bidi w:val="0"/>
              <w:rPr/>
            </w:pPr>
            <w:r>
              <w:rPr/>
              <w:t>Daň v %</w:t>
            </w:r>
          </w:p>
        </w:tc>
        <w:tc>
          <w:tcPr>
            <w:tcW w:w="1928" w:type="dxa"/>
            <w:tcBorders>
              <w:top w:val="single" w:sz="12" w:space="0" w:color="000000"/>
              <w:left w:val="single" w:sz="12" w:space="0" w:color="000000"/>
              <w:right w:val="single" w:sz="12" w:space="0" w:color="000000"/>
            </w:tcBorders>
            <w:vAlign w:val="center"/>
          </w:tcPr>
          <w:p>
            <w:pPr>
              <w:pStyle w:val="TopHeader"/>
              <w:widowControl w:val="false"/>
              <w:bidi w:val="0"/>
              <w:rPr/>
            </w:pPr>
            <w:r>
              <w:rPr/>
              <w:t>Základ dane</w:t>
            </w:r>
          </w:p>
        </w:tc>
        <w:tc>
          <w:tcPr>
            <w:tcW w:w="741" w:type="dxa"/>
            <w:tcBorders>
              <w:top w:val="single" w:sz="12" w:space="0" w:color="000000"/>
              <w:left w:val="single" w:sz="12" w:space="0" w:color="000000"/>
              <w:right w:val="single" w:sz="12" w:space="0" w:color="000000"/>
            </w:tcBorders>
            <w:vAlign w:val="center"/>
          </w:tcPr>
          <w:p>
            <w:pPr>
              <w:pStyle w:val="TopHeader"/>
              <w:widowControl w:val="false"/>
              <w:bidi w:val="0"/>
              <w:rPr/>
            </w:pPr>
            <w:r>
              <w:rPr/>
              <w:t>Daň</w:t>
            </w:r>
          </w:p>
        </w:tc>
        <w:tc>
          <w:tcPr>
            <w:tcW w:w="854" w:type="dxa"/>
            <w:tcBorders>
              <w:top w:val="single" w:sz="12" w:space="0" w:color="000000"/>
              <w:left w:val="single" w:sz="12" w:space="0" w:color="000000"/>
              <w:right w:val="single" w:sz="12" w:space="0" w:color="000000"/>
            </w:tcBorders>
            <w:vAlign w:val="center"/>
          </w:tcPr>
          <w:p>
            <w:pPr>
              <w:pStyle w:val="TopHeader"/>
              <w:widowControl w:val="false"/>
              <w:bidi w:val="0"/>
              <w:rPr/>
            </w:pPr>
            <w:r>
              <w:rPr/>
              <w:t>Daň v %</w:t>
            </w:r>
          </w:p>
        </w:tc>
      </w:tr>
      <w:tr>
        <w:trPr>
          <w:trHeight w:val="330" w:hRule="atLeast"/>
        </w:trPr>
        <w:tc>
          <w:tcPr>
            <w:tcW w:w="284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a</w:t>
            </w:r>
          </w:p>
        </w:tc>
        <w:tc>
          <w:tcPr>
            <w:tcW w:w="1730"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b</w:t>
            </w:r>
          </w:p>
        </w:tc>
        <w:tc>
          <w:tcPr>
            <w:tcW w:w="812"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c</w:t>
            </w:r>
          </w:p>
        </w:tc>
        <w:tc>
          <w:tcPr>
            <w:tcW w:w="728"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d</w:t>
            </w:r>
          </w:p>
        </w:tc>
        <w:tc>
          <w:tcPr>
            <w:tcW w:w="1928"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e</w:t>
            </w:r>
          </w:p>
        </w:tc>
        <w:tc>
          <w:tcPr>
            <w:tcW w:w="741"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f</w:t>
            </w:r>
          </w:p>
        </w:tc>
        <w:tc>
          <w:tcPr>
            <w:tcW w:w="85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g</w:t>
            </w:r>
          </w:p>
        </w:tc>
      </w:tr>
      <w:tr>
        <w:trPr>
          <w:trHeight w:val="397" w:hRule="atLeast"/>
        </w:trPr>
        <w:tc>
          <w:tcPr>
            <w:tcW w:w="2844"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Výsledok hospodárenia </w:t>
              <w:br/>
              <w:t>pred zdanením, z toho:</w:t>
            </w:r>
          </w:p>
        </w:tc>
        <w:tc>
          <w:tcPr>
            <w:tcW w:w="1730"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1006</w:t>
            </w:r>
          </w:p>
        </w:tc>
        <w:tc>
          <w:tcPr>
            <w:tcW w:w="812"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szCs w:val="22"/>
              </w:rPr>
            </w:pPr>
            <w:r>
              <w:rPr>
                <w:szCs w:val="22"/>
              </w:rPr>
              <w:t>x</w:t>
            </w:r>
          </w:p>
        </w:tc>
        <w:tc>
          <w:tcPr>
            <w:tcW w:w="728"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x</w:t>
            </w:r>
          </w:p>
        </w:tc>
        <w:tc>
          <w:tcPr>
            <w:tcW w:w="1928"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741"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szCs w:val="22"/>
              </w:rPr>
            </w:pPr>
            <w:r>
              <w:rPr>
                <w:szCs w:val="22"/>
              </w:rPr>
              <w:t>x</w:t>
            </w:r>
          </w:p>
        </w:tc>
        <w:tc>
          <w:tcPr>
            <w:tcW w:w="854"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center"/>
              <w:rPr>
                <w:szCs w:val="22"/>
              </w:rPr>
            </w:pPr>
            <w:r>
              <w:rPr>
                <w:szCs w:val="22"/>
              </w:rPr>
              <w:t>x</w:t>
            </w:r>
          </w:p>
        </w:tc>
      </w:tr>
      <w:tr>
        <w:trPr>
          <w:trHeight w:val="397" w:hRule="atLeast"/>
        </w:trPr>
        <w:tc>
          <w:tcPr>
            <w:tcW w:w="2844"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teoretická daň</w:t>
            </w:r>
          </w:p>
        </w:tc>
        <w:tc>
          <w:tcPr>
            <w:tcW w:w="1730" w:type="dxa"/>
            <w:tcBorders>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center"/>
              <w:rPr>
                <w:szCs w:val="22"/>
              </w:rPr>
            </w:pPr>
            <w:r>
              <w:rPr>
                <w:szCs w:val="22"/>
              </w:rPr>
              <w:t>x</w:t>
            </w:r>
          </w:p>
        </w:tc>
        <w:tc>
          <w:tcPr>
            <w:tcW w:w="812" w:type="dxa"/>
            <w:tcBorders>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101</w:t>
            </w:r>
          </w:p>
        </w:tc>
        <w:tc>
          <w:tcPr>
            <w:tcW w:w="728" w:type="dxa"/>
            <w:tcBorders>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10</w:t>
            </w:r>
          </w:p>
        </w:tc>
        <w:tc>
          <w:tcPr>
            <w:tcW w:w="1928" w:type="dxa"/>
            <w:tcBorders>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center"/>
              <w:rPr>
                <w:szCs w:val="22"/>
              </w:rPr>
            </w:pPr>
            <w:r>
              <w:rPr>
                <w:szCs w:val="22"/>
              </w:rPr>
              <w:t>x</w:t>
            </w:r>
          </w:p>
        </w:tc>
        <w:tc>
          <w:tcPr>
            <w:tcW w:w="741" w:type="dxa"/>
            <w:tcBorders>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854" w:type="dxa"/>
            <w:tcBorders>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2844"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Daňovo neuznané náklady</w:t>
            </w:r>
          </w:p>
        </w:tc>
        <w:tc>
          <w:tcPr>
            <w:tcW w:w="1730" w:type="dxa"/>
            <w:tcBorders>
              <w:top w:val="single" w:sz="6"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812"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728"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c>
          <w:tcPr>
            <w:tcW w:w="1928" w:type="dxa"/>
            <w:tcBorders>
              <w:top w:val="single" w:sz="6"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741"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854"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2844"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Výnosy nepodliehajúce dani</w:t>
            </w:r>
          </w:p>
        </w:tc>
        <w:tc>
          <w:tcPr>
            <w:tcW w:w="1730" w:type="dxa"/>
            <w:tcBorders>
              <w:top w:val="single" w:sz="6"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12"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728"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928" w:type="dxa"/>
            <w:tcBorders>
              <w:top w:val="single" w:sz="6"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4"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844"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Vplyv nevykázanej odloženej daňovej pohľadávky</w:t>
            </w:r>
          </w:p>
        </w:tc>
        <w:tc>
          <w:tcPr>
            <w:tcW w:w="1730" w:type="dxa"/>
            <w:tcBorders>
              <w:top w:val="single" w:sz="6"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12"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728"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928" w:type="dxa"/>
            <w:tcBorders>
              <w:top w:val="single" w:sz="6"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4"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844"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Umorenie daňovej straty</w:t>
            </w:r>
          </w:p>
        </w:tc>
        <w:tc>
          <w:tcPr>
            <w:tcW w:w="1730"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12"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728"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928"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4"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844"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Zmena sadzby dane</w:t>
            </w:r>
          </w:p>
        </w:tc>
        <w:tc>
          <w:tcPr>
            <w:tcW w:w="1730" w:type="dxa"/>
            <w:tcBorders>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12"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728"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928" w:type="dxa"/>
            <w:tcBorders>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4"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844"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Iné</w:t>
            </w:r>
          </w:p>
        </w:tc>
        <w:tc>
          <w:tcPr>
            <w:tcW w:w="1730" w:type="dxa"/>
            <w:tcBorders>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12"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728"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928" w:type="dxa"/>
            <w:tcBorders>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741"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854"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844"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Spolu</w:t>
            </w:r>
          </w:p>
        </w:tc>
        <w:tc>
          <w:tcPr>
            <w:tcW w:w="1730" w:type="dxa"/>
            <w:tcBorders>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1006</w:t>
            </w:r>
          </w:p>
        </w:tc>
        <w:tc>
          <w:tcPr>
            <w:tcW w:w="812"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101</w:t>
            </w:r>
          </w:p>
        </w:tc>
        <w:tc>
          <w:tcPr>
            <w:tcW w:w="728"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10</w:t>
            </w:r>
          </w:p>
        </w:tc>
        <w:tc>
          <w:tcPr>
            <w:tcW w:w="1928" w:type="dxa"/>
            <w:tcBorders>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741"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854"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2844"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Splatná daň z príjmov</w:t>
            </w:r>
          </w:p>
        </w:tc>
        <w:tc>
          <w:tcPr>
            <w:tcW w:w="1730" w:type="dxa"/>
            <w:tcBorders>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szCs w:val="22"/>
              </w:rPr>
            </w:pPr>
            <w:r>
              <w:rPr>
                <w:szCs w:val="22"/>
              </w:rPr>
              <w:t>x</w:t>
            </w:r>
          </w:p>
        </w:tc>
        <w:tc>
          <w:tcPr>
            <w:tcW w:w="812"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101</w:t>
            </w:r>
          </w:p>
        </w:tc>
        <w:tc>
          <w:tcPr>
            <w:tcW w:w="728"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10</w:t>
            </w:r>
          </w:p>
        </w:tc>
        <w:tc>
          <w:tcPr>
            <w:tcW w:w="1928" w:type="dxa"/>
            <w:tcBorders>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szCs w:val="22"/>
              </w:rPr>
            </w:pPr>
            <w:r>
              <w:rPr>
                <w:szCs w:val="22"/>
              </w:rPr>
              <w:t>x</w:t>
            </w:r>
          </w:p>
        </w:tc>
        <w:tc>
          <w:tcPr>
            <w:tcW w:w="741"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854"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r>
        <w:trPr>
          <w:trHeight w:val="397" w:hRule="atLeast"/>
        </w:trPr>
        <w:tc>
          <w:tcPr>
            <w:tcW w:w="2844"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Odložená daň z príjmov</w:t>
            </w:r>
          </w:p>
        </w:tc>
        <w:tc>
          <w:tcPr>
            <w:tcW w:w="173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szCs w:val="22"/>
              </w:rPr>
            </w:pPr>
            <w:r>
              <w:rPr>
                <w:szCs w:val="22"/>
              </w:rPr>
              <w:t>x</w:t>
            </w:r>
          </w:p>
        </w:tc>
        <w:tc>
          <w:tcPr>
            <w:tcW w:w="81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728"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c>
          <w:tcPr>
            <w:tcW w:w="1928"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center"/>
              <w:rPr>
                <w:szCs w:val="22"/>
              </w:rPr>
            </w:pPr>
            <w:r>
              <w:rPr>
                <w:szCs w:val="22"/>
              </w:rPr>
              <w:t>x</w:t>
            </w:r>
          </w:p>
        </w:tc>
        <w:tc>
          <w:tcPr>
            <w:tcW w:w="74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854"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r>
          </w:p>
        </w:tc>
      </w:tr>
      <w:tr>
        <w:trPr>
          <w:trHeight w:val="397" w:hRule="atLeast"/>
        </w:trPr>
        <w:tc>
          <w:tcPr>
            <w:tcW w:w="2844"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Celková daň z príjmov</w:t>
            </w:r>
          </w:p>
        </w:tc>
        <w:tc>
          <w:tcPr>
            <w:tcW w:w="1730" w:type="dxa"/>
            <w:tcBorders>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center"/>
              <w:rPr>
                <w:szCs w:val="22"/>
              </w:rPr>
            </w:pPr>
            <w:r>
              <w:rPr>
                <w:szCs w:val="22"/>
              </w:rPr>
              <w:t>x</w:t>
            </w:r>
          </w:p>
        </w:tc>
        <w:tc>
          <w:tcPr>
            <w:tcW w:w="812" w:type="dxa"/>
            <w:tcBorders>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101</w:t>
            </w:r>
          </w:p>
        </w:tc>
        <w:tc>
          <w:tcPr>
            <w:tcW w:w="728" w:type="dxa"/>
            <w:tcBorders>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10</w:t>
            </w:r>
          </w:p>
        </w:tc>
        <w:tc>
          <w:tcPr>
            <w:tcW w:w="1928" w:type="dxa"/>
            <w:tcBorders>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center"/>
              <w:rPr>
                <w:szCs w:val="22"/>
              </w:rPr>
            </w:pPr>
            <w:r>
              <w:rPr>
                <w:szCs w:val="22"/>
              </w:rPr>
              <w:t>x</w:t>
            </w:r>
          </w:p>
        </w:tc>
        <w:tc>
          <w:tcPr>
            <w:tcW w:w="741" w:type="dxa"/>
            <w:tcBorders>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854" w:type="dxa"/>
            <w:tcBorders>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r>
          </w:p>
        </w:tc>
      </w:tr>
    </w:tbl>
    <w:p>
      <w:pPr>
        <w:pStyle w:val="Normal"/>
        <w:bidi w:val="0"/>
        <w:spacing w:lineRule="auto" w:line="240" w:before="0" w:after="0"/>
        <w:jc w:val="left"/>
        <w:rPr>
          <w:szCs w:val="22"/>
        </w:rPr>
      </w:pPr>
      <w:r>
        <w:rPr>
          <w:szCs w:val="22"/>
        </w:rPr>
      </w:r>
    </w:p>
    <w:p>
      <w:pPr>
        <w:pStyle w:val="Normal"/>
        <w:bidi w:val="0"/>
        <w:spacing w:lineRule="auto" w:line="240" w:before="0" w:after="0"/>
        <w:jc w:val="left"/>
        <w:rPr>
          <w:szCs w:val="22"/>
        </w:rPr>
      </w:pPr>
      <w:r>
        <w:rPr>
          <w:szCs w:val="22"/>
        </w:rPr>
      </w:r>
    </w:p>
    <w:p>
      <w:pPr>
        <w:pStyle w:val="ListParagraph"/>
        <w:numPr>
          <w:ilvl w:val="0"/>
          <w:numId w:val="4"/>
        </w:numPr>
        <w:bidi w:val="0"/>
        <w:spacing w:lineRule="auto" w:line="240" w:before="0" w:after="0"/>
        <w:contextualSpacing/>
        <w:jc w:val="left"/>
        <w:rPr>
          <w:b/>
          <w:szCs w:val="22"/>
        </w:rPr>
      </w:pPr>
      <w:r>
        <w:rPr>
          <w:rFonts w:cs="Arial" w:ascii="Arial" w:hAnsi="Arial"/>
          <w:b/>
          <w:sz w:val="28"/>
          <w:szCs w:val="28"/>
        </w:rPr>
        <w:t>Údaje na podsúvahových účtoch</w:t>
      </w:r>
    </w:p>
    <w:p>
      <w:pPr>
        <w:pStyle w:val="ListParagraph"/>
        <w:bidi w:val="0"/>
        <w:spacing w:lineRule="auto" w:line="240" w:before="0" w:after="0"/>
        <w:ind w:left="502" w:hanging="0"/>
        <w:contextualSpacing/>
        <w:jc w:val="left"/>
        <w:rPr>
          <w:szCs w:val="22"/>
        </w:rPr>
      </w:pPr>
      <w:r>
        <w:rPr>
          <w:szCs w:val="22"/>
        </w:rPr>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t>Spoločnosť nemala významné položky prenajatého majetku, majetku prijatého do úschovy, pohľadávky a záväzky z opcií, odpísané pohľadávky a pohľadávky a záväzky z lízingu.</w:t>
      </w:r>
    </w:p>
    <w:p>
      <w:pPr>
        <w:pStyle w:val="Normal"/>
        <w:bidi w:val="0"/>
        <w:spacing w:lineRule="auto" w:line="240" w:before="0" w:after="0"/>
        <w:jc w:val="both"/>
        <w:rPr>
          <w:rFonts w:ascii="Arial" w:hAnsi="Arial" w:cs="Arial"/>
          <w:szCs w:val="22"/>
        </w:rPr>
      </w:pPr>
      <w:r>
        <w:rPr>
          <w:rFonts w:cs="Arial" w:ascii="Arial" w:hAnsi="Arial"/>
          <w:szCs w:val="22"/>
        </w:rPr>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r>
    </w:p>
    <w:p>
      <w:pPr>
        <w:pStyle w:val="ListParagraph"/>
        <w:numPr>
          <w:ilvl w:val="0"/>
          <w:numId w:val="4"/>
        </w:numPr>
        <w:bidi w:val="0"/>
        <w:spacing w:lineRule="auto" w:line="240" w:before="0" w:after="0"/>
        <w:contextualSpacing/>
        <w:jc w:val="both"/>
        <w:rPr>
          <w:b/>
          <w:szCs w:val="22"/>
        </w:rPr>
      </w:pPr>
      <w:r>
        <w:rPr>
          <w:rFonts w:cs="Arial" w:ascii="Arial" w:hAnsi="Arial"/>
          <w:b/>
          <w:sz w:val="28"/>
          <w:szCs w:val="28"/>
        </w:rPr>
        <w:t>Údaje o iných aktívach a iných pasívach</w:t>
      </w:r>
    </w:p>
    <w:p>
      <w:pPr>
        <w:pStyle w:val="ListParagraph"/>
        <w:bidi w:val="0"/>
        <w:spacing w:lineRule="auto" w:line="240" w:before="0" w:after="0"/>
        <w:ind w:left="502" w:hanging="0"/>
        <w:contextualSpacing/>
        <w:jc w:val="both"/>
        <w:rPr>
          <w:rFonts w:ascii="Arial" w:hAnsi="Arial" w:cs="Arial"/>
          <w:b/>
          <w:sz w:val="28"/>
          <w:szCs w:val="28"/>
        </w:rPr>
      </w:pPr>
      <w:r>
        <w:rPr>
          <w:rFonts w:cs="Arial" w:ascii="Arial" w:hAnsi="Arial"/>
          <w:b/>
          <w:sz w:val="28"/>
          <w:szCs w:val="28"/>
        </w:rPr>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t>a/ Spoločnosť nemala žiadne podmienené záväzky vyplývajúce zo súdnych rozhodnutí, z poskytnutých záruk, zo všeobecne záväzných právnych predpisov, zo zmlúv o podriadenom záväzku, z ručenia podľa jednotlivých druhov ručenia.</w:t>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t>b/ Spoločnosť nemala žiadne podmienené záväzky podľa písmena a/ voči spriazneným osobám.</w:t>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t>c/ Spoločnosť nemala žiadny podmienený majetok, ktorý vznikol v dôsledku minulých udalostí.</w:t>
      </w:r>
    </w:p>
    <w:p>
      <w:pPr>
        <w:pStyle w:val="ListParagraph"/>
        <w:bidi w:val="0"/>
        <w:spacing w:lineRule="auto" w:line="240" w:before="0" w:after="0"/>
        <w:ind w:left="502" w:hanging="0"/>
        <w:contextualSpacing/>
        <w:jc w:val="left"/>
        <w:rPr>
          <w:rFonts w:ascii="Arial" w:hAnsi="Arial" w:cs="Arial"/>
          <w:szCs w:val="22"/>
        </w:rPr>
      </w:pPr>
      <w:r>
        <w:rPr>
          <w:rFonts w:cs="Arial" w:ascii="Arial" w:hAnsi="Arial"/>
          <w:szCs w:val="22"/>
        </w:rPr>
      </w:r>
    </w:p>
    <w:p>
      <w:pPr>
        <w:pStyle w:val="ListParagraph"/>
        <w:bidi w:val="0"/>
        <w:spacing w:lineRule="auto" w:line="240" w:before="0" w:after="0"/>
        <w:ind w:left="502" w:hanging="0"/>
        <w:contextualSpacing/>
        <w:jc w:val="left"/>
        <w:rPr>
          <w:szCs w:val="22"/>
        </w:rPr>
      </w:pPr>
      <w:r>
        <w:rPr>
          <w:szCs w:val="22"/>
        </w:rPr>
      </w:r>
    </w:p>
    <w:p>
      <w:pPr>
        <w:pStyle w:val="ListParagraph"/>
        <w:numPr>
          <w:ilvl w:val="0"/>
          <w:numId w:val="4"/>
        </w:numPr>
        <w:bidi w:val="0"/>
        <w:spacing w:lineRule="auto" w:line="240" w:before="0" w:after="0"/>
        <w:contextualSpacing/>
        <w:jc w:val="left"/>
        <w:rPr>
          <w:szCs w:val="22"/>
        </w:rPr>
      </w:pPr>
      <w:r>
        <w:rPr>
          <w:rFonts w:cs="Arial" w:ascii="Arial" w:hAnsi="Arial"/>
          <w:b/>
          <w:sz w:val="28"/>
          <w:szCs w:val="28"/>
        </w:rPr>
        <w:t>Príjmy a výhody členov štatutárneho orgánu, dozorného orgánu a iného orgánu účtovnej jednotky</w:t>
      </w:r>
    </w:p>
    <w:p>
      <w:pPr>
        <w:pStyle w:val="ListParagraph"/>
        <w:bidi w:val="0"/>
        <w:spacing w:lineRule="auto" w:line="240" w:before="0" w:after="0"/>
        <w:ind w:left="502" w:hanging="0"/>
        <w:contextualSpacing/>
        <w:jc w:val="left"/>
        <w:rPr>
          <w:szCs w:val="22"/>
        </w:rPr>
      </w:pPr>
      <w:r>
        <w:rPr>
          <w:szCs w:val="22"/>
        </w:rPr>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t>a/ Spoločnosť nemá žiadne priznané odmeny za rok 202</w:t>
      </w:r>
      <w:r>
        <w:rPr>
          <w:rFonts w:cs="Arial" w:ascii="Arial" w:hAnsi="Arial"/>
          <w:szCs w:val="22"/>
        </w:rPr>
        <w:t>5</w:t>
      </w:r>
      <w:r>
        <w:rPr>
          <w:rFonts w:cs="Arial" w:ascii="Arial" w:hAnsi="Arial"/>
          <w:szCs w:val="22"/>
        </w:rPr>
        <w:t xml:space="preserve"> pre členov štatutárneho orgánu a dozorného orgánu. </w:t>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t>b/ Spoločnosť neposkytovalo žiadne druhy záruk alebo iných zabezpečení poskytnutých pre členov štatutárneho orgánu, dozorného orgánu a iného orgánu účtovnej jednotky.</w:t>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t>c/ Spoločnosť neposkytlo členom štatutárnych orgánov , dozornému orgánu a inému orgánu účtovnej jednotky žiadne pôžičky.</w:t>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t>d/ Pretože neboli poskytnuté žiadne pôžičky, nie sú uvedené ani úrokové sadzby.</w:t>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t>e/ Spoločnosť nepoužilo finančné prostriedky alebo iné plnenie na súkromné účely členmi štatutárneho orgánu, dozorného orgánu a iného orgánu účtovnej jednotky, ktoré sa vyúčtovávajú.</w:t>
      </w:r>
    </w:p>
    <w:p>
      <w:pPr>
        <w:pStyle w:val="ListParagraph"/>
        <w:bidi w:val="0"/>
        <w:spacing w:lineRule="auto" w:line="240" w:before="0" w:after="0"/>
        <w:ind w:left="502" w:hanging="0"/>
        <w:contextualSpacing/>
        <w:jc w:val="both"/>
        <w:rPr>
          <w:rFonts w:ascii="Arial" w:hAnsi="Arial" w:cs="Arial"/>
          <w:szCs w:val="22"/>
        </w:rPr>
      </w:pPr>
      <w:r>
        <w:rPr/>
      </w:r>
    </w:p>
    <w:p>
      <w:pPr>
        <w:pStyle w:val="ListParagraph"/>
        <w:bidi w:val="0"/>
        <w:spacing w:lineRule="auto" w:line="240" w:before="0" w:after="0"/>
        <w:ind w:left="502" w:hanging="0"/>
        <w:contextualSpacing/>
        <w:jc w:val="both"/>
        <w:rPr>
          <w:rFonts w:ascii="Arial" w:hAnsi="Arial" w:cs="Arial"/>
          <w:szCs w:val="22"/>
        </w:rPr>
      </w:pPr>
      <w:r>
        <w:rPr/>
      </w:r>
    </w:p>
    <w:p>
      <w:pPr>
        <w:pStyle w:val="ListParagraph"/>
        <w:bidi w:val="0"/>
        <w:spacing w:lineRule="auto" w:line="240" w:before="0" w:after="0"/>
        <w:ind w:left="502" w:hanging="0"/>
        <w:contextualSpacing/>
        <w:jc w:val="both"/>
        <w:rPr>
          <w:rFonts w:ascii="Arial" w:hAnsi="Arial" w:cs="Arial"/>
          <w:szCs w:val="22"/>
        </w:rPr>
      </w:pPr>
      <w:r>
        <w:rPr/>
      </w:r>
    </w:p>
    <w:p>
      <w:pPr>
        <w:pStyle w:val="Normal"/>
        <w:bidi w:val="0"/>
        <w:spacing w:lineRule="auto" w:line="240" w:before="0" w:after="0"/>
        <w:jc w:val="left"/>
        <w:rPr>
          <w:szCs w:val="22"/>
        </w:rPr>
      </w:pPr>
      <w:r>
        <w:rPr>
          <w:szCs w:val="22"/>
        </w:rPr>
      </w:r>
    </w:p>
    <w:p>
      <w:pPr>
        <w:pStyle w:val="ListParagraph"/>
        <w:bidi w:val="0"/>
        <w:spacing w:lineRule="auto" w:line="240" w:before="0" w:after="0"/>
        <w:ind w:left="502" w:hanging="0"/>
        <w:contextualSpacing/>
        <w:jc w:val="left"/>
        <w:rPr>
          <w:szCs w:val="22"/>
        </w:rPr>
      </w:pPr>
      <w:r>
        <w:rPr>
          <w:szCs w:val="22"/>
        </w:rPr>
      </w:r>
    </w:p>
    <w:p>
      <w:pPr>
        <w:pStyle w:val="ListParagraph"/>
        <w:numPr>
          <w:ilvl w:val="0"/>
          <w:numId w:val="4"/>
        </w:numPr>
        <w:bidi w:val="0"/>
        <w:spacing w:lineRule="auto" w:line="240" w:before="0" w:after="0"/>
        <w:contextualSpacing/>
        <w:jc w:val="left"/>
        <w:rPr>
          <w:szCs w:val="22"/>
        </w:rPr>
      </w:pPr>
      <w:r>
        <w:rPr>
          <w:rFonts w:cs="Arial" w:ascii="Arial" w:hAnsi="Arial"/>
          <w:b/>
          <w:sz w:val="28"/>
          <w:szCs w:val="28"/>
        </w:rPr>
        <w:t xml:space="preserve">Ekonomické vzťahy účtovnej jednotky a spriaznených osôb </w:t>
      </w:r>
    </w:p>
    <w:p>
      <w:pPr>
        <w:pStyle w:val="ListParagraph"/>
        <w:bidi w:val="0"/>
        <w:spacing w:lineRule="auto" w:line="240" w:before="0" w:after="0"/>
        <w:ind w:left="502" w:hanging="0"/>
        <w:contextualSpacing/>
        <w:jc w:val="left"/>
        <w:rPr>
          <w:rFonts w:ascii="Arial" w:hAnsi="Arial" w:cs="Arial"/>
          <w:szCs w:val="22"/>
        </w:rPr>
      </w:pPr>
      <w:r>
        <w:rPr>
          <w:rFonts w:cs="Arial" w:ascii="Arial" w:hAnsi="Arial"/>
          <w:szCs w:val="22"/>
        </w:rPr>
        <w:t>Spoločenstvo nemá žiadne spriaznené osoby.</w:t>
      </w:r>
    </w:p>
    <w:p>
      <w:pPr>
        <w:pStyle w:val="Normal"/>
        <w:bidi w:val="0"/>
        <w:spacing w:lineRule="auto" w:line="240" w:before="0" w:after="0"/>
        <w:ind w:left="284" w:hanging="0"/>
        <w:jc w:val="left"/>
        <w:rPr>
          <w:szCs w:val="22"/>
        </w:rPr>
      </w:pPr>
      <w:r>
        <w:rPr>
          <w:szCs w:val="22"/>
        </w:rPr>
      </w:r>
    </w:p>
    <w:p>
      <w:pPr>
        <w:pStyle w:val="ListParagraph"/>
        <w:numPr>
          <w:ilvl w:val="0"/>
          <w:numId w:val="4"/>
        </w:numPr>
        <w:bidi w:val="0"/>
        <w:spacing w:lineRule="auto" w:line="240" w:before="0" w:after="0"/>
        <w:contextualSpacing/>
        <w:jc w:val="left"/>
        <w:rPr>
          <w:szCs w:val="22"/>
        </w:rPr>
      </w:pPr>
      <w:r>
        <w:rPr>
          <w:rFonts w:cs="Arial" w:ascii="Arial" w:hAnsi="Arial"/>
          <w:b/>
          <w:sz w:val="28"/>
          <w:szCs w:val="28"/>
        </w:rPr>
        <w:t>Skutočnosti, ktoré nastali po dni, ku ktorému sa zostavuje účtovná závierka do dňa zostavenia účtovnej závierky</w:t>
      </w:r>
    </w:p>
    <w:p>
      <w:pPr>
        <w:pStyle w:val="ListParagraph"/>
        <w:bidi w:val="0"/>
        <w:spacing w:lineRule="auto" w:line="240" w:before="0" w:after="0"/>
        <w:ind w:left="644" w:hanging="0"/>
        <w:contextualSpacing/>
        <w:jc w:val="left"/>
        <w:rPr>
          <w:szCs w:val="22"/>
        </w:rPr>
      </w:pPr>
      <w:r>
        <w:rPr>
          <w:szCs w:val="22"/>
        </w:rPr>
      </w:r>
    </w:p>
    <w:p>
      <w:pPr>
        <w:pStyle w:val="ListParagraph"/>
        <w:bidi w:val="0"/>
        <w:spacing w:lineRule="auto" w:line="240" w:before="0" w:after="0"/>
        <w:ind w:left="502" w:hanging="0"/>
        <w:contextualSpacing/>
        <w:jc w:val="both"/>
        <w:rPr>
          <w:rFonts w:ascii="Arial" w:hAnsi="Arial" w:cs="Arial"/>
          <w:szCs w:val="22"/>
        </w:rPr>
      </w:pPr>
      <w:r>
        <w:rPr>
          <w:rFonts w:cs="Arial" w:ascii="Arial" w:hAnsi="Arial"/>
          <w:szCs w:val="22"/>
        </w:rPr>
        <w:t>V spoločnosti po dni ku ktorému sa zostavuje účtovná závierka do dňa zostavenia účtovnej závierky nenastali žiadne skutočnosti.</w:t>
      </w:r>
    </w:p>
    <w:p>
      <w:pPr>
        <w:pStyle w:val="ListParagraph"/>
        <w:bidi w:val="0"/>
        <w:spacing w:lineRule="auto" w:line="240" w:before="0" w:after="0"/>
        <w:ind w:left="502" w:hanging="0"/>
        <w:contextualSpacing/>
        <w:jc w:val="both"/>
        <w:rPr>
          <w:rFonts w:ascii="Arial" w:hAnsi="Arial" w:cs="Arial"/>
          <w:szCs w:val="22"/>
        </w:rPr>
      </w:pPr>
      <w:r>
        <w:rPr>
          <w:szCs w:val="22"/>
        </w:rPr>
      </w:r>
    </w:p>
    <w:p>
      <w:pPr>
        <w:pStyle w:val="ListParagraph"/>
        <w:numPr>
          <w:ilvl w:val="0"/>
          <w:numId w:val="4"/>
        </w:numPr>
        <w:bidi w:val="0"/>
        <w:spacing w:lineRule="auto" w:line="240" w:before="0" w:after="0"/>
        <w:contextualSpacing/>
        <w:jc w:val="left"/>
        <w:rPr>
          <w:szCs w:val="22"/>
        </w:rPr>
      </w:pPr>
      <w:r>
        <w:rPr>
          <w:rFonts w:cs="Arial" w:ascii="Arial" w:hAnsi="Arial"/>
          <w:b/>
          <w:sz w:val="28"/>
          <w:szCs w:val="28"/>
        </w:rPr>
        <w:t>Prehľad zmien vlastného imania</w:t>
      </w:r>
    </w:p>
    <w:p>
      <w:pPr>
        <w:pStyle w:val="ListParagraph"/>
        <w:bidi w:val="0"/>
        <w:spacing w:lineRule="auto" w:line="240" w:before="0" w:after="0"/>
        <w:ind w:left="644" w:hanging="0"/>
        <w:contextualSpacing/>
        <w:jc w:val="left"/>
        <w:rPr>
          <w:szCs w:val="22"/>
        </w:rPr>
      </w:pPr>
      <w:r>
        <w:rPr>
          <w:szCs w:val="22"/>
        </w:rPr>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a</w:t>
      </w:r>
      <w:r>
        <w:rPr>
          <w:rFonts w:cs="Arial" w:ascii="Arial" w:hAnsi="Arial"/>
          <w:b/>
          <w:sz w:val="28"/>
          <w:szCs w:val="28"/>
        </w:rPr>
        <w:t xml:space="preserve">/ </w:t>
      </w:r>
      <w:r>
        <w:rPr>
          <w:rFonts w:cs="Arial" w:ascii="Arial" w:hAnsi="Arial"/>
          <w:szCs w:val="22"/>
        </w:rPr>
        <w:t>základné imanie zapísané do obchodného registra</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 xml:space="preserve">Základné imanie spoločnosti bolo zapísané do obchodného registra vo výške 5.000,00 eur. </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b/ základné imanie nezapísané do obchodného registra spoločnosť nemá</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c/ emisné ážio spoločnosť nemá</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 xml:space="preserve">d/ zákonný rezervný fond </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 xml:space="preserve">Spoločnosť </w:t>
      </w:r>
      <w:r>
        <w:rPr>
          <w:rFonts w:cs="Arial" w:ascii="Arial" w:hAnsi="Arial"/>
          <w:szCs w:val="22"/>
        </w:rPr>
        <w:t>ne</w:t>
      </w:r>
      <w:r>
        <w:rPr>
          <w:rFonts w:cs="Arial" w:ascii="Arial" w:hAnsi="Arial"/>
          <w:szCs w:val="22"/>
        </w:rPr>
        <w:t>vytvorila RF z roku 202</w:t>
      </w:r>
      <w:r>
        <w:rPr>
          <w:rFonts w:cs="Arial" w:ascii="Arial" w:hAnsi="Arial"/>
          <w:szCs w:val="22"/>
        </w:rPr>
        <w:t>5</w:t>
      </w:r>
      <w:r>
        <w:rPr>
          <w:rFonts w:cs="Arial" w:ascii="Arial" w:hAnsi="Arial"/>
          <w:szCs w:val="22"/>
        </w:rPr>
        <w:t xml:space="preserve"> vo výške 5% = </w:t>
      </w:r>
      <w:r>
        <w:rPr>
          <w:rFonts w:cs="Arial" w:ascii="Arial" w:hAnsi="Arial"/>
          <w:szCs w:val="22"/>
        </w:rPr>
        <w:t>0,00</w:t>
      </w:r>
      <w:r>
        <w:rPr>
          <w:rFonts w:cs="Arial" w:ascii="Arial" w:hAnsi="Arial"/>
          <w:szCs w:val="22"/>
        </w:rPr>
        <w:t xml:space="preserve"> eur</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e/ ostatné kapitálové fondy spoločnosť nemá</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f/ oceňovacie rozdiely nezahrnuté do výsledku hospodárenia spoločnosť nemá</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g/ ostatné fondy tvorené zo zisku spoločnosť nemá</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h/ nerozdelený zisk minulých rokov</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 xml:space="preserve">Spoločnosť </w:t>
      </w:r>
      <w:r>
        <w:rPr>
          <w:rFonts w:cs="Arial" w:ascii="Arial" w:hAnsi="Arial"/>
          <w:szCs w:val="22"/>
        </w:rPr>
        <w:t>zatiaľ nerozdelila žiadny zisk, pretože má prvú uzávierku.</w:t>
      </w:r>
      <w:r>
        <w:rPr>
          <w:rFonts w:cs="Arial" w:ascii="Arial" w:hAnsi="Arial"/>
          <w:szCs w:val="22"/>
        </w:rPr>
        <w:t xml:space="preserve">  </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i/ neuhradenú stratu minulých rokov spoločnosť nemá</w:t>
      </w:r>
    </w:p>
    <w:p>
      <w:pPr>
        <w:pStyle w:val="ListParagraph"/>
        <w:bidi w:val="0"/>
        <w:spacing w:lineRule="auto" w:line="240" w:before="0" w:after="0"/>
        <w:ind w:left="644" w:hanging="0"/>
        <w:contextualSpacing/>
        <w:jc w:val="left"/>
        <w:rPr>
          <w:rFonts w:ascii="Arial" w:hAnsi="Arial" w:cs="Arial"/>
          <w:szCs w:val="22"/>
        </w:rPr>
      </w:pPr>
      <w:r>
        <w:rPr>
          <w:rFonts w:cs="Arial" w:ascii="Arial" w:hAnsi="Arial"/>
          <w:szCs w:val="22"/>
        </w:rPr>
      </w:r>
    </w:p>
    <w:p>
      <w:pPr>
        <w:pStyle w:val="ListParagraph"/>
        <w:bidi w:val="0"/>
        <w:spacing w:lineRule="auto" w:line="240" w:before="0" w:after="0"/>
        <w:ind w:left="644" w:hanging="0"/>
        <w:contextualSpacing/>
        <w:jc w:val="left"/>
        <w:rPr>
          <w:rFonts w:ascii="Arial" w:hAnsi="Arial" w:cs="Arial"/>
          <w:szCs w:val="22"/>
        </w:rPr>
      </w:pPr>
      <w:r>
        <w:rPr>
          <w:rFonts w:cs="Arial" w:ascii="Arial" w:hAnsi="Arial"/>
          <w:szCs w:val="22"/>
        </w:rPr>
        <w:t>j/ účtovný zisk alebo účtovná strata</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t>Spoločnosť mala zisk za rok 202</w:t>
      </w:r>
      <w:r>
        <w:rPr>
          <w:rFonts w:cs="Arial" w:ascii="Arial" w:hAnsi="Arial"/>
          <w:szCs w:val="22"/>
        </w:rPr>
        <w:t>5</w:t>
      </w:r>
      <w:r>
        <w:rPr>
          <w:rFonts w:cs="Arial" w:ascii="Arial" w:hAnsi="Arial"/>
          <w:szCs w:val="22"/>
        </w:rPr>
        <w:t xml:space="preserve"> vo výške </w:t>
      </w:r>
      <w:r>
        <w:rPr>
          <w:rFonts w:cs="Arial" w:ascii="Arial" w:hAnsi="Arial"/>
          <w:szCs w:val="22"/>
        </w:rPr>
        <w:t>904,00</w:t>
      </w:r>
      <w:r>
        <w:rPr>
          <w:rFonts w:cs="Arial" w:ascii="Arial" w:hAnsi="Arial"/>
          <w:szCs w:val="22"/>
        </w:rPr>
        <w:t xml:space="preserve"> eur. Zo zisku b</w:t>
      </w:r>
      <w:r>
        <w:rPr>
          <w:rFonts w:cs="Arial" w:ascii="Arial" w:hAnsi="Arial"/>
          <w:szCs w:val="22"/>
        </w:rPr>
        <w:t xml:space="preserve">ude po schválení zisku valným zhromaždením </w:t>
      </w:r>
      <w:r>
        <w:rPr>
          <w:rFonts w:cs="Arial" w:ascii="Arial" w:hAnsi="Arial"/>
          <w:szCs w:val="22"/>
        </w:rPr>
        <w:t xml:space="preserve">vytvorený rezervný fond vo výške </w:t>
      </w:r>
      <w:r>
        <w:rPr>
          <w:rFonts w:cs="Arial" w:ascii="Arial" w:hAnsi="Arial"/>
          <w:szCs w:val="22"/>
        </w:rPr>
        <w:t>45,20</w:t>
      </w:r>
      <w:r>
        <w:rPr>
          <w:rFonts w:cs="Arial" w:ascii="Arial" w:hAnsi="Arial"/>
          <w:szCs w:val="22"/>
        </w:rPr>
        <w:t xml:space="preserve"> eur. </w:t>
      </w:r>
    </w:p>
    <w:p>
      <w:pPr>
        <w:pStyle w:val="ListParagraph"/>
        <w:bidi w:val="0"/>
        <w:spacing w:lineRule="auto" w:line="240" w:before="0" w:after="0"/>
        <w:ind w:left="644" w:hanging="0"/>
        <w:contextualSpacing/>
        <w:jc w:val="both"/>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ind w:left="567" w:hanging="567"/>
        <w:jc w:val="both"/>
        <w:rPr>
          <w:rFonts w:ascii="Arial" w:hAnsi="Arial" w:cs="Arial"/>
        </w:rPr>
      </w:pPr>
      <w:r>
        <w:rPr>
          <w:rFonts w:cs="Arial" w:ascii="Arial" w:hAnsi="Arial"/>
          <w:b/>
        </w:rPr>
        <w:t xml:space="preserve">         </w:t>
      </w:r>
      <w:r>
        <w:rPr>
          <w:rFonts w:cs="Arial" w:ascii="Arial" w:hAnsi="Arial"/>
          <w:b/>
        </w:rPr>
        <w:t>Rozdelenie účtovného zisku za rok 202</w:t>
      </w:r>
      <w:r>
        <w:rPr>
          <w:rFonts w:cs="Arial" w:ascii="Arial" w:hAnsi="Arial"/>
          <w:b/>
        </w:rPr>
        <w:t>5</w:t>
      </w:r>
      <w:r>
        <w:rPr>
          <w:rFonts w:cs="Arial" w:ascii="Arial" w:hAnsi="Arial"/>
          <w:b/>
        </w:rPr>
        <w:t xml:space="preserve"> sa bude účtovať po schválení účtovnej závierky valným zhromaždením.</w:t>
      </w:r>
    </w:p>
    <w:p>
      <w:pPr>
        <w:pStyle w:val="Normal"/>
        <w:bidi w:val="0"/>
        <w:ind w:left="567" w:hanging="567"/>
        <w:jc w:val="both"/>
        <w:rPr>
          <w:rFonts w:ascii="Arial" w:hAnsi="Arial" w:cs="Arial"/>
        </w:rPr>
      </w:pPr>
      <w:r>
        <w:rPr>
          <w:rFonts w:cs="Arial" w:ascii="Arial" w:hAnsi="Arial"/>
        </w:rPr>
        <w:t xml:space="preserve"> </w:t>
      </w:r>
      <w:r>
        <w:rPr>
          <w:rFonts w:cs="Arial" w:ascii="Arial" w:hAnsi="Arial"/>
        </w:rPr>
        <w:t>Zo zisku sa vytvorí rezervný fond a zostatok sa preúčtuje na nerozdelený zisk minulých rokov.</w:t>
      </w:r>
    </w:p>
    <w:p>
      <w:pPr>
        <w:pStyle w:val="Normal"/>
        <w:bidi w:val="0"/>
        <w:ind w:left="567" w:hanging="567"/>
        <w:jc w:val="both"/>
        <w:rPr>
          <w:rFonts w:ascii="Arial" w:hAnsi="Arial" w:cs="Arial"/>
        </w:rPr>
      </w:pPr>
      <w:r>
        <w:rPr/>
      </w:r>
    </w:p>
    <w:p>
      <w:pPr>
        <w:pStyle w:val="Normal"/>
        <w:bidi w:val="0"/>
        <w:ind w:left="567" w:hanging="567"/>
        <w:jc w:val="both"/>
        <w:rPr>
          <w:rFonts w:ascii="Arial" w:hAnsi="Arial" w:cs="Arial"/>
        </w:rPr>
      </w:pPr>
      <w:r>
        <w:rPr/>
      </w:r>
    </w:p>
    <w:p>
      <w:pPr>
        <w:pStyle w:val="Normal"/>
        <w:bidi w:val="0"/>
        <w:ind w:left="567" w:hanging="567"/>
        <w:jc w:val="both"/>
        <w:rPr>
          <w:rFonts w:ascii="Arial" w:hAnsi="Arial" w:cs="Arial"/>
        </w:rPr>
      </w:pPr>
      <w:r>
        <w:rPr/>
      </w:r>
    </w:p>
    <w:p>
      <w:pPr>
        <w:pStyle w:val="Normal"/>
        <w:bidi w:val="0"/>
        <w:ind w:left="567" w:hanging="567"/>
        <w:jc w:val="both"/>
        <w:rPr>
          <w:rFonts w:ascii="Arial" w:hAnsi="Arial" w:cs="Arial"/>
        </w:rPr>
      </w:pPr>
      <w:r>
        <w:rPr/>
      </w:r>
    </w:p>
    <w:p>
      <w:pPr>
        <w:pStyle w:val="Normal"/>
        <w:bidi w:val="0"/>
        <w:spacing w:lineRule="auto" w:line="240" w:before="0" w:after="0"/>
        <w:jc w:val="left"/>
        <w:rPr>
          <w:szCs w:val="22"/>
        </w:rPr>
      </w:pPr>
      <w:r>
        <w:rPr>
          <w:szCs w:val="22"/>
        </w:rPr>
        <w:t>Tabuľka č. 1</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2231"/>
        <w:gridCol w:w="1480"/>
        <w:gridCol w:w="1481"/>
        <w:gridCol w:w="1482"/>
        <w:gridCol w:w="1482"/>
        <w:gridCol w:w="1481"/>
      </w:tblGrid>
      <w:tr>
        <w:trPr>
          <w:trHeight w:val="318" w:hRule="atLeast"/>
        </w:trPr>
        <w:tc>
          <w:tcPr>
            <w:tcW w:w="2231"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Položka vlastného imania</w:t>
            </w:r>
          </w:p>
        </w:tc>
        <w:tc>
          <w:tcPr>
            <w:tcW w:w="7406" w:type="dxa"/>
            <w:gridSpan w:val="5"/>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Bežné účtovné obdobie</w:t>
            </w:r>
          </w:p>
        </w:tc>
      </w:tr>
      <w:tr>
        <w:trPr/>
        <w:tc>
          <w:tcPr>
            <w:tcW w:w="2231"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480"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na začiatku účtovného obdobia</w:t>
            </w:r>
          </w:p>
        </w:tc>
        <w:tc>
          <w:tcPr>
            <w:tcW w:w="1481" w:type="dxa"/>
            <w:tcBorders>
              <w:top w:val="single" w:sz="12" w:space="0" w:color="000000"/>
              <w:left w:val="single" w:sz="12" w:space="0" w:color="000000"/>
              <w:right w:val="single" w:sz="12" w:space="0" w:color="000000"/>
            </w:tcBorders>
            <w:vAlign w:val="center"/>
          </w:tcPr>
          <w:p>
            <w:pPr>
              <w:pStyle w:val="TopHeader"/>
              <w:widowControl w:val="false"/>
              <w:bidi w:val="0"/>
              <w:rPr/>
            </w:pPr>
            <w:r>
              <w:rPr/>
              <w:t>Prírastky</w:t>
            </w:r>
          </w:p>
        </w:tc>
        <w:tc>
          <w:tcPr>
            <w:tcW w:w="1482" w:type="dxa"/>
            <w:tcBorders>
              <w:top w:val="single" w:sz="12" w:space="0" w:color="000000"/>
              <w:left w:val="single" w:sz="12" w:space="0" w:color="000000"/>
              <w:right w:val="single" w:sz="12" w:space="0" w:color="000000"/>
            </w:tcBorders>
            <w:vAlign w:val="center"/>
          </w:tcPr>
          <w:p>
            <w:pPr>
              <w:pStyle w:val="TopHeader"/>
              <w:widowControl w:val="false"/>
              <w:bidi w:val="0"/>
              <w:rPr/>
            </w:pPr>
            <w:r>
              <w:rPr/>
              <w:t>Úbytky</w:t>
            </w:r>
          </w:p>
        </w:tc>
        <w:tc>
          <w:tcPr>
            <w:tcW w:w="1482" w:type="dxa"/>
            <w:tcBorders>
              <w:top w:val="single" w:sz="12" w:space="0" w:color="000000"/>
              <w:left w:val="single" w:sz="12" w:space="0" w:color="000000"/>
              <w:right w:val="single" w:sz="12" w:space="0" w:color="000000"/>
            </w:tcBorders>
            <w:vAlign w:val="center"/>
          </w:tcPr>
          <w:p>
            <w:pPr>
              <w:pStyle w:val="TopHeader"/>
              <w:widowControl w:val="false"/>
              <w:bidi w:val="0"/>
              <w:rPr/>
            </w:pPr>
            <w:r>
              <w:rPr/>
              <w:t>Presuny</w:t>
            </w:r>
          </w:p>
        </w:tc>
        <w:tc>
          <w:tcPr>
            <w:tcW w:w="1481"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na konci účtovného obdobia</w:t>
            </w:r>
          </w:p>
        </w:tc>
      </w:tr>
      <w:tr>
        <w:trPr>
          <w:trHeight w:val="330" w:hRule="atLeast"/>
        </w:trPr>
        <w:tc>
          <w:tcPr>
            <w:tcW w:w="223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1480"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48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1482"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c>
          <w:tcPr>
            <w:tcW w:w="1482"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e</w:t>
            </w:r>
          </w:p>
        </w:tc>
        <w:tc>
          <w:tcPr>
            <w:tcW w:w="148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f</w:t>
            </w:r>
          </w:p>
        </w:tc>
      </w:tr>
      <w:tr>
        <w:trPr>
          <w:trHeight w:val="454" w:hRule="atLeast"/>
        </w:trPr>
        <w:tc>
          <w:tcPr>
            <w:tcW w:w="2231"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Základné imanie</w:t>
            </w:r>
          </w:p>
        </w:tc>
        <w:tc>
          <w:tcPr>
            <w:tcW w:w="1480"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5000</w:t>
            </w:r>
          </w:p>
        </w:tc>
        <w:tc>
          <w:tcPr>
            <w:tcW w:w="1481"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5000</w:t>
            </w:r>
          </w:p>
        </w:tc>
      </w:tr>
      <w:tr>
        <w:trPr>
          <w:trHeight w:val="330" w:hRule="atLeast"/>
        </w:trPr>
        <w:tc>
          <w:tcPr>
            <w:tcW w:w="2231"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Vlastné akcie a vlastné obchodné podiely</w:t>
            </w:r>
          </w:p>
        </w:tc>
        <w:tc>
          <w:tcPr>
            <w:tcW w:w="148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330" w:hRule="atLeast"/>
        </w:trPr>
        <w:tc>
          <w:tcPr>
            <w:tcW w:w="2231"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Zmena základného imania</w:t>
            </w:r>
          </w:p>
        </w:tc>
        <w:tc>
          <w:tcPr>
            <w:tcW w:w="1480"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r>
              <w:rPr>
                <w:szCs w:val="22"/>
              </w:rPr>
              <w:t>0</w:t>
            </w:r>
          </w:p>
        </w:tc>
      </w:tr>
      <w:tr>
        <w:trPr>
          <w:trHeight w:val="330" w:hRule="atLeast"/>
        </w:trPr>
        <w:tc>
          <w:tcPr>
            <w:tcW w:w="2231"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za upísané vlastné imanie</w:t>
            </w:r>
          </w:p>
        </w:tc>
        <w:tc>
          <w:tcPr>
            <w:tcW w:w="1480"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xml:space="preserve"> </w:t>
            </w:r>
            <w:r>
              <w:rPr>
                <w:szCs w:val="22"/>
              </w:rPr>
              <w:t>5000</w:t>
            </w:r>
          </w:p>
        </w:tc>
        <w:tc>
          <w:tcPr>
            <w:tcW w:w="1481"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5000</w:t>
            </w:r>
          </w:p>
        </w:tc>
        <w:tc>
          <w:tcPr>
            <w:tcW w:w="1482"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454" w:hRule="atLeast"/>
        </w:trPr>
        <w:tc>
          <w:tcPr>
            <w:tcW w:w="223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Emisné ážio</w:t>
            </w:r>
          </w:p>
        </w:tc>
        <w:tc>
          <w:tcPr>
            <w:tcW w:w="148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330" w:hRule="atLeast"/>
        </w:trPr>
        <w:tc>
          <w:tcPr>
            <w:tcW w:w="223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Ostatné kapitálové fondy</w:t>
            </w:r>
          </w:p>
        </w:tc>
        <w:tc>
          <w:tcPr>
            <w:tcW w:w="148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330" w:hRule="atLeast"/>
        </w:trPr>
        <w:tc>
          <w:tcPr>
            <w:tcW w:w="2231"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Zákonný rezervný fond (nedeliteľný fond) z kapitálových vkladov</w:t>
            </w:r>
          </w:p>
        </w:tc>
        <w:tc>
          <w:tcPr>
            <w:tcW w:w="1480"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330" w:hRule="atLeast"/>
        </w:trPr>
        <w:tc>
          <w:tcPr>
            <w:tcW w:w="2231"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Oceňovacie rozdiely z precenenia majetku a záväzkov</w:t>
            </w:r>
          </w:p>
        </w:tc>
        <w:tc>
          <w:tcPr>
            <w:tcW w:w="1480"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330" w:hRule="atLeast"/>
        </w:trPr>
        <w:tc>
          <w:tcPr>
            <w:tcW w:w="2231"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Oceňovacie rozdiely z kapitálových účastín</w:t>
            </w:r>
          </w:p>
        </w:tc>
        <w:tc>
          <w:tcPr>
            <w:tcW w:w="148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660" w:hRule="atLeast"/>
        </w:trPr>
        <w:tc>
          <w:tcPr>
            <w:tcW w:w="2231"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Oceňovacie rozdiely z precenenia pri zlúčení, splynutí a rozdelení</w:t>
            </w:r>
          </w:p>
        </w:tc>
        <w:tc>
          <w:tcPr>
            <w:tcW w:w="148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330" w:hRule="atLeast"/>
        </w:trPr>
        <w:tc>
          <w:tcPr>
            <w:tcW w:w="2231"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Zákonný rezervný fond</w:t>
            </w:r>
          </w:p>
        </w:tc>
        <w:tc>
          <w:tcPr>
            <w:tcW w:w="1480"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p>
        </w:tc>
        <w:tc>
          <w:tcPr>
            <w:tcW w:w="1482"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397" w:hRule="atLeast"/>
        </w:trPr>
        <w:tc>
          <w:tcPr>
            <w:tcW w:w="2231"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Nedeliteľný fond</w:t>
            </w:r>
          </w:p>
        </w:tc>
        <w:tc>
          <w:tcPr>
            <w:tcW w:w="1480" w:type="dxa"/>
            <w:tcBorders>
              <w:top w:val="single" w:sz="6"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330" w:hRule="atLeast"/>
        </w:trPr>
        <w:tc>
          <w:tcPr>
            <w:tcW w:w="2231"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Štatutárne fondy a ostatné fondy</w:t>
            </w:r>
          </w:p>
        </w:tc>
        <w:tc>
          <w:tcPr>
            <w:tcW w:w="1480"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xml:space="preserve"> </w:t>
            </w:r>
            <w:r>
              <w:rPr>
                <w:szCs w:val="22"/>
              </w:rPr>
              <w:t>0</w:t>
            </w:r>
          </w:p>
        </w:tc>
        <w:tc>
          <w:tcPr>
            <w:tcW w:w="1481"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330" w:hRule="atLeast"/>
        </w:trPr>
        <w:tc>
          <w:tcPr>
            <w:tcW w:w="2231"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Nerozdelený zisk minulých rokov</w:t>
            </w:r>
          </w:p>
        </w:tc>
        <w:tc>
          <w:tcPr>
            <w:tcW w:w="1480"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xml:space="preserve"> </w:t>
            </w: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r>
              <w:rPr>
                <w:szCs w:val="22"/>
              </w:rPr>
              <w:t>0</w:t>
            </w:r>
          </w:p>
        </w:tc>
      </w:tr>
      <w:tr>
        <w:trPr>
          <w:trHeight w:val="330" w:hRule="atLeast"/>
        </w:trPr>
        <w:tc>
          <w:tcPr>
            <w:tcW w:w="2231" w:type="dxa"/>
            <w:tcBorders>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Neuhradená strata minulých rokov</w:t>
            </w:r>
          </w:p>
        </w:tc>
        <w:tc>
          <w:tcPr>
            <w:tcW w:w="1480"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330" w:hRule="atLeast"/>
        </w:trPr>
        <w:tc>
          <w:tcPr>
            <w:tcW w:w="2231" w:type="dxa"/>
            <w:tcBorders>
              <w:top w:val="single" w:sz="6" w:space="0" w:color="000000"/>
              <w:left w:val="single" w:sz="12" w:space="0" w:color="000000"/>
              <w:bottom w:val="single" w:sz="8"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Výsledok hospodárenia bežného účtovného obdobia</w:t>
            </w:r>
          </w:p>
        </w:tc>
        <w:tc>
          <w:tcPr>
            <w:tcW w:w="1480" w:type="dxa"/>
            <w:tcBorders>
              <w:top w:val="single" w:sz="6" w:space="0" w:color="000000"/>
              <w:left w:val="single" w:sz="12"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6"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482" w:type="dxa"/>
            <w:tcBorders>
              <w:top w:val="single" w:sz="6"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6" w:space="0" w:color="000000"/>
              <w:bottom w:val="single" w:sz="8"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xml:space="preserve"> </w:t>
            </w:r>
            <w:r>
              <w:rPr>
                <w:szCs w:val="22"/>
              </w:rPr>
              <w:t>904</w:t>
            </w:r>
          </w:p>
        </w:tc>
      </w:tr>
      <w:tr>
        <w:trPr>
          <w:trHeight w:val="330" w:hRule="atLeast"/>
        </w:trPr>
        <w:tc>
          <w:tcPr>
            <w:tcW w:w="2231" w:type="dxa"/>
            <w:tcBorders>
              <w:top w:val="single" w:sz="8"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Ostatné položky vlastného imania</w:t>
            </w:r>
          </w:p>
        </w:tc>
        <w:tc>
          <w:tcPr>
            <w:tcW w:w="1480" w:type="dxa"/>
            <w:tcBorders>
              <w:top w:val="single" w:sz="8"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8"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8"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8"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8"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r>
        <w:trPr>
          <w:trHeight w:val="345" w:hRule="atLeast"/>
        </w:trPr>
        <w:tc>
          <w:tcPr>
            <w:tcW w:w="2231"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Účet 491 - Vlastné imanie fyzickej osoby- podnikateľa</w:t>
            </w:r>
          </w:p>
        </w:tc>
        <w:tc>
          <w:tcPr>
            <w:tcW w:w="1480"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r>
    </w:tbl>
    <w:p>
      <w:pPr>
        <w:pStyle w:val="Normal"/>
        <w:tabs>
          <w:tab w:val="clear" w:pos="709"/>
          <w:tab w:val="left" w:pos="1276" w:leader="none"/>
        </w:tabs>
        <w:bidi w:val="0"/>
        <w:spacing w:lineRule="auto" w:line="240" w:before="0" w:after="0"/>
        <w:jc w:val="left"/>
        <w:rPr>
          <w:szCs w:val="22"/>
        </w:rPr>
      </w:pPr>
      <w:r>
        <w:rPr>
          <w:szCs w:val="22"/>
        </w:rPr>
      </w:r>
    </w:p>
    <w:p>
      <w:pPr>
        <w:pStyle w:val="Normal"/>
        <w:tabs>
          <w:tab w:val="clear" w:pos="709"/>
          <w:tab w:val="left" w:pos="1276" w:leader="none"/>
        </w:tabs>
        <w:bidi w:val="0"/>
        <w:spacing w:lineRule="auto" w:line="240" w:before="0" w:after="0"/>
        <w:jc w:val="left"/>
        <w:rPr>
          <w:szCs w:val="22"/>
        </w:rPr>
      </w:pPr>
      <w:r>
        <w:rPr>
          <w:szCs w:val="22"/>
        </w:rPr>
        <w:t>Tabuľka č. 2</w:t>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2230"/>
        <w:gridCol w:w="1481"/>
        <w:gridCol w:w="1481"/>
        <w:gridCol w:w="1482"/>
        <w:gridCol w:w="1482"/>
        <w:gridCol w:w="1481"/>
      </w:tblGrid>
      <w:tr>
        <w:trPr>
          <w:trHeight w:val="396" w:hRule="atLeast"/>
        </w:trPr>
        <w:tc>
          <w:tcPr>
            <w:tcW w:w="2230" w:type="dxa"/>
            <w:vMerge w:val="restart"/>
            <w:tcBorders>
              <w:top w:val="single" w:sz="12" w:space="0" w:color="000000"/>
              <w:left w:val="single" w:sz="12" w:space="0" w:color="000000"/>
              <w:right w:val="single" w:sz="12" w:space="0" w:color="000000"/>
            </w:tcBorders>
            <w:vAlign w:val="center"/>
          </w:tcPr>
          <w:p>
            <w:pPr>
              <w:pStyle w:val="TopHeader"/>
              <w:widowControl w:val="false"/>
              <w:bidi w:val="0"/>
              <w:rPr/>
            </w:pPr>
            <w:r>
              <w:rPr/>
              <w:t>Položka vlastného imania</w:t>
            </w:r>
          </w:p>
        </w:tc>
        <w:tc>
          <w:tcPr>
            <w:tcW w:w="7407" w:type="dxa"/>
            <w:gridSpan w:val="5"/>
            <w:tcBorders>
              <w:top w:val="single" w:sz="12" w:space="0" w:color="000000"/>
              <w:left w:val="single" w:sz="12" w:space="0" w:color="000000"/>
              <w:bottom w:val="single" w:sz="12" w:space="0" w:color="000000"/>
              <w:right w:val="single" w:sz="12" w:space="0" w:color="000000"/>
            </w:tcBorders>
            <w:vAlign w:val="center"/>
          </w:tcPr>
          <w:p>
            <w:pPr>
              <w:pStyle w:val="TopHeader"/>
              <w:widowControl w:val="false"/>
              <w:bidi w:val="0"/>
              <w:rPr/>
            </w:pPr>
            <w:r>
              <w:rPr/>
              <w:t>Bezprostredne predchádzajúce účtovné obdobie</w:t>
            </w:r>
          </w:p>
        </w:tc>
      </w:tr>
      <w:tr>
        <w:trPr/>
        <w:tc>
          <w:tcPr>
            <w:tcW w:w="2230" w:type="dxa"/>
            <w:vMerge w:val="continue"/>
            <w:tcBorders>
              <w:top w:val="single" w:sz="12" w:space="0" w:color="000000"/>
              <w:left w:val="single" w:sz="12" w:space="0" w:color="000000"/>
              <w:right w:val="single" w:sz="12" w:space="0" w:color="000000"/>
            </w:tcBorders>
            <w:vAlign w:val="center"/>
          </w:tcPr>
          <w:p>
            <w:pPr>
              <w:pStyle w:val="Normal"/>
              <w:widowControl w:val="false"/>
              <w:bidi w:val="0"/>
              <w:spacing w:lineRule="auto" w:line="240" w:before="0" w:after="0"/>
              <w:jc w:val="left"/>
              <w:rPr>
                <w:b/>
                <w:bCs/>
                <w:szCs w:val="22"/>
              </w:rPr>
            </w:pPr>
            <w:r>
              <w:rPr>
                <w:b/>
                <w:bCs/>
                <w:szCs w:val="22"/>
              </w:rPr>
            </w:r>
          </w:p>
        </w:tc>
        <w:tc>
          <w:tcPr>
            <w:tcW w:w="1481"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na začiatku účtovného obdobia</w:t>
            </w:r>
          </w:p>
        </w:tc>
        <w:tc>
          <w:tcPr>
            <w:tcW w:w="1481" w:type="dxa"/>
            <w:tcBorders>
              <w:top w:val="single" w:sz="12" w:space="0" w:color="000000"/>
              <w:left w:val="single" w:sz="12" w:space="0" w:color="000000"/>
              <w:right w:val="single" w:sz="12" w:space="0" w:color="000000"/>
            </w:tcBorders>
            <w:vAlign w:val="center"/>
          </w:tcPr>
          <w:p>
            <w:pPr>
              <w:pStyle w:val="TopHeader"/>
              <w:widowControl w:val="false"/>
              <w:bidi w:val="0"/>
              <w:rPr/>
            </w:pPr>
            <w:r>
              <w:rPr/>
              <w:t>Prírastky</w:t>
            </w:r>
          </w:p>
        </w:tc>
        <w:tc>
          <w:tcPr>
            <w:tcW w:w="1482" w:type="dxa"/>
            <w:tcBorders>
              <w:top w:val="single" w:sz="12" w:space="0" w:color="000000"/>
              <w:left w:val="single" w:sz="12" w:space="0" w:color="000000"/>
              <w:right w:val="single" w:sz="12" w:space="0" w:color="000000"/>
            </w:tcBorders>
            <w:vAlign w:val="center"/>
          </w:tcPr>
          <w:p>
            <w:pPr>
              <w:pStyle w:val="TopHeader"/>
              <w:widowControl w:val="false"/>
              <w:bidi w:val="0"/>
              <w:rPr/>
            </w:pPr>
            <w:r>
              <w:rPr/>
              <w:t>Úbytky</w:t>
            </w:r>
          </w:p>
        </w:tc>
        <w:tc>
          <w:tcPr>
            <w:tcW w:w="1482" w:type="dxa"/>
            <w:tcBorders>
              <w:top w:val="single" w:sz="12" w:space="0" w:color="000000"/>
              <w:left w:val="single" w:sz="12" w:space="0" w:color="000000"/>
              <w:right w:val="single" w:sz="12" w:space="0" w:color="000000"/>
            </w:tcBorders>
            <w:vAlign w:val="center"/>
          </w:tcPr>
          <w:p>
            <w:pPr>
              <w:pStyle w:val="TopHeader"/>
              <w:widowControl w:val="false"/>
              <w:bidi w:val="0"/>
              <w:rPr/>
            </w:pPr>
            <w:r>
              <w:rPr/>
              <w:t>Presuny</w:t>
            </w:r>
          </w:p>
        </w:tc>
        <w:tc>
          <w:tcPr>
            <w:tcW w:w="1481" w:type="dxa"/>
            <w:tcBorders>
              <w:top w:val="single" w:sz="12" w:space="0" w:color="000000"/>
              <w:left w:val="single" w:sz="12" w:space="0" w:color="000000"/>
              <w:right w:val="single" w:sz="12" w:space="0" w:color="000000"/>
            </w:tcBorders>
            <w:vAlign w:val="center"/>
          </w:tcPr>
          <w:p>
            <w:pPr>
              <w:pStyle w:val="TopHeader"/>
              <w:widowControl w:val="false"/>
              <w:bidi w:val="0"/>
              <w:rPr/>
            </w:pPr>
            <w:r>
              <w:rPr/>
              <w:t>Stav na konci účtovného obdobia</w:t>
            </w:r>
          </w:p>
        </w:tc>
      </w:tr>
      <w:tr>
        <w:trPr>
          <w:trHeight w:val="330" w:hRule="atLeast"/>
        </w:trPr>
        <w:tc>
          <w:tcPr>
            <w:tcW w:w="2230"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a</w:t>
            </w:r>
          </w:p>
        </w:tc>
        <w:tc>
          <w:tcPr>
            <w:tcW w:w="148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b</w:t>
            </w:r>
          </w:p>
        </w:tc>
        <w:tc>
          <w:tcPr>
            <w:tcW w:w="148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c</w:t>
            </w:r>
          </w:p>
        </w:tc>
        <w:tc>
          <w:tcPr>
            <w:tcW w:w="1482"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d</w:t>
            </w:r>
          </w:p>
        </w:tc>
        <w:tc>
          <w:tcPr>
            <w:tcW w:w="1482"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e</w:t>
            </w:r>
          </w:p>
        </w:tc>
        <w:tc>
          <w:tcPr>
            <w:tcW w:w="1481" w:type="dxa"/>
            <w:tcBorders>
              <w:left w:val="single" w:sz="12" w:space="0" w:color="000000"/>
              <w:bottom w:val="single" w:sz="12" w:space="0" w:color="000000"/>
              <w:right w:val="single" w:sz="12" w:space="0" w:color="000000"/>
            </w:tcBorders>
            <w:vAlign w:val="center"/>
          </w:tcPr>
          <w:p>
            <w:pPr>
              <w:pStyle w:val="TopHeader"/>
              <w:widowControl w:val="false"/>
              <w:bidi w:val="0"/>
              <w:rPr>
                <w:b w:val="false"/>
              </w:rPr>
            </w:pPr>
            <w:r>
              <w:rPr>
                <w:b w:val="false"/>
              </w:rPr>
              <w:t>f</w:t>
            </w:r>
          </w:p>
        </w:tc>
      </w:tr>
      <w:tr>
        <w:trPr>
          <w:trHeight w:val="397" w:hRule="atLeast"/>
        </w:trPr>
        <w:tc>
          <w:tcPr>
            <w:tcW w:w="2230" w:type="dxa"/>
            <w:tcBorders>
              <w:top w:val="single" w:sz="12"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Základné imanie</w:t>
            </w:r>
          </w:p>
        </w:tc>
        <w:tc>
          <w:tcPr>
            <w:tcW w:w="1481"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Vlastné akcie a vlastné obchodné podiely</w:t>
            </w:r>
          </w:p>
        </w:tc>
        <w:tc>
          <w:tcPr>
            <w:tcW w:w="1481"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Zmena základného imania</w:t>
            </w:r>
          </w:p>
        </w:tc>
        <w:tc>
          <w:tcPr>
            <w:tcW w:w="1481"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Pohľadávky za upísané vlastné imanie</w:t>
            </w:r>
          </w:p>
        </w:tc>
        <w:tc>
          <w:tcPr>
            <w:tcW w:w="1481"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97" w:hRule="atLeast"/>
        </w:trPr>
        <w:tc>
          <w:tcPr>
            <w:tcW w:w="2230"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Emisné ážio</w:t>
            </w:r>
          </w:p>
        </w:tc>
        <w:tc>
          <w:tcPr>
            <w:tcW w:w="1481"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top w:val="single" w:sz="4" w:space="0" w:color="000000"/>
              <w:left w:val="single" w:sz="12" w:space="0" w:color="000000"/>
              <w:bottom w:val="single" w:sz="8"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Ostatné kapitálové fondy</w:t>
            </w:r>
          </w:p>
        </w:tc>
        <w:tc>
          <w:tcPr>
            <w:tcW w:w="1481" w:type="dxa"/>
            <w:tcBorders>
              <w:top w:val="single" w:sz="4" w:space="0" w:color="000000"/>
              <w:left w:val="single" w:sz="12"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4"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8"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top w:val="single" w:sz="8"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Zákonný rezervný fond (nedeliteľný fond) z kapitálových vkladov</w:t>
            </w:r>
          </w:p>
        </w:tc>
        <w:tc>
          <w:tcPr>
            <w:tcW w:w="1481" w:type="dxa"/>
            <w:tcBorders>
              <w:top w:val="single" w:sz="8"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8"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8"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8"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8"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left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Oceňovacie rozdiely z precenenia majetku a záväzkov</w:t>
            </w:r>
          </w:p>
        </w:tc>
        <w:tc>
          <w:tcPr>
            <w:tcW w:w="1481" w:type="dxa"/>
            <w:tcBorders>
              <w:top w:val="single" w:sz="4" w:space="0" w:color="000000"/>
              <w:left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Oceňovacie rozdiely z kapitálových účastín</w:t>
            </w:r>
          </w:p>
        </w:tc>
        <w:tc>
          <w:tcPr>
            <w:tcW w:w="1481" w:type="dxa"/>
            <w:tcBorders>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660" w:hRule="atLeast"/>
        </w:trPr>
        <w:tc>
          <w:tcPr>
            <w:tcW w:w="2230"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Oceňovacie rozdiely z precenenia pri zlúčení, splynutí a rozdelení</w:t>
            </w:r>
          </w:p>
        </w:tc>
        <w:tc>
          <w:tcPr>
            <w:tcW w:w="1481"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top w:val="single" w:sz="4"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Zákonný rezervný fond</w:t>
            </w:r>
          </w:p>
        </w:tc>
        <w:tc>
          <w:tcPr>
            <w:tcW w:w="1481"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 </w:t>
            </w: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Nedeliteľný fond</w:t>
            </w:r>
          </w:p>
        </w:tc>
        <w:tc>
          <w:tcPr>
            <w:tcW w:w="1481"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top w:val="single" w:sz="4"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Štatutárne fondy a ostatné fondy</w:t>
            </w:r>
          </w:p>
        </w:tc>
        <w:tc>
          <w:tcPr>
            <w:tcW w:w="1481" w:type="dxa"/>
            <w:tcBorders>
              <w:top w:val="single" w:sz="4"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top w:val="single" w:sz="6" w:space="0" w:color="000000"/>
              <w:left w:val="single" w:sz="12"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Nerozdelený zisk minulých rokov</w:t>
            </w:r>
          </w:p>
        </w:tc>
        <w:tc>
          <w:tcPr>
            <w:tcW w:w="1481" w:type="dxa"/>
            <w:tcBorders>
              <w:top w:val="single" w:sz="6" w:space="0" w:color="000000"/>
              <w:left w:val="single" w:sz="12"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6"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6" w:space="0" w:color="000000"/>
              <w:bottom w:val="single" w:sz="6"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top w:val="single" w:sz="6"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Neuhradená strata minulých rokov</w:t>
            </w:r>
          </w:p>
        </w:tc>
        <w:tc>
          <w:tcPr>
            <w:tcW w:w="1481" w:type="dxa"/>
            <w:tcBorders>
              <w:top w:val="single" w:sz="6"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6"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6"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left w:val="single" w:sz="12" w:space="0" w:color="000000"/>
              <w:bottom w:val="single" w:sz="8"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Výsledok hospodá-renia bežného účtovného obdobia</w:t>
            </w:r>
          </w:p>
        </w:tc>
        <w:tc>
          <w:tcPr>
            <w:tcW w:w="1481" w:type="dxa"/>
            <w:tcBorders>
              <w:top w:val="single" w:sz="4" w:space="0" w:color="000000"/>
              <w:left w:val="single" w:sz="12"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4"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r>
          </w:p>
        </w:tc>
        <w:tc>
          <w:tcPr>
            <w:tcW w:w="1482" w:type="dxa"/>
            <w:tcBorders>
              <w:top w:val="single" w:sz="4" w:space="0" w:color="000000"/>
              <w:bottom w:val="single" w:sz="8"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8"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30" w:hRule="atLeast"/>
        </w:trPr>
        <w:tc>
          <w:tcPr>
            <w:tcW w:w="2230" w:type="dxa"/>
            <w:tcBorders>
              <w:top w:val="single" w:sz="8" w:space="0" w:color="000000"/>
              <w:left w:val="single" w:sz="12"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Ostatné položky vlastného imania</w:t>
            </w:r>
          </w:p>
        </w:tc>
        <w:tc>
          <w:tcPr>
            <w:tcW w:w="1481" w:type="dxa"/>
            <w:tcBorders>
              <w:top w:val="single" w:sz="8" w:space="0" w:color="000000"/>
              <w:left w:val="single" w:sz="12"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8"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8"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8" w:space="0" w:color="000000"/>
              <w:bottom w:val="single" w:sz="4"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8" w:space="0" w:color="000000"/>
              <w:bottom w:val="single" w:sz="4"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r>
        <w:trPr>
          <w:trHeight w:val="345" w:hRule="atLeast"/>
        </w:trPr>
        <w:tc>
          <w:tcPr>
            <w:tcW w:w="2230" w:type="dxa"/>
            <w:tcBorders>
              <w:left w:val="single" w:sz="12"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Účet 491 - Vlastné imanie fyzickej osoby –podnikateľa</w:t>
            </w:r>
          </w:p>
        </w:tc>
        <w:tc>
          <w:tcPr>
            <w:tcW w:w="1481" w:type="dxa"/>
            <w:tcBorders>
              <w:top w:val="single" w:sz="4" w:space="0" w:color="000000"/>
              <w:left w:val="single" w:sz="12"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t>0</w:t>
            </w:r>
          </w:p>
        </w:tc>
        <w:tc>
          <w:tcPr>
            <w:tcW w:w="1481"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2" w:type="dxa"/>
            <w:tcBorders>
              <w:top w:val="single" w:sz="4" w:space="0" w:color="000000"/>
              <w:bottom w:val="single" w:sz="12" w:space="0" w:color="000000"/>
              <w:right w:val="single" w:sz="4" w:space="0" w:color="000000"/>
            </w:tcBorders>
            <w:vAlign w:val="center"/>
          </w:tcPr>
          <w:p>
            <w:pPr>
              <w:pStyle w:val="Normal"/>
              <w:widowControl w:val="false"/>
              <w:bidi w:val="0"/>
              <w:spacing w:lineRule="auto" w:line="240" w:before="0" w:after="0"/>
              <w:jc w:val="left"/>
              <w:rPr>
                <w:szCs w:val="22"/>
              </w:rPr>
            </w:pPr>
            <w:r>
              <w:rPr>
                <w:szCs w:val="22"/>
              </w:rPr>
            </w:r>
          </w:p>
        </w:tc>
        <w:tc>
          <w:tcPr>
            <w:tcW w:w="1481" w:type="dxa"/>
            <w:tcBorders>
              <w:top w:val="single" w:sz="4" w:space="0" w:color="000000"/>
              <w:bottom w:val="single" w:sz="12" w:space="0" w:color="000000"/>
              <w:right w:val="single" w:sz="12" w:space="0" w:color="000000"/>
            </w:tcBorders>
            <w:vAlign w:val="center"/>
          </w:tcPr>
          <w:p>
            <w:pPr>
              <w:pStyle w:val="Normal"/>
              <w:widowControl w:val="false"/>
              <w:bidi w:val="0"/>
              <w:spacing w:lineRule="auto" w:line="240" w:before="0" w:after="0"/>
              <w:jc w:val="left"/>
              <w:rPr>
                <w:szCs w:val="22"/>
              </w:rPr>
            </w:pPr>
            <w:r>
              <w:rPr>
                <w:szCs w:val="22"/>
              </w:rPr>
              <w:t>0</w:t>
            </w:r>
          </w:p>
        </w:tc>
      </w:tr>
    </w:tbl>
    <w:p>
      <w:pPr>
        <w:pStyle w:val="Normal"/>
        <w:tabs>
          <w:tab w:val="clear" w:pos="709"/>
          <w:tab w:val="left" w:pos="1525" w:leader="none"/>
        </w:tabs>
        <w:bidi w:val="0"/>
        <w:spacing w:lineRule="auto" w:line="240" w:before="0" w:after="0"/>
        <w:jc w:val="left"/>
        <w:rPr>
          <w:b/>
          <w:szCs w:val="22"/>
        </w:rPr>
      </w:pPr>
      <w:r>
        <w:rPr>
          <w:b/>
          <w:szCs w:val="22"/>
        </w:rPr>
        <w:tab/>
      </w:r>
    </w:p>
    <w:p>
      <w:pPr>
        <w:pStyle w:val="Normal"/>
        <w:bidi w:val="0"/>
        <w:spacing w:lineRule="auto" w:line="240" w:before="0" w:after="0"/>
        <w:jc w:val="left"/>
        <w:rPr>
          <w:rFonts w:ascii="Arial" w:hAnsi="Arial" w:cs="Arial"/>
          <w:b/>
          <w:szCs w:val="22"/>
        </w:rPr>
      </w:pPr>
      <w:r>
        <w:rPr>
          <w:rFonts w:cs="Arial" w:ascii="Arial" w:hAnsi="Arial"/>
          <w:b/>
          <w:szCs w:val="22"/>
        </w:rPr>
      </w:r>
    </w:p>
    <w:p>
      <w:pPr>
        <w:pStyle w:val="Normal"/>
        <w:bidi w:val="0"/>
        <w:spacing w:lineRule="auto" w:line="240" w:before="0" w:after="0"/>
        <w:jc w:val="left"/>
        <w:rPr>
          <w:rFonts w:ascii="Arial" w:hAnsi="Arial" w:cs="Arial"/>
          <w:b/>
          <w:szCs w:val="22"/>
        </w:rPr>
      </w:pPr>
      <w:r>
        <w:rPr>
          <w:rFonts w:cs="Arial" w:ascii="Arial" w:hAnsi="Arial"/>
          <w:b/>
          <w:szCs w:val="22"/>
        </w:rPr>
        <w:t>Návrh na rozdelenie zisku za rok 202</w:t>
      </w:r>
      <w:r>
        <w:rPr>
          <w:rFonts w:cs="Arial" w:ascii="Arial" w:hAnsi="Arial"/>
          <w:b/>
          <w:szCs w:val="22"/>
        </w:rPr>
        <w:t>5</w:t>
      </w:r>
      <w:r>
        <w:rPr>
          <w:rFonts w:cs="Arial" w:ascii="Arial" w:hAnsi="Arial"/>
          <w:b/>
          <w:szCs w:val="22"/>
        </w:rPr>
        <w:t>:</w:t>
      </w:r>
    </w:p>
    <w:p>
      <w:pPr>
        <w:pStyle w:val="Normal"/>
        <w:bidi w:val="0"/>
        <w:spacing w:lineRule="auto" w:line="240" w:before="0" w:after="0"/>
        <w:jc w:val="left"/>
        <w:rPr>
          <w:rFonts w:ascii="Arial" w:hAnsi="Arial" w:cs="Arial"/>
          <w:szCs w:val="22"/>
        </w:rPr>
      </w:pPr>
      <w:r>
        <w:rPr>
          <w:rFonts w:cs="Arial" w:ascii="Arial" w:hAnsi="Arial"/>
          <w:szCs w:val="22"/>
        </w:rPr>
        <w:t>O rozdelení výsledku hospodárenia za účtovné obdobie 202</w:t>
      </w:r>
      <w:r>
        <w:rPr>
          <w:rFonts w:cs="Arial" w:ascii="Arial" w:hAnsi="Arial"/>
          <w:szCs w:val="22"/>
        </w:rPr>
        <w:t>5</w:t>
      </w:r>
      <w:r>
        <w:rPr>
          <w:rFonts w:cs="Arial" w:ascii="Arial" w:hAnsi="Arial"/>
          <w:szCs w:val="22"/>
        </w:rPr>
        <w:t xml:space="preserve"> vo výške </w:t>
      </w:r>
      <w:r>
        <w:rPr>
          <w:rFonts w:cs="Arial" w:ascii="Arial" w:hAnsi="Arial"/>
          <w:b/>
          <w:bCs/>
          <w:szCs w:val="22"/>
        </w:rPr>
        <w:t>904,00</w:t>
      </w:r>
      <w:r>
        <w:rPr>
          <w:rFonts w:cs="Arial" w:ascii="Arial" w:hAnsi="Arial"/>
          <w:b/>
          <w:bCs/>
          <w:szCs w:val="22"/>
        </w:rPr>
        <w:t xml:space="preserve"> </w:t>
      </w:r>
      <w:r>
        <w:rPr>
          <w:rFonts w:cs="Arial" w:ascii="Arial" w:hAnsi="Arial"/>
          <w:b/>
          <w:szCs w:val="22"/>
        </w:rPr>
        <w:t>eur</w:t>
      </w:r>
      <w:r>
        <w:rPr>
          <w:rFonts w:cs="Arial" w:ascii="Arial" w:hAnsi="Arial"/>
          <w:szCs w:val="22"/>
        </w:rPr>
        <w:t xml:space="preserve"> rozhod</w:t>
      </w:r>
      <w:r>
        <w:rPr>
          <w:rFonts w:cs="Arial" w:ascii="Arial" w:hAnsi="Arial"/>
          <w:szCs w:val="22"/>
        </w:rPr>
        <w:t>ne</w:t>
      </w:r>
      <w:r>
        <w:rPr>
          <w:rFonts w:cs="Arial" w:ascii="Arial" w:hAnsi="Arial"/>
          <w:szCs w:val="22"/>
        </w:rPr>
        <w:t xml:space="preserve"> valné zhromaždenie. </w:t>
      </w:r>
      <w:r>
        <w:rPr>
          <w:rFonts w:cs="Arial" w:ascii="Arial" w:hAnsi="Arial"/>
          <w:szCs w:val="22"/>
        </w:rPr>
        <w:t>Návrh:</w:t>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szCs w:val="22"/>
        </w:rPr>
      </w:pPr>
      <w:r>
        <w:rPr>
          <w:rFonts w:cs="Arial" w:ascii="Arial" w:hAnsi="Arial"/>
          <w:szCs w:val="22"/>
        </w:rPr>
        <w:t xml:space="preserve">Tvorba rezervného fondu 5% max. do výšky 10% ZI                            </w:t>
      </w:r>
      <w:r>
        <w:rPr>
          <w:rFonts w:cs="Arial" w:ascii="Arial" w:hAnsi="Arial"/>
          <w:szCs w:val="22"/>
        </w:rPr>
        <w:t>45,20</w:t>
      </w:r>
      <w:r>
        <w:rPr>
          <w:rFonts w:cs="Arial" w:ascii="Arial" w:hAnsi="Arial"/>
          <w:szCs w:val="22"/>
        </w:rPr>
        <w:t xml:space="preserve"> eur                 </w:t>
      </w:r>
    </w:p>
    <w:p>
      <w:pPr>
        <w:pStyle w:val="Normal"/>
        <w:bidi w:val="0"/>
        <w:spacing w:lineRule="auto" w:line="240" w:before="0" w:after="0"/>
        <w:jc w:val="left"/>
        <w:rPr>
          <w:rFonts w:ascii="Arial" w:hAnsi="Arial" w:cs="Arial"/>
          <w:szCs w:val="22"/>
        </w:rPr>
      </w:pPr>
      <w:r>
        <w:rPr>
          <w:rFonts w:cs="Arial" w:ascii="Arial" w:hAnsi="Arial"/>
          <w:szCs w:val="22"/>
        </w:rPr>
        <w:t>Prevod na nerozdelený zisk minulých rokov rok 202</w:t>
      </w:r>
      <w:r>
        <w:rPr>
          <w:rFonts w:cs="Arial" w:ascii="Arial" w:hAnsi="Arial"/>
          <w:szCs w:val="22"/>
        </w:rPr>
        <w:t>5</w:t>
      </w:r>
      <w:r>
        <w:rPr>
          <w:rFonts w:cs="Arial" w:ascii="Arial" w:hAnsi="Arial"/>
          <w:szCs w:val="22"/>
        </w:rPr>
        <w:t xml:space="preserve">                         </w:t>
      </w:r>
      <w:r>
        <w:rPr>
          <w:rFonts w:cs="Arial" w:ascii="Arial" w:hAnsi="Arial"/>
          <w:szCs w:val="22"/>
        </w:rPr>
        <w:t>858,80</w:t>
      </w:r>
      <w:r>
        <w:rPr>
          <w:rFonts w:cs="Arial" w:ascii="Arial" w:hAnsi="Arial"/>
          <w:szCs w:val="22"/>
        </w:rPr>
        <w:t xml:space="preserve"> eur </w:t>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szCs w:val="22"/>
        </w:rPr>
      </w:pPr>
      <w:r>
        <w:rPr>
          <w:rFonts w:cs="Arial" w:ascii="Arial" w:hAnsi="Arial"/>
          <w:szCs w:val="22"/>
        </w:rPr>
        <w:t>Vypracoval</w:t>
      </w:r>
      <w:r>
        <w:rPr>
          <w:rFonts w:cs="Arial" w:ascii="Arial" w:hAnsi="Arial"/>
          <w:szCs w:val="22"/>
        </w:rPr>
        <w:t>a</w:t>
      </w:r>
      <w:r>
        <w:rPr>
          <w:rFonts w:cs="Arial" w:ascii="Arial" w:hAnsi="Arial"/>
          <w:szCs w:val="22"/>
        </w:rPr>
        <w:t xml:space="preserve">: </w:t>
      </w:r>
      <w:r>
        <w:rPr>
          <w:rFonts w:cs="Arial" w:ascii="Arial" w:hAnsi="Arial"/>
          <w:szCs w:val="22"/>
        </w:rPr>
        <w:t>Ľubica Socháňová</w:t>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szCs w:val="22"/>
        </w:rPr>
      </w:pPr>
      <w:r>
        <w:rPr>
          <w:rFonts w:cs="Arial" w:ascii="Arial" w:hAnsi="Arial"/>
          <w:szCs w:val="22"/>
        </w:rPr>
      </w:r>
    </w:p>
    <w:p>
      <w:pPr>
        <w:pStyle w:val="Normal"/>
        <w:bidi w:val="0"/>
        <w:spacing w:lineRule="auto" w:line="240" w:before="0" w:after="0"/>
        <w:jc w:val="left"/>
        <w:rPr>
          <w:rFonts w:ascii="Arial" w:hAnsi="Arial" w:cs="Arial"/>
          <w:szCs w:val="22"/>
        </w:rPr>
      </w:pPr>
      <w:r>
        <w:rPr>
          <w:rFonts w:cs="Arial" w:ascii="Arial" w:hAnsi="Arial"/>
          <w:szCs w:val="22"/>
        </w:rPr>
        <w:t xml:space="preserve">V Liptovskom Mikuláši </w:t>
      </w:r>
      <w:r>
        <w:rPr>
          <w:rFonts w:cs="Arial" w:ascii="Arial" w:hAnsi="Arial"/>
          <w:szCs w:val="22"/>
        </w:rPr>
        <w:t>15</w:t>
      </w:r>
      <w:r>
        <w:rPr>
          <w:rFonts w:cs="Arial" w:ascii="Arial" w:hAnsi="Arial"/>
          <w:szCs w:val="22"/>
        </w:rPr>
        <w:t>. 3. 202</w:t>
      </w:r>
      <w:r>
        <w:rPr>
          <w:rFonts w:cs="Arial" w:ascii="Arial" w:hAnsi="Arial"/>
          <w:szCs w:val="22"/>
        </w:rPr>
        <w:t>6</w:t>
      </w:r>
    </w:p>
    <w:sectPr>
      <w:headerReference w:type="default" r:id="rId2"/>
      <w:footerReference w:type="default" r:id="rId3"/>
      <w:type w:val="nextPage"/>
      <w:pgSz w:w="11906" w:h="16838"/>
      <w:pgMar w:left="1134" w:right="1134" w:gutter="0" w:header="1134" w:top="1191" w:footer="1134" w:bottom="119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ta"/>
      <w:rPr/>
    </w:pPr>
    <w:r>
      <w:rPr/>
      <w:t xml:space="preserve">                                                                                                                                                       </w:t>
    </w:r>
    <w:r>
      <w:rPr/>
      <w:fldChar w:fldCharType="begin"/>
    </w:r>
    <w:r>
      <w:rPr/>
      <w:instrText xml:space="preserve"> PAGE </w:instrText>
    </w:r>
    <w:r>
      <w:rPr/>
      <w:fldChar w:fldCharType="separate"/>
    </w:r>
    <w:r>
      <w:rPr/>
      <w:t>1</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lavika"/>
      <w:rPr/>
    </w:pPr>
    <w:r>
      <w:rPr/>
      <w:t>Poznámky Úč POD 3 – 01                                     DIČ: 2122542015                  IČO: 57024928</w:t>
    </w:r>
  </w:p>
  <w:p>
    <w:pPr>
      <w:pStyle w:val="Hlavika"/>
      <w:rPr/>
    </w:pPr>
    <w:r>
      <w:rPr/>
    </w:r>
  </w:p>
  <w:p>
    <w:pPr>
      <w:pStyle w:val="Hlavika"/>
      <w:rPr/>
    </w:pPr>
    <w:r>
      <w:rPr/>
    </w:r>
  </w:p>
  <w:p>
    <w:pPr>
      <w:pStyle w:val="Hlavi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lvl w:ilvl="0">
      <w:start w:val="31"/>
      <w:numFmt w:val="bullet"/>
      <w:lvlText w:val="-"/>
      <w:lvlJc w:val="left"/>
      <w:pPr>
        <w:tabs>
          <w:tab w:val="num" w:pos="0"/>
        </w:tabs>
        <w:ind w:left="1080" w:hanging="360"/>
      </w:pPr>
      <w:rPr>
        <w:rFonts w:ascii="Arial" w:hAnsi="Arial" w:cs="Aria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4">
    <w:lvl w:ilvl="0">
      <w:start w:val="2"/>
      <w:numFmt w:val="upperLetter"/>
      <w:lvlText w:val="%1."/>
      <w:lvlJc w:val="left"/>
      <w:pPr>
        <w:tabs>
          <w:tab w:val="num" w:pos="0"/>
        </w:tabs>
        <w:ind w:left="644" w:hanging="360"/>
      </w:pPr>
      <w:rPr>
        <w:sz w:val="28"/>
        <w:b/>
        <w:szCs w:val="28"/>
        <w:rFonts w:ascii="Arial" w:hAnsi="Arial" w:cs="Arial"/>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lvl w:ilvl="0">
      <w:start w:val="1"/>
      <w:numFmt w:val="decimal"/>
      <w:lvlText w:val="%1"/>
      <w:lvlJc w:val="left"/>
      <w:pPr>
        <w:tabs>
          <w:tab w:val="num" w:pos="0"/>
        </w:tabs>
        <w:ind w:left="3990" w:hanging="327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6">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24"/>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sk-SK"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sk-SK" w:eastAsia="zh-CN" w:bidi="hi-IN"/>
    </w:rPr>
  </w:style>
  <w:style w:type="paragraph" w:styleId="Nadpis">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200"/>
      <w:ind w:left="720" w:hanging="0"/>
      <w:contextualSpacing/>
    </w:pPr>
    <w:rPr/>
  </w:style>
  <w:style w:type="paragraph" w:styleId="Nzov">
    <w:name w:val="Title"/>
    <w:basedOn w:val="Normal"/>
    <w:next w:val="Normal"/>
    <w:qFormat/>
    <w:pPr>
      <w:keepNext w:val="true"/>
      <w:spacing w:lineRule="auto" w:line="240" w:beforeAutospacing="1" w:after="220"/>
      <w:jc w:val="center"/>
      <w:outlineLvl w:val="0"/>
    </w:pPr>
    <w:rPr>
      <w:b/>
      <w:bCs/>
      <w:kern w:val="2"/>
      <w:szCs w:val="32"/>
    </w:rPr>
  </w:style>
  <w:style w:type="paragraph" w:styleId="TopHeader">
    <w:name w:val="Top Header"/>
    <w:basedOn w:val="Normal"/>
    <w:qFormat/>
    <w:pPr>
      <w:spacing w:lineRule="auto" w:line="240" w:before="0" w:after="0"/>
      <w:jc w:val="center"/>
    </w:pPr>
    <w:rPr>
      <w:b/>
      <w:bCs/>
      <w:szCs w:val="22"/>
    </w:rPr>
  </w:style>
  <w:style w:type="paragraph" w:styleId="Hlavikaapta">
    <w:name w:val="Hlavička a päta"/>
    <w:basedOn w:val="Normal"/>
    <w:qFormat/>
    <w:pPr>
      <w:suppressLineNumbers/>
      <w:tabs>
        <w:tab w:val="clear" w:pos="709"/>
        <w:tab w:val="center" w:pos="4819" w:leader="none"/>
        <w:tab w:val="right" w:pos="9638" w:leader="none"/>
      </w:tabs>
    </w:pPr>
    <w:rPr/>
  </w:style>
  <w:style w:type="paragraph" w:styleId="Hlavika">
    <w:name w:val="Header"/>
    <w:basedOn w:val="Hlavikaapta"/>
    <w:pPr>
      <w:suppressLineNumbers/>
    </w:pPr>
    <w:rPr/>
  </w:style>
  <w:style w:type="paragraph" w:styleId="Pta">
    <w:name w:val="Footer"/>
    <w:basedOn w:val="Hlavikaapta"/>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185</TotalTime>
  <Application>LibreOffice/7.5.2.2$Windows_X86_64 LibreOffice_project/53bb9681a964705cf672590721dbc85eb4d0c3a2</Application>
  <AppVersion>15.0000</AppVersion>
  <Pages>38</Pages>
  <Words>6535</Words>
  <Characters>37362</Characters>
  <CharactersWithSpaces>44789</CharactersWithSpaces>
  <Paragraphs>1496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2026-03-14T14:45:04Z</dcterms:created>
  <dc:creator/>
  <dc:description/>
  <dc:language>sk-SK</dc:language>
  <cp:lastModifiedBy/>
  <dcterms:modified xsi:type="dcterms:W3CDTF">2026-03-15T18:47:56Z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