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87364" w:rsidRDefault="00270653">
      <w:pPr>
        <w:spacing w:after="120"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POZNÁMKY K ÚČTOVNEJ ZÁVIERKE 20</w:t>
      </w:r>
      <w:r w:rsidR="006C0C6B">
        <w:rPr>
          <w:rFonts w:ascii="Calibri" w:eastAsia="Calibri" w:hAnsi="Calibri" w:cs="Calibri"/>
          <w:b/>
          <w:sz w:val="24"/>
          <w:szCs w:val="24"/>
        </w:rPr>
        <w:t>2</w:t>
      </w:r>
      <w:r w:rsidR="00A858F5">
        <w:rPr>
          <w:rFonts w:ascii="Calibri" w:eastAsia="Calibri" w:hAnsi="Calibri" w:cs="Calibri"/>
          <w:b/>
          <w:sz w:val="24"/>
          <w:szCs w:val="24"/>
        </w:rPr>
        <w:t>5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sz w:val="24"/>
          <w:szCs w:val="24"/>
        </w:rPr>
        <w:t xml:space="preserve">zostavené podľa Opatrenia </w:t>
      </w:r>
      <w:proofErr w:type="spellStart"/>
      <w:r>
        <w:rPr>
          <w:rFonts w:ascii="Calibri" w:eastAsia="Calibri" w:hAnsi="Calibri" w:cs="Calibri"/>
          <w:sz w:val="24"/>
          <w:szCs w:val="24"/>
        </w:rPr>
        <w:t>č.MF</w:t>
      </w:r>
      <w:proofErr w:type="spellEnd"/>
      <w:r>
        <w:rPr>
          <w:rFonts w:ascii="Calibri" w:eastAsia="Calibri" w:hAnsi="Calibri" w:cs="Calibri"/>
          <w:sz w:val="24"/>
          <w:szCs w:val="24"/>
        </w:rPr>
        <w:t>/23378/2014-74 (</w:t>
      </w:r>
      <w:proofErr w:type="spellStart"/>
      <w:r>
        <w:rPr>
          <w:rFonts w:ascii="Calibri" w:eastAsia="Calibri" w:hAnsi="Calibri" w:cs="Calibri"/>
          <w:sz w:val="24"/>
          <w:szCs w:val="24"/>
        </w:rPr>
        <w:t>FS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č.12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/2014), ktorým sa ustanovujú podrobnosti o individuálnej účtovnej závierke a rozsahu údajov určených z individuálnej účtovnej závierky na zverejnenie </w:t>
      </w: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pre </w:t>
      </w:r>
      <w:proofErr w:type="spellStart"/>
      <w:r w:rsidR="006A7AB8">
        <w:rPr>
          <w:rFonts w:ascii="Calibri" w:eastAsia="Calibri" w:hAnsi="Calibri" w:cs="Calibri"/>
          <w:b/>
          <w:sz w:val="24"/>
          <w:szCs w:val="24"/>
        </w:rPr>
        <w:t>mikro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účtovné jednotky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 – VŠEOBECNÉ INFORMÁCIE</w:t>
      </w:r>
    </w:p>
    <w:p w:rsidR="00B87364" w:rsidRDefault="00B87364">
      <w:pPr>
        <w:spacing w:line="240" w:lineRule="auto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1) Základné informácie o účtovnej jednotke:</w:t>
      </w:r>
    </w:p>
    <w:p w:rsidR="00B87364" w:rsidRDefault="00B87364">
      <w:pPr>
        <w:spacing w:line="240" w:lineRule="auto"/>
      </w:pPr>
    </w:p>
    <w:tbl>
      <w:tblPr>
        <w:tblStyle w:val="a"/>
        <w:tblW w:w="971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835"/>
        <w:gridCol w:w="6879"/>
      </w:tblGrid>
      <w:tr w:rsidR="00B87364">
        <w:trPr>
          <w:trHeight w:val="34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Obchodné meno: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STOMA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 xml:space="preserve"> PRAKTIK,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s.r.o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  <w:highlight w:val="white"/>
              </w:rPr>
              <w:t>.</w:t>
            </w:r>
          </w:p>
        </w:tc>
      </w:tr>
      <w:tr w:rsidR="00B87364">
        <w:trPr>
          <w:trHeight w:val="3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Sídlo: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 01 Čadca, ul. SNP 739/10</w:t>
            </w:r>
          </w:p>
        </w:tc>
      </w:tr>
      <w:tr w:rsidR="00B87364">
        <w:trPr>
          <w:trHeight w:val="180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Právna forma:</w:t>
            </w:r>
          </w:p>
        </w:tc>
        <w:tc>
          <w:tcPr>
            <w:tcW w:w="6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 s ručením obmedzeným</w:t>
            </w:r>
          </w:p>
        </w:tc>
      </w:tr>
      <w:tr w:rsidR="00B87364">
        <w:trPr>
          <w:trHeight w:val="2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Dátum vzniku: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Zápis do obchodného registra: 01.01.2007</w:t>
            </w:r>
          </w:p>
        </w:tc>
      </w:tr>
      <w:tr w:rsidR="00B87364">
        <w:trPr>
          <w:trHeight w:val="26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ind w:right="1027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Hlavný predmet podnikania: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B87364">
            <w:pPr>
              <w:spacing w:line="240" w:lineRule="auto"/>
              <w:jc w:val="both"/>
            </w:pPr>
          </w:p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Zubná lekárska prax</w:t>
            </w:r>
          </w:p>
        </w:tc>
      </w:tr>
      <w:tr w:rsidR="00B87364">
        <w:trPr>
          <w:trHeight w:val="52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Subjekt verejného záujmu: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:rsidR="00B87364" w:rsidRDefault="00270653" w:rsidP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Spoločnosť</w:t>
            </w:r>
            <w:r w:rsidR="00752F7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STOMA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PRAKTIK,</w:t>
            </w:r>
            <w:r w:rsidR="006A7AB8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s.r.o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. nie je subjektom verejného záujmu (§ 2/14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ZoU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).</w:t>
            </w:r>
          </w:p>
        </w:tc>
      </w:tr>
      <w:tr w:rsidR="00B87364">
        <w:trPr>
          <w:trHeight w:val="300"/>
        </w:trPr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Účtovné obdobie:</w:t>
            </w:r>
          </w:p>
        </w:tc>
        <w:tc>
          <w:tcPr>
            <w:tcW w:w="6879" w:type="dxa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B87364" w:rsidRDefault="00270653" w:rsidP="00A858F5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Kalendárny rok 20</w:t>
            </w:r>
            <w:r w:rsidR="006C0C6B"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 w:rsidR="00A858F5"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UJ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bola v účtovnom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A858F5"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 xml:space="preserve"> – </w:t>
      </w:r>
      <w:proofErr w:type="spellStart"/>
      <w:r w:rsidR="006A7AB8">
        <w:rPr>
          <w:rFonts w:ascii="Calibri" w:eastAsia="Calibri" w:hAnsi="Calibri" w:cs="Calibri"/>
          <w:sz w:val="24"/>
          <w:szCs w:val="24"/>
        </w:rPr>
        <w:t>mikro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účtovná jednotka, preto zostavuje účtovnú závierku podľa metodiky pre túto veľkostnú skupinu (Opatrenie </w:t>
      </w:r>
      <w:proofErr w:type="spellStart"/>
      <w:r>
        <w:rPr>
          <w:rFonts w:ascii="Calibri" w:eastAsia="Calibri" w:hAnsi="Calibri" w:cs="Calibri"/>
          <w:sz w:val="24"/>
          <w:szCs w:val="24"/>
        </w:rPr>
        <w:t>č.MF</w:t>
      </w:r>
      <w:proofErr w:type="spellEnd"/>
      <w:r>
        <w:rPr>
          <w:rFonts w:ascii="Calibri" w:eastAsia="Calibri" w:hAnsi="Calibri" w:cs="Calibri"/>
          <w:sz w:val="24"/>
          <w:szCs w:val="24"/>
        </w:rPr>
        <w:t>/23378/2014-74).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</w:pPr>
    </w:p>
    <w:p w:rsidR="006A7AB8" w:rsidRDefault="00270653" w:rsidP="006A7AB8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2) Dátum schválenia účtovnej závierky za bezprostredne predchádzajúce účtovné obdobie príslušným orgánom účtovnej jednotky:</w:t>
      </w:r>
      <w:r w:rsidR="00421F73">
        <w:rPr>
          <w:rFonts w:ascii="Calibri" w:eastAsia="Calibri" w:hAnsi="Calibri" w:cs="Calibri"/>
          <w:sz w:val="24"/>
          <w:szCs w:val="24"/>
        </w:rPr>
        <w:t xml:space="preserve"> </w:t>
      </w:r>
      <w:r w:rsidR="004B4891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8</w:t>
      </w:r>
      <w:r w:rsidR="00421F73">
        <w:rPr>
          <w:rFonts w:ascii="Calibri" w:eastAsia="Calibri" w:hAnsi="Calibri" w:cs="Calibri"/>
          <w:sz w:val="24"/>
          <w:szCs w:val="24"/>
        </w:rPr>
        <w:t>.0</w:t>
      </w:r>
      <w:r w:rsidR="00FB12BF">
        <w:rPr>
          <w:rFonts w:ascii="Calibri" w:eastAsia="Calibri" w:hAnsi="Calibri" w:cs="Calibri"/>
          <w:sz w:val="24"/>
          <w:szCs w:val="24"/>
        </w:rPr>
        <w:t>3</w:t>
      </w:r>
      <w:r w:rsidR="00421F73">
        <w:rPr>
          <w:rFonts w:ascii="Calibri" w:eastAsia="Calibri" w:hAnsi="Calibri" w:cs="Calibri"/>
          <w:sz w:val="24"/>
          <w:szCs w:val="24"/>
        </w:rPr>
        <w:t>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A858F5">
        <w:rPr>
          <w:rFonts w:ascii="Calibri" w:eastAsia="Calibri" w:hAnsi="Calibri" w:cs="Calibri"/>
          <w:sz w:val="24"/>
          <w:szCs w:val="24"/>
        </w:rPr>
        <w:t>5</w:t>
      </w:r>
    </w:p>
    <w:p w:rsidR="00B87364" w:rsidRDefault="00270653" w:rsidP="006A7AB8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widowControl w:val="0"/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>3) Právny dôvod na zostavenie účtovnej závierky: Účtovná závierka Spoločnosti k 31.12.20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4732C3">
        <w:rPr>
          <w:rFonts w:ascii="Calibri" w:eastAsia="Calibri" w:hAnsi="Calibri" w:cs="Calibri"/>
          <w:sz w:val="24"/>
          <w:szCs w:val="24"/>
        </w:rPr>
        <w:t>4</w:t>
      </w:r>
      <w:r>
        <w:rPr>
          <w:rFonts w:ascii="Calibri" w:eastAsia="Calibri" w:hAnsi="Calibri" w:cs="Calibri"/>
          <w:sz w:val="24"/>
          <w:szCs w:val="24"/>
        </w:rPr>
        <w:t xml:space="preserve"> je zostavená ako riadna účtovná závierka podľa §17 ods. 6 Zákona č. 431/2002 </w:t>
      </w:r>
      <w:proofErr w:type="spellStart"/>
      <w:r>
        <w:rPr>
          <w:rFonts w:ascii="Calibri" w:eastAsia="Calibri" w:hAnsi="Calibri" w:cs="Calibri"/>
          <w:sz w:val="24"/>
          <w:szCs w:val="24"/>
        </w:rPr>
        <w:t>Z.z</w:t>
      </w:r>
      <w:proofErr w:type="spellEnd"/>
      <w:r>
        <w:rPr>
          <w:rFonts w:ascii="Calibri" w:eastAsia="Calibri" w:hAnsi="Calibri" w:cs="Calibri"/>
          <w:sz w:val="24"/>
          <w:szCs w:val="24"/>
        </w:rPr>
        <w:t>. o účtovníctve za účtovné obdobie od 01. januára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A858F5"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 xml:space="preserve"> do 31. decembra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A858F5"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4)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nie je v skupine účtovných jednotiek</w:t>
      </w: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5) Priemerný prepočítaný počet zamestnancov účtovnej jednotky:</w:t>
      </w:r>
    </w:p>
    <w:tbl>
      <w:tblPr>
        <w:tblStyle w:val="a0"/>
        <w:tblW w:w="974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7"/>
        <w:gridCol w:w="2523"/>
        <w:gridCol w:w="2367"/>
      </w:tblGrid>
      <w:tr w:rsidR="00B87364">
        <w:trPr>
          <w:trHeight w:val="520"/>
        </w:trPr>
        <w:tc>
          <w:tcPr>
            <w:tcW w:w="4857" w:type="dxa"/>
            <w:vAlign w:val="center"/>
          </w:tcPr>
          <w:p w:rsidR="00B87364" w:rsidRDefault="00270653">
            <w:pPr>
              <w:spacing w:line="240" w:lineRule="auto"/>
              <w:ind w:right="459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252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7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160"/>
        </w:trPr>
        <w:tc>
          <w:tcPr>
            <w:tcW w:w="4857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Priemerný prepočítaný počet počas účtovného obdobia</w:t>
            </w:r>
          </w:p>
        </w:tc>
        <w:tc>
          <w:tcPr>
            <w:tcW w:w="2523" w:type="dxa"/>
          </w:tcPr>
          <w:p w:rsidR="00B87364" w:rsidRDefault="002C3272" w:rsidP="002C327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2367" w:type="dxa"/>
          </w:tcPr>
          <w:p w:rsidR="00B87364" w:rsidRDefault="00521956" w:rsidP="00521956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</w:t>
            </w:r>
          </w:p>
        </w:tc>
      </w:tr>
    </w:tbl>
    <w:p w:rsidR="00B87364" w:rsidRDefault="00B87364">
      <w:pPr>
        <w:spacing w:line="240" w:lineRule="auto"/>
        <w:ind w:left="928"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 – INFORMÁCIE O ORGÁNOCH SPOLOČNOSTI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b/>
          <w:sz w:val="24"/>
          <w:szCs w:val="24"/>
        </w:rPr>
        <w:t>Informácie o orgánoch účtovnej jednotky</w:t>
      </w:r>
      <w:r>
        <w:rPr>
          <w:rFonts w:ascii="Calibri" w:eastAsia="Calibri" w:hAnsi="Calibri" w:cs="Calibri"/>
          <w:sz w:val="24"/>
          <w:szCs w:val="24"/>
        </w:rPr>
        <w:t xml:space="preserve"> – štatutárneho orgánu, dozorného orgánu a iného orgánu účtovnej jednotky, pričom sa uvádzajú najmä informácie – o podmienkach a výške jednotlivých druhov záruk alebo iných zabezpečení, o pôžičkách a ich podmienkach (výška úrokov, celková suma pôžičky, suma splatenej pôžičky, suma odpustenej pôžičky), o použití majetku účtovnej jednotky na súkromné účely; v členení na jednotlivé orgány (informácie sa neuvádzajú vtedy, ak by umožnili identifikáciu finančnej situácie konkrétnej fyzickej osoby):</w:t>
      </w:r>
    </w:p>
    <w:tbl>
      <w:tblPr>
        <w:tblStyle w:val="a1"/>
        <w:tblW w:w="98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9"/>
        <w:gridCol w:w="2488"/>
        <w:gridCol w:w="2360"/>
      </w:tblGrid>
      <w:tr w:rsidR="00B87364">
        <w:trPr>
          <w:trHeight w:val="8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Orgány účtovnej jednotky</w:t>
            </w:r>
          </w:p>
        </w:tc>
        <w:tc>
          <w:tcPr>
            <w:tcW w:w="2488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 w:rsidP="007F2FBD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Štatutárny orgán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MUDr.Bartschová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Emília</w:t>
            </w:r>
          </w:p>
        </w:tc>
        <w:tc>
          <w:tcPr>
            <w:tcW w:w="2360" w:type="dxa"/>
            <w:vAlign w:val="center"/>
          </w:tcPr>
          <w:p w:rsidR="00B87364" w:rsidRDefault="000F7B2F" w:rsidP="00270653">
            <w:pPr>
              <w:spacing w:line="240" w:lineRule="auto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MUDr.</w:t>
            </w:r>
            <w:r w:rsidR="00270653">
              <w:rPr>
                <w:rFonts w:ascii="Calibri" w:eastAsia="Calibri" w:hAnsi="Calibri" w:cs="Calibri"/>
                <w:sz w:val="24"/>
                <w:szCs w:val="24"/>
              </w:rPr>
              <w:t>Bartschová</w:t>
            </w:r>
            <w:proofErr w:type="spellEnd"/>
            <w:r w:rsidR="00270653">
              <w:rPr>
                <w:rFonts w:ascii="Calibri" w:eastAsia="Calibri" w:hAnsi="Calibri" w:cs="Calibri"/>
                <w:sz w:val="24"/>
                <w:szCs w:val="24"/>
              </w:rPr>
              <w:t xml:space="preserve"> Emília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B87364">
        <w:trPr>
          <w:trHeight w:val="2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3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270653" w:rsidP="00270653">
            <w:pPr>
              <w:spacing w:line="240" w:lineRule="auto"/>
            </w:pPr>
            <w:proofErr w:type="spellStart"/>
            <w:r>
              <w:t>MUDr.Bartsch</w:t>
            </w:r>
            <w:proofErr w:type="spellEnd"/>
            <w:r>
              <w:t xml:space="preserve"> Pavol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proofErr w:type="spellStart"/>
            <w:r>
              <w:t>MUDr.Bartsch</w:t>
            </w:r>
            <w:proofErr w:type="spellEnd"/>
            <w:r>
              <w:t xml:space="preserve"> Pavol</w:t>
            </w:r>
          </w:p>
        </w:tc>
      </w:tr>
      <w:tr w:rsidR="00B87364">
        <w:trPr>
          <w:trHeight w:val="14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7F2FBD">
            <w:pPr>
              <w:spacing w:line="240" w:lineRule="auto"/>
            </w:pPr>
            <w:proofErr w:type="spellStart"/>
            <w:r>
              <w:t>MUDr.Bartsch</w:t>
            </w:r>
            <w:proofErr w:type="spellEnd"/>
            <w:r>
              <w:t xml:space="preserve"> Juraj, </w:t>
            </w:r>
            <w:proofErr w:type="spellStart"/>
            <w:r>
              <w:t>MDDr.Šenkár</w:t>
            </w:r>
            <w:proofErr w:type="spellEnd"/>
            <w:r>
              <w:t xml:space="preserve"> </w:t>
            </w:r>
            <w:proofErr w:type="spellStart"/>
            <w:r>
              <w:t>Bartschová</w:t>
            </w:r>
            <w:proofErr w:type="spellEnd"/>
            <w:r>
              <w:t xml:space="preserve"> Natália</w:t>
            </w:r>
          </w:p>
        </w:tc>
        <w:tc>
          <w:tcPr>
            <w:tcW w:w="2360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Spoločník</w:t>
            </w:r>
          </w:p>
        </w:tc>
        <w:tc>
          <w:tcPr>
            <w:tcW w:w="2488" w:type="dxa"/>
            <w:vAlign w:val="center"/>
          </w:tcPr>
          <w:p w:rsidR="00B87364" w:rsidRDefault="007F2FBD">
            <w:pPr>
              <w:spacing w:line="240" w:lineRule="auto"/>
            </w:pPr>
            <w:r>
              <w:t xml:space="preserve">MUDr. </w:t>
            </w:r>
            <w:proofErr w:type="spellStart"/>
            <w:r>
              <w:t>Bartsch</w:t>
            </w:r>
            <w:proofErr w:type="spellEnd"/>
            <w:r>
              <w:t xml:space="preserve"> Pavol</w:t>
            </w:r>
          </w:p>
        </w:tc>
        <w:tc>
          <w:tcPr>
            <w:tcW w:w="2360" w:type="dxa"/>
            <w:vAlign w:val="center"/>
          </w:tcPr>
          <w:p w:rsidR="00B87364" w:rsidRDefault="007F2FBD">
            <w:pPr>
              <w:spacing w:line="240" w:lineRule="auto"/>
            </w:pPr>
            <w:r>
              <w:t xml:space="preserve">MUDr. </w:t>
            </w:r>
            <w:proofErr w:type="spellStart"/>
            <w:r>
              <w:t>Bartsch</w:t>
            </w:r>
            <w:proofErr w:type="spellEnd"/>
            <w:r>
              <w:t xml:space="preserve"> Pavol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pôžička celkovo</w:t>
            </w:r>
          </w:p>
        </w:tc>
        <w:tc>
          <w:tcPr>
            <w:tcW w:w="2488" w:type="dxa"/>
            <w:vAlign w:val="center"/>
          </w:tcPr>
          <w:p w:rsidR="00B87364" w:rsidRDefault="007F2FBD">
            <w:pPr>
              <w:spacing w:line="240" w:lineRule="auto"/>
            </w:pPr>
            <w:r>
              <w:t xml:space="preserve">MUDr. </w:t>
            </w:r>
            <w:proofErr w:type="spellStart"/>
            <w:r>
              <w:t>Bartschová</w:t>
            </w:r>
            <w:proofErr w:type="spellEnd"/>
            <w:r>
              <w:t xml:space="preserve"> Emília</w:t>
            </w:r>
          </w:p>
        </w:tc>
        <w:tc>
          <w:tcPr>
            <w:tcW w:w="2360" w:type="dxa"/>
            <w:vAlign w:val="center"/>
          </w:tcPr>
          <w:p w:rsidR="00B87364" w:rsidRDefault="007F2FBD" w:rsidP="007F2FBD">
            <w:pPr>
              <w:spacing w:line="240" w:lineRule="auto"/>
            </w:pPr>
            <w:r>
              <w:t xml:space="preserve">MUDr. </w:t>
            </w:r>
            <w:proofErr w:type="spellStart"/>
            <w:r>
              <w:t>Bartschová</w:t>
            </w:r>
            <w:proofErr w:type="spellEnd"/>
            <w:r>
              <w:t xml:space="preserve"> Emília</w:t>
            </w: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270653">
            <w:pPr>
              <w:numPr>
                <w:ilvl w:val="0"/>
                <w:numId w:val="1"/>
              </w:numPr>
              <w:spacing w:line="240" w:lineRule="auto"/>
              <w:ind w:hanging="360"/>
              <w:rPr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druh príjmu (výhody):</w:t>
            </w: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  <w:tr w:rsidR="00B87364">
        <w:trPr>
          <w:trHeight w:val="160"/>
          <w:jc w:val="center"/>
        </w:trPr>
        <w:tc>
          <w:tcPr>
            <w:tcW w:w="4969" w:type="dxa"/>
            <w:vAlign w:val="center"/>
          </w:tcPr>
          <w:p w:rsidR="00B87364" w:rsidRDefault="00B87364">
            <w:pPr>
              <w:spacing w:line="240" w:lineRule="auto"/>
              <w:ind w:left="720"/>
            </w:pPr>
          </w:p>
        </w:tc>
        <w:tc>
          <w:tcPr>
            <w:tcW w:w="2488" w:type="dxa"/>
            <w:vAlign w:val="center"/>
          </w:tcPr>
          <w:p w:rsidR="00B87364" w:rsidRDefault="00B87364">
            <w:pPr>
              <w:spacing w:line="240" w:lineRule="auto"/>
            </w:pPr>
          </w:p>
        </w:tc>
        <w:tc>
          <w:tcPr>
            <w:tcW w:w="2360" w:type="dxa"/>
            <w:vAlign w:val="center"/>
          </w:tcPr>
          <w:p w:rsidR="00B87364" w:rsidRDefault="00B87364">
            <w:pPr>
              <w:spacing w:line="240" w:lineRule="auto"/>
            </w:pPr>
          </w:p>
        </w:tc>
      </w:tr>
    </w:tbl>
    <w:p w:rsidR="00B87364" w:rsidRDefault="00B87364">
      <w:pPr>
        <w:spacing w:line="240" w:lineRule="auto"/>
        <w:ind w:right="-468"/>
        <w:jc w:val="both"/>
      </w:pPr>
    </w:p>
    <w:p w:rsidR="00B87364" w:rsidRDefault="00B87364">
      <w:pPr>
        <w:spacing w:line="240" w:lineRule="auto"/>
        <w:ind w:right="-468"/>
        <w:jc w:val="both"/>
      </w:pPr>
      <w:bookmarkStart w:id="0" w:name="_GoBack"/>
      <w:bookmarkEnd w:id="0"/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line="240" w:lineRule="auto"/>
        <w:ind w:right="-14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III – INFORMÁCIE O PRIJATÝCH POSTUPOCH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1) Účtovná závierka je zostavená za splnenia predpokladu, že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bude nepretržite pokračovať vo svojej činnosti minimálne 12 mesiacov po </w:t>
      </w:r>
      <w:proofErr w:type="spellStart"/>
      <w:r>
        <w:rPr>
          <w:rFonts w:ascii="Calibri" w:eastAsia="Calibri" w:hAnsi="Calibri" w:cs="Calibri"/>
          <w:sz w:val="24"/>
          <w:szCs w:val="24"/>
        </w:rPr>
        <w:t>závierkovom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dni v zmysle § 7 ods. 4 zákona o účtovníctve.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2) Účtovné metódy vychádzajúce z interných smerníc spoločnosti a všeobecné účtovné zásady boli účtovnou jednotkou konzistentne aplikované</w:t>
      </w:r>
    </w:p>
    <w:p w:rsidR="00B87364" w:rsidRDefault="00B87364">
      <w:pPr>
        <w:spacing w:line="240" w:lineRule="auto"/>
        <w:ind w:right="-141"/>
        <w:jc w:val="both"/>
      </w:pP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transakcie, ktoré sa neuvádzajú v súvahe.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>4) Spôsob a určenie oceňovania majetku a záväzkov (vrátane rozhodujúcich odhadov):</w:t>
      </w:r>
    </w:p>
    <w:p w:rsidR="00B87364" w:rsidRDefault="00270653">
      <w:pPr>
        <w:spacing w:line="240" w:lineRule="auto"/>
        <w:ind w:right="-14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a) Spôsob oceňovania majetku a záväzkov (§ 25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):</w:t>
      </w:r>
    </w:p>
    <w:p w:rsidR="00B87364" w:rsidRDefault="00B87364">
      <w:pPr>
        <w:widowControl w:val="0"/>
        <w:tabs>
          <w:tab w:val="left" w:pos="808"/>
        </w:tabs>
        <w:spacing w:line="240" w:lineRule="auto"/>
        <w:jc w:val="both"/>
      </w:pPr>
    </w:p>
    <w:tbl>
      <w:tblPr>
        <w:tblStyle w:val="a2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5300"/>
        <w:gridCol w:w="3600"/>
      </w:tblGrid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Spôsob oceňovania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externe kúpený: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hmotný majetok interne vytvorený: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Dlhodobý nehmotný majetok obstaraný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8.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kúpou: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9.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vytvorené vlastnou činnosťou: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náklady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Zásoby obstarané inak (darom):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Reprodukčná 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Vlastné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Kúpené pohľadávky: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13.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Krátkodobý finančný majetok: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15.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16.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17.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Deriváty: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18.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Majetok a záväzky zabezpečené derivátmi: 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19.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Prenajatý majetok a majetok obstaraný na základe zmluvy o kúpe prenajatej veci: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Obstarávacia cena</w:t>
            </w:r>
          </w:p>
        </w:tc>
      </w:tr>
      <w:tr w:rsidR="00B87364">
        <w:tc>
          <w:tcPr>
            <w:tcW w:w="706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20.</w:t>
            </w:r>
          </w:p>
        </w:tc>
        <w:tc>
          <w:tcPr>
            <w:tcW w:w="5300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Splatná daň z príjmov a odložená daň z príjmov:</w:t>
            </w:r>
          </w:p>
        </w:tc>
        <w:tc>
          <w:tcPr>
            <w:tcW w:w="3600" w:type="dxa"/>
          </w:tcPr>
          <w:p w:rsidR="00B87364" w:rsidRDefault="00270653">
            <w:pPr>
              <w:widowControl w:val="0"/>
              <w:tabs>
                <w:tab w:val="left" w:pos="808"/>
              </w:tabs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Menovitá hodnota</w:t>
            </w:r>
          </w:p>
        </w:tc>
      </w:tr>
    </w:tbl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b) Trvalé zníženie hodnoty majetku nebolo účtované.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c) Záväzky účtovná jednotka ocenila menovitou hodnotou záväzkov. 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d) Účtovná jednotka nepoužila dobrovoľné oceňovanie obchodných podielov metódou vlastného imania (§ 27/9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B87364">
      <w:pPr>
        <w:keepNext/>
        <w:tabs>
          <w:tab w:val="left" w:pos="1005"/>
        </w:tabs>
        <w:spacing w:after="120" w:line="240" w:lineRule="auto"/>
        <w:jc w:val="both"/>
      </w:pPr>
    </w:p>
    <w:p w:rsidR="00B87364" w:rsidRDefault="00270653">
      <w:pPr>
        <w:keepNext/>
        <w:tabs>
          <w:tab w:val="left" w:pos="1005"/>
        </w:tabs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f) Tvorba odpisového plánu pre dlhodobý majetok, pričom sa uvádza doba odpisovania, sadzby odpisov a odpisové metódy pre účtovné odpisy:</w:t>
      </w:r>
    </w:p>
    <w:tbl>
      <w:tblPr>
        <w:tblStyle w:val="a3"/>
        <w:tblW w:w="960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8"/>
        <w:gridCol w:w="1013"/>
        <w:gridCol w:w="2107"/>
        <w:gridCol w:w="2268"/>
      </w:tblGrid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Dlhodobý hmotný a nehmotný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odpisovaný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číslo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účtu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doba odpisovania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(počet rokov)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odpisová sadzba </w:t>
            </w:r>
          </w:p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(%)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Software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013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Ostatný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DNM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019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Stavby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021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Počítače s príslušenstvom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  <w:proofErr w:type="spellEnd"/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Dopravné prostriedky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Ostatné stroje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022.A</w:t>
            </w:r>
            <w:proofErr w:type="spellEnd"/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  <w:tr w:rsidR="00B87364">
        <w:tc>
          <w:tcPr>
            <w:tcW w:w="4218" w:type="dxa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Ostatný dlhodobý hmotný majetok</w:t>
            </w:r>
          </w:p>
        </w:tc>
        <w:tc>
          <w:tcPr>
            <w:tcW w:w="1013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022</w:t>
            </w:r>
          </w:p>
        </w:tc>
        <w:tc>
          <w:tcPr>
            <w:tcW w:w="2107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25</w:t>
            </w:r>
          </w:p>
        </w:tc>
      </w:tr>
    </w:tbl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:rsidR="00B87364" w:rsidRDefault="00270653">
      <w:pPr>
        <w:spacing w:after="120"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Komentár k odpisovému plánu: 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lastRenderedPageBreak/>
        <w:t>UJ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používa účtovné odpisy nezávisle na daňových odpisoch. Majetok sa začína odpisovať v mesiaci, kedy bol zaradený do užívania. Účtovné odpisy vychádzajú z predpokladanej doby používania majetku. Dlhodobý nehmotný majetok sa odpisuje počas 4 rokov od jeho obstarania.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UJ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používa rovnomerné odpisovanie dlhodobého hmotného majetku a dlhodobého nehmotného majetku. Podrobný účtovný odpisový plán po položkách sa vedie v podsystéme Majetok (taktiež daňové odpisy podľa zákona o dani z príjmov).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UJ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odpisuje jednotlivé veci alebo relevantné súbory hnuteľných vecí (napr. počítačová sieť, nábytková zostava). </w:t>
      </w:r>
      <w:proofErr w:type="spellStart"/>
      <w:r>
        <w:rPr>
          <w:rFonts w:ascii="Calibri" w:eastAsia="Calibri" w:hAnsi="Calibri" w:cs="Calibri"/>
          <w:sz w:val="24"/>
          <w:szCs w:val="24"/>
        </w:rPr>
        <w:t>UJ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nepoužíva </w:t>
      </w:r>
      <w:proofErr w:type="spellStart"/>
      <w:r>
        <w:rPr>
          <w:rFonts w:ascii="Calibri" w:eastAsia="Calibri" w:hAnsi="Calibri" w:cs="Calibri"/>
          <w:sz w:val="24"/>
          <w:szCs w:val="24"/>
        </w:rPr>
        <w:t>komponentné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odpisovanie (odpisovanie častí majetku - komponentov).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UJ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nepoužila jednorazový odpis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dlhodobého majetku z dôvodu jednorazového trvalého zníženia hodnoty majetku (§ 21/5 </w:t>
      </w:r>
      <w:proofErr w:type="spellStart"/>
      <w:r>
        <w:rPr>
          <w:rFonts w:ascii="Calibri" w:eastAsia="Calibri" w:hAnsi="Calibri" w:cs="Calibri"/>
          <w:sz w:val="24"/>
          <w:szCs w:val="24"/>
        </w:rPr>
        <w:t>PU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nepoužíva kategóriu drobného dlhodobého nehmotného majetku - položky pod 2 400 eur jednotkovej ceny so životnosťou nad jeden rok (§ 13/2 </w:t>
      </w:r>
      <w:proofErr w:type="spellStart"/>
      <w:r>
        <w:rPr>
          <w:rFonts w:ascii="Calibri" w:eastAsia="Calibri" w:hAnsi="Calibri" w:cs="Calibri"/>
          <w:sz w:val="24"/>
          <w:szCs w:val="24"/>
        </w:rPr>
        <w:t>PU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nepoužíva kategóriu drobného dlhodobého hmotného majetku - položky pod 1 700 eur jednotkovej ceny so životnosťou nad jeden rok (§ 13/6 </w:t>
      </w:r>
      <w:proofErr w:type="spellStart"/>
      <w:r>
        <w:rPr>
          <w:rFonts w:ascii="Calibri" w:eastAsia="Calibri" w:hAnsi="Calibri" w:cs="Calibri"/>
          <w:sz w:val="24"/>
          <w:szCs w:val="24"/>
        </w:rPr>
        <w:t>PU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nepoužíva dobrovoľné účtovanie podlimitného technického zhodnotenia do odpisovaného dlhodobého majetku – technické zhodnotenie pod 1 700 eur za účtovné obdobie (§ 21/3 </w:t>
      </w:r>
      <w:proofErr w:type="spellStart"/>
      <w:r>
        <w:rPr>
          <w:rFonts w:ascii="Calibri" w:eastAsia="Calibri" w:hAnsi="Calibri" w:cs="Calibri"/>
          <w:sz w:val="24"/>
          <w:szCs w:val="24"/>
        </w:rPr>
        <w:t>PU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§ 29/2 </w:t>
      </w:r>
      <w:proofErr w:type="spellStart"/>
      <w:r>
        <w:rPr>
          <w:rFonts w:ascii="Calibri" w:eastAsia="Calibri" w:hAnsi="Calibri" w:cs="Calibri"/>
          <w:sz w:val="24"/>
          <w:szCs w:val="24"/>
        </w:rPr>
        <w:t>ZDP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270653">
      <w:pPr>
        <w:numPr>
          <w:ilvl w:val="0"/>
          <w:numId w:val="2"/>
        </w:numPr>
        <w:spacing w:after="120" w:line="240" w:lineRule="auto"/>
        <w:ind w:hanging="360"/>
        <w:jc w:val="both"/>
        <w:rPr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nepoužíva dobrovoľnú kapitalizáciu úrokov do obstarávacej ceny odpisovaného dlhodobého hmotného majetku alebo dlhodobého nehmotného majetku (§ 34/1 </w:t>
      </w:r>
      <w:proofErr w:type="spellStart"/>
      <w:r>
        <w:rPr>
          <w:rFonts w:ascii="Calibri" w:eastAsia="Calibri" w:hAnsi="Calibri" w:cs="Calibri"/>
          <w:sz w:val="24"/>
          <w:szCs w:val="24"/>
        </w:rPr>
        <w:t>PU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; § 35/2/h </w:t>
      </w:r>
      <w:proofErr w:type="spellStart"/>
      <w:r>
        <w:rPr>
          <w:rFonts w:ascii="Calibri" w:eastAsia="Calibri" w:hAnsi="Calibri" w:cs="Calibri"/>
          <w:sz w:val="24"/>
          <w:szCs w:val="24"/>
        </w:rPr>
        <w:t>PU</w:t>
      </w:r>
      <w:proofErr w:type="spellEnd"/>
      <w:r>
        <w:rPr>
          <w:rFonts w:ascii="Calibri" w:eastAsia="Calibri" w:hAnsi="Calibri" w:cs="Calibri"/>
          <w:sz w:val="24"/>
          <w:szCs w:val="24"/>
        </w:rPr>
        <w:t>).</w:t>
      </w:r>
    </w:p>
    <w:p w:rsidR="00B87364" w:rsidRDefault="00B87364">
      <w:pPr>
        <w:spacing w:after="120" w:line="240" w:lineRule="auto"/>
        <w:jc w:val="both"/>
      </w:pPr>
    </w:p>
    <w:p w:rsidR="00421F73" w:rsidRDefault="00270653" w:rsidP="00421F7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g) </w:t>
      </w:r>
      <w:proofErr w:type="spellStart"/>
      <w:r w:rsidR="00421F73">
        <w:rPr>
          <w:rFonts w:ascii="Calibri" w:eastAsia="Calibri" w:hAnsi="Calibri" w:cs="Calibri"/>
          <w:sz w:val="24"/>
          <w:szCs w:val="24"/>
        </w:rPr>
        <w:t>ÚJ</w:t>
      </w:r>
      <w:proofErr w:type="spellEnd"/>
      <w:r w:rsidR="00421F73">
        <w:rPr>
          <w:rFonts w:ascii="Calibri" w:eastAsia="Calibri" w:hAnsi="Calibri" w:cs="Calibri"/>
          <w:sz w:val="24"/>
          <w:szCs w:val="24"/>
        </w:rPr>
        <w:t xml:space="preserve"> neboli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A858F5">
        <w:rPr>
          <w:rFonts w:ascii="Calibri" w:eastAsia="Calibri" w:hAnsi="Calibri" w:cs="Calibri"/>
          <w:sz w:val="24"/>
          <w:szCs w:val="24"/>
        </w:rPr>
        <w:t>5</w:t>
      </w:r>
      <w:r w:rsidR="00421F73">
        <w:rPr>
          <w:rFonts w:ascii="Calibri" w:eastAsia="Calibri" w:hAnsi="Calibri" w:cs="Calibri"/>
          <w:sz w:val="24"/>
          <w:szCs w:val="24"/>
        </w:rPr>
        <w:t xml:space="preserve"> poskytnuté žiadne dotácie</w:t>
      </w:r>
    </w:p>
    <w:p w:rsidR="00421F73" w:rsidRDefault="00421F73" w:rsidP="00421F73">
      <w:pPr>
        <w:keepNext/>
        <w:spacing w:after="120" w:line="240" w:lineRule="auto"/>
        <w:jc w:val="both"/>
      </w:pPr>
    </w:p>
    <w:p w:rsidR="00270653" w:rsidRDefault="00270653">
      <w:pPr>
        <w:spacing w:line="240" w:lineRule="auto"/>
      </w:pPr>
    </w:p>
    <w:p w:rsidR="00B87364" w:rsidRDefault="00B87364">
      <w:pPr>
        <w:keepNext/>
        <w:spacing w:after="120" w:line="240" w:lineRule="auto"/>
        <w:jc w:val="both"/>
      </w:pPr>
    </w:p>
    <w:p w:rsidR="00B87364" w:rsidRDefault="00270653">
      <w:pPr>
        <w:spacing w:line="240" w:lineRule="auto"/>
      </w:pPr>
      <w:r>
        <w:rPr>
          <w:rFonts w:ascii="Calibri" w:eastAsia="Calibri" w:hAnsi="Calibri" w:cs="Calibri"/>
          <w:sz w:val="24"/>
          <w:szCs w:val="24"/>
        </w:rPr>
        <w:t xml:space="preserve">5)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v zdaňovacom období roku 20</w:t>
      </w:r>
      <w:r w:rsidR="006C0C6B">
        <w:rPr>
          <w:rFonts w:ascii="Calibri" w:eastAsia="Calibri" w:hAnsi="Calibri" w:cs="Calibri"/>
          <w:sz w:val="24"/>
          <w:szCs w:val="24"/>
        </w:rPr>
        <w:t>2</w:t>
      </w:r>
      <w:r w:rsidR="00A858F5">
        <w:rPr>
          <w:rFonts w:ascii="Calibri" w:eastAsia="Calibri" w:hAnsi="Calibri" w:cs="Calibri"/>
          <w:sz w:val="24"/>
          <w:szCs w:val="24"/>
        </w:rPr>
        <w:t>5</w:t>
      </w:r>
      <w:r>
        <w:rPr>
          <w:rFonts w:ascii="Calibri" w:eastAsia="Calibri" w:hAnsi="Calibri" w:cs="Calibri"/>
          <w:sz w:val="24"/>
          <w:szCs w:val="24"/>
        </w:rPr>
        <w:t xml:space="preserve"> nevykonala žiadne opravy významných chýb.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IV – INFORMÁCIE, KTORÉ VYSVETĽUJÚ A DOPĹŇAJÚ SÚVAHU A VÝKAZ ZISKOV A STRÁT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1)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nehmotného majetku.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2)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významných derivátov, majetku a záväzkoch zabezpečených derivátmi.</w:t>
      </w:r>
    </w:p>
    <w:p w:rsidR="00B87364" w:rsidRDefault="00B87364">
      <w:pPr>
        <w:spacing w:after="120" w:line="240" w:lineRule="auto"/>
        <w:jc w:val="both"/>
      </w:pPr>
    </w:p>
    <w:p w:rsidR="00B87364" w:rsidRDefault="00270653">
      <w:pPr>
        <w:spacing w:after="120" w:line="240" w:lineRule="auto"/>
        <w:ind w:right="-141"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3a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zabezpečených záväzkov so zostatkovou dobou splatnosti dlhšou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 ako 5 rokov:  </w:t>
      </w:r>
    </w:p>
    <w:p w:rsidR="00B87364" w:rsidRDefault="00B87364">
      <w:pPr>
        <w:spacing w:after="120" w:line="240" w:lineRule="auto"/>
        <w:ind w:right="-141"/>
        <w:jc w:val="both"/>
      </w:pPr>
    </w:p>
    <w:tbl>
      <w:tblPr>
        <w:tblStyle w:val="a4"/>
        <w:tblW w:w="971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2553"/>
        <w:gridCol w:w="2376"/>
      </w:tblGrid>
      <w:tr w:rsidR="00B87364">
        <w:trPr>
          <w:trHeight w:val="68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lastRenderedPageBreak/>
              <w:t>Názov položky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B87364">
        <w:trPr>
          <w:trHeight w:val="200"/>
          <w:jc w:val="center"/>
        </w:trPr>
        <w:tc>
          <w:tcPr>
            <w:tcW w:w="4785" w:type="dxa"/>
            <w:vAlign w:val="center"/>
          </w:tcPr>
          <w:p w:rsidR="00B87364" w:rsidRDefault="00270653">
            <w:pPr>
              <w:spacing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Záväzky so zostatkovou dobou splatnosti nad 5 rokov</w:t>
            </w:r>
          </w:p>
        </w:tc>
        <w:tc>
          <w:tcPr>
            <w:tcW w:w="2553" w:type="dxa"/>
            <w:vAlign w:val="center"/>
          </w:tcPr>
          <w:p w:rsidR="00B87364" w:rsidRDefault="00270653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  <w:tc>
          <w:tcPr>
            <w:tcW w:w="2376" w:type="dxa"/>
            <w:vAlign w:val="center"/>
          </w:tcPr>
          <w:p w:rsidR="00B87364" w:rsidRDefault="00270653">
            <w:pPr>
              <w:spacing w:line="240" w:lineRule="auto"/>
              <w:jc w:val="both"/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</w:p>
        </w:tc>
      </w:tr>
    </w:tbl>
    <w:p w:rsidR="00B87364" w:rsidRDefault="00B87364">
      <w:pPr>
        <w:spacing w:before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3b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zabezpečených záväzkov.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4)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vlastné akcie.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5)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nákladov alebo výnosov, ktoré majú výnimočný rozsah alebo výskyt.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 – INFORMÁCIE O INÝCH AKTÍVACH A INÝCH PASÍVACH</w:t>
      </w:r>
    </w:p>
    <w:p w:rsidR="00B87364" w:rsidRDefault="00B87364">
      <w:pPr>
        <w:spacing w:after="120" w:line="240" w:lineRule="auto"/>
        <w:ind w:right="-471"/>
        <w:jc w:val="center"/>
      </w:pPr>
    </w:p>
    <w:p w:rsidR="00B87364" w:rsidRDefault="00270653">
      <w:pPr>
        <w:spacing w:line="240" w:lineRule="auto"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1a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podmieneného majetku.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1b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položky podmienených záväzkov.</w:t>
      </w:r>
    </w:p>
    <w:p w:rsidR="00B87364" w:rsidRDefault="00B87364">
      <w:pPr>
        <w:spacing w:after="120"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2)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ostatné finančné povinnosti, ktoré a nevykazujú v účtovných výkazoch.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270653">
      <w:pPr>
        <w:spacing w:after="12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 V účtovníctve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sa nenachádzajú žiadne položky evidované na podsúvahových účtoch.</w:t>
      </w: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jc w:val="both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 xml:space="preserve">Článok VI – UDALOSTI, KTORÉ NASTALI PO </w:t>
      </w:r>
      <w:proofErr w:type="spellStart"/>
      <w:r>
        <w:rPr>
          <w:rFonts w:ascii="Calibri" w:eastAsia="Calibri" w:hAnsi="Calibri" w:cs="Calibri"/>
          <w:b/>
          <w:sz w:val="24"/>
          <w:szCs w:val="24"/>
        </w:rPr>
        <w:t>ZÁVIERKOVOM</w:t>
      </w:r>
      <w:proofErr w:type="spellEnd"/>
      <w:r>
        <w:rPr>
          <w:rFonts w:ascii="Calibri" w:eastAsia="Calibri" w:hAnsi="Calibri" w:cs="Calibri"/>
          <w:b/>
          <w:sz w:val="24"/>
          <w:szCs w:val="24"/>
        </w:rPr>
        <w:t xml:space="preserve"> DNI</w:t>
      </w: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(Následné udalosti)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jc w:val="both"/>
      </w:pP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neeviduje žiadne udalosti, ktoré nastali po </w:t>
      </w:r>
      <w:proofErr w:type="spellStart"/>
      <w:r>
        <w:rPr>
          <w:rFonts w:ascii="Calibri" w:eastAsia="Calibri" w:hAnsi="Calibri" w:cs="Calibri"/>
          <w:sz w:val="24"/>
          <w:szCs w:val="24"/>
        </w:rPr>
        <w:t>závierkovom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dni.</w:t>
      </w:r>
    </w:p>
    <w:p w:rsidR="00B87364" w:rsidRDefault="00B87364">
      <w:pPr>
        <w:spacing w:line="240" w:lineRule="auto"/>
        <w:ind w:right="-468"/>
        <w:jc w:val="center"/>
      </w:pPr>
    </w:p>
    <w:p w:rsidR="00B87364" w:rsidRDefault="00B87364">
      <w:pPr>
        <w:spacing w:line="240" w:lineRule="auto"/>
        <w:ind w:right="-468"/>
        <w:jc w:val="center"/>
      </w:pPr>
    </w:p>
    <w:p w:rsidR="00B87364" w:rsidRDefault="00270653">
      <w:pPr>
        <w:spacing w:line="240" w:lineRule="auto"/>
        <w:ind w:right="-468"/>
        <w:jc w:val="center"/>
      </w:pPr>
      <w:r>
        <w:rPr>
          <w:rFonts w:ascii="Calibri" w:eastAsia="Calibri" w:hAnsi="Calibri" w:cs="Calibri"/>
          <w:b/>
          <w:sz w:val="24"/>
          <w:szCs w:val="24"/>
        </w:rPr>
        <w:t>Článok VII – OSTATNÉ INFORMÁCIE</w:t>
      </w:r>
    </w:p>
    <w:p w:rsidR="00B87364" w:rsidRDefault="00B87364">
      <w:pPr>
        <w:spacing w:line="240" w:lineRule="auto"/>
        <w:ind w:right="-468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1)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nemá žiadne právo poskytovať služby vo verejnom záujme.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2)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nemá žiadnu priemyselnú výrobu. (§ </w:t>
      </w:r>
      <w:proofErr w:type="spellStart"/>
      <w:r>
        <w:rPr>
          <w:rFonts w:ascii="Calibri" w:eastAsia="Calibri" w:hAnsi="Calibri" w:cs="Calibri"/>
          <w:sz w:val="24"/>
          <w:szCs w:val="24"/>
        </w:rPr>
        <w:t>23d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/6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3) </w:t>
      </w:r>
      <w:proofErr w:type="spellStart"/>
      <w:r>
        <w:rPr>
          <w:rFonts w:ascii="Calibri" w:eastAsia="Calibri" w:hAnsi="Calibri" w:cs="Calibri"/>
          <w:sz w:val="24"/>
          <w:szCs w:val="24"/>
        </w:rPr>
        <w:t>ÚJ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nemá žiadne finančné vzťahy s orgánmi verejnej moci. (§ </w:t>
      </w:r>
      <w:proofErr w:type="spellStart"/>
      <w:r>
        <w:rPr>
          <w:rFonts w:ascii="Calibri" w:eastAsia="Calibri" w:hAnsi="Calibri" w:cs="Calibri"/>
          <w:sz w:val="24"/>
          <w:szCs w:val="24"/>
        </w:rPr>
        <w:t>23d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/6 </w:t>
      </w:r>
      <w:proofErr w:type="spellStart"/>
      <w:r>
        <w:rPr>
          <w:rFonts w:ascii="Calibri" w:eastAsia="Calibri" w:hAnsi="Calibri" w:cs="Calibri"/>
          <w:sz w:val="24"/>
          <w:szCs w:val="24"/>
        </w:rPr>
        <w:t>ZoU</w:t>
      </w:r>
      <w:proofErr w:type="spellEnd"/>
      <w:r>
        <w:rPr>
          <w:rFonts w:ascii="Calibri" w:eastAsia="Calibri" w:hAnsi="Calibri" w:cs="Calibri"/>
          <w:sz w:val="24"/>
          <w:szCs w:val="24"/>
        </w:rPr>
        <w:t>)</w:t>
      </w:r>
    </w:p>
    <w:p w:rsidR="00B87364" w:rsidRDefault="00B87364">
      <w:pPr>
        <w:spacing w:after="120" w:line="240" w:lineRule="auto"/>
        <w:ind w:right="-471"/>
        <w:jc w:val="both"/>
      </w:pPr>
    </w:p>
    <w:p w:rsidR="00B87364" w:rsidRDefault="00B87364">
      <w:pPr>
        <w:spacing w:after="120" w:line="240" w:lineRule="auto"/>
      </w:pPr>
    </w:p>
    <w:p w:rsidR="00B87364" w:rsidRDefault="00270653">
      <w:pPr>
        <w:spacing w:after="120" w:line="240" w:lineRule="auto"/>
        <w:ind w:right="-471"/>
        <w:jc w:val="both"/>
      </w:pP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sectPr w:rsidR="00B87364" w:rsidSect="00C80E22">
      <w:headerReference w:type="default" r:id="rId7"/>
      <w:footerReference w:type="default" r:id="rId8"/>
      <w:pgSz w:w="11907" w:h="16840"/>
      <w:pgMar w:top="1417" w:right="992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D85" w:rsidRDefault="00480D85">
      <w:pPr>
        <w:spacing w:line="240" w:lineRule="auto"/>
      </w:pPr>
      <w:r>
        <w:separator/>
      </w:r>
    </w:p>
  </w:endnote>
  <w:endnote w:type="continuationSeparator" w:id="0">
    <w:p w:rsidR="00480D85" w:rsidRDefault="00480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C80E22">
    <w:pPr>
      <w:tabs>
        <w:tab w:val="center" w:pos="4536"/>
        <w:tab w:val="right" w:pos="9072"/>
      </w:tabs>
      <w:spacing w:line="240" w:lineRule="auto"/>
      <w:jc w:val="right"/>
    </w:pPr>
    <w:r>
      <w:fldChar w:fldCharType="begin"/>
    </w:r>
    <w:r w:rsidR="00270653">
      <w:instrText>PAGE</w:instrText>
    </w:r>
    <w:r>
      <w:fldChar w:fldCharType="separate"/>
    </w:r>
    <w:r w:rsidR="007F2FBD">
      <w:rPr>
        <w:noProof/>
      </w:rPr>
      <w:t>4</w:t>
    </w:r>
    <w:r>
      <w:fldChar w:fldCharType="end"/>
    </w:r>
  </w:p>
  <w:p w:rsidR="00B87364" w:rsidRDefault="00B87364">
    <w:pPr>
      <w:tabs>
        <w:tab w:val="center" w:pos="4536"/>
        <w:tab w:val="right" w:pos="9072"/>
      </w:tabs>
      <w:spacing w:after="567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D85" w:rsidRDefault="00480D85">
      <w:pPr>
        <w:spacing w:line="240" w:lineRule="auto"/>
      </w:pPr>
      <w:r>
        <w:separator/>
      </w:r>
    </w:p>
  </w:footnote>
  <w:footnote w:type="continuationSeparator" w:id="0">
    <w:p w:rsidR="00480D85" w:rsidRDefault="00480D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364" w:rsidRDefault="00270653">
    <w:pPr>
      <w:widowControl w:val="0"/>
      <w:tabs>
        <w:tab w:val="left" w:pos="2990"/>
        <w:tab w:val="left" w:pos="6348"/>
      </w:tabs>
      <w:spacing w:before="567" w:line="240" w:lineRule="auto"/>
      <w:ind w:left="-397"/>
      <w:jc w:val="center"/>
    </w:pPr>
    <w:r>
      <w:t xml:space="preserve"> Poznámky </w:t>
    </w:r>
    <w:proofErr w:type="spellStart"/>
    <w:r>
      <w:t>Úč</w:t>
    </w:r>
    <w:proofErr w:type="spellEnd"/>
    <w:r>
      <w:t xml:space="preserve"> POD 3 – 01          </w:t>
    </w:r>
    <w:r>
      <w:rPr>
        <w:color w:val="707070"/>
        <w:sz w:val="18"/>
        <w:szCs w:val="18"/>
        <w:highlight w:val="white"/>
      </w:rPr>
      <w:tab/>
    </w:r>
    <w:r>
      <w:t xml:space="preserve">                 IČO: </w:t>
    </w:r>
    <w:r w:rsidR="003459F0">
      <w:t>36</w:t>
    </w:r>
    <w:r>
      <w:t xml:space="preserve">689564         DIČ: 2022276355  </w:t>
    </w:r>
  </w:p>
  <w:p w:rsidR="00B87364" w:rsidRDefault="00B87364">
    <w:pPr>
      <w:tabs>
        <w:tab w:val="center" w:pos="4703"/>
        <w:tab w:val="right" w:pos="9406"/>
      </w:tabs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64C91"/>
    <w:multiLevelType w:val="multilevel"/>
    <w:tmpl w:val="1EECCF62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286D243E"/>
    <w:multiLevelType w:val="multilevel"/>
    <w:tmpl w:val="5072A10A"/>
    <w:lvl w:ilvl="0">
      <w:start w:val="6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CAE6D9F"/>
    <w:multiLevelType w:val="multilevel"/>
    <w:tmpl w:val="6D68A1C2"/>
    <w:lvl w:ilvl="0">
      <w:start w:val="1"/>
      <w:numFmt w:val="bullet"/>
      <w:lvlText w:val="➢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364"/>
    <w:rsid w:val="000056E9"/>
    <w:rsid w:val="000F7B2F"/>
    <w:rsid w:val="001044E0"/>
    <w:rsid w:val="00270653"/>
    <w:rsid w:val="002863BB"/>
    <w:rsid w:val="002C3272"/>
    <w:rsid w:val="002E4DB2"/>
    <w:rsid w:val="003459F0"/>
    <w:rsid w:val="0037362E"/>
    <w:rsid w:val="00421F73"/>
    <w:rsid w:val="004732C3"/>
    <w:rsid w:val="00480D85"/>
    <w:rsid w:val="004B4891"/>
    <w:rsid w:val="004C3B25"/>
    <w:rsid w:val="00521956"/>
    <w:rsid w:val="005744AC"/>
    <w:rsid w:val="005F6A1A"/>
    <w:rsid w:val="00607814"/>
    <w:rsid w:val="00690DEC"/>
    <w:rsid w:val="006A7AB8"/>
    <w:rsid w:val="006C0C6B"/>
    <w:rsid w:val="00752F78"/>
    <w:rsid w:val="0077620D"/>
    <w:rsid w:val="007F2FBD"/>
    <w:rsid w:val="00955995"/>
    <w:rsid w:val="00A858F5"/>
    <w:rsid w:val="00B55F74"/>
    <w:rsid w:val="00B87364"/>
    <w:rsid w:val="00C80E22"/>
    <w:rsid w:val="00EB41F8"/>
    <w:rsid w:val="00EC2695"/>
    <w:rsid w:val="00FB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35ED2"/>
  <w15:docId w15:val="{9406B103-E309-4150-831C-038327CC4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</w:style>
  <w:style w:type="paragraph" w:styleId="Nadpis1">
    <w:name w:val="heading 1"/>
    <w:basedOn w:val="Normlny"/>
    <w:next w:val="Normlny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pPr>
      <w:keepNext/>
      <w:keepLines/>
      <w:spacing w:before="220" w:after="40"/>
      <w:contextualSpacing/>
      <w:outlineLvl w:val="4"/>
    </w:pPr>
    <w:rPr>
      <w:b/>
    </w:rPr>
  </w:style>
  <w:style w:type="paragraph" w:styleId="Nadpis6">
    <w:name w:val="heading 6"/>
    <w:basedOn w:val="Normlny"/>
    <w:next w:val="Normlny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titul">
    <w:name w:val="Subtitle"/>
    <w:basedOn w:val="Normlny"/>
    <w:next w:val="Normlny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459F0"/>
  </w:style>
  <w:style w:type="paragraph" w:styleId="Pta">
    <w:name w:val="footer"/>
    <w:basedOn w:val="Normlny"/>
    <w:link w:val="PtaChar"/>
    <w:uiPriority w:val="99"/>
    <w:unhideWhenUsed/>
    <w:rsid w:val="003459F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4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1228</Words>
  <Characters>7004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Katka</dc:creator>
  <cp:lastModifiedBy>kata.mihalikova@gmail.com</cp:lastModifiedBy>
  <cp:revision>4</cp:revision>
  <dcterms:created xsi:type="dcterms:W3CDTF">2026-03-30T15:08:00Z</dcterms:created>
  <dcterms:modified xsi:type="dcterms:W3CDTF">2026-03-30T15:12:00Z</dcterms:modified>
</cp:coreProperties>
</file>