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2750B2" w14:textId="77777777" w:rsidR="004F65D3" w:rsidRDefault="00F33D18">
      <w:pPr>
        <w:jc w:val="both"/>
      </w:pPr>
      <w:r>
        <w:t xml:space="preserve"> Poznámky </w:t>
      </w:r>
      <w:proofErr w:type="spellStart"/>
      <w:r>
        <w:t>Úč</w:t>
      </w:r>
      <w:proofErr w:type="spellEnd"/>
      <w:r>
        <w:t xml:space="preserve"> PODV 3- 01</w:t>
      </w:r>
      <w:r>
        <w:tab/>
      </w:r>
      <w:r>
        <w:tab/>
      </w:r>
      <w:r>
        <w:tab/>
      </w:r>
      <w:r>
        <w:tab/>
      </w:r>
      <w:r>
        <w:tab/>
      </w:r>
      <w:r>
        <w:tab/>
      </w:r>
      <w:r>
        <w:tab/>
        <w:t>IČO: 45394857</w:t>
      </w:r>
    </w:p>
    <w:p w14:paraId="782750B3" w14:textId="77777777" w:rsidR="004F65D3" w:rsidRDefault="00F33D18">
      <w:pPr>
        <w:jc w:val="both"/>
      </w:pPr>
      <w:r>
        <w:tab/>
      </w:r>
      <w:r>
        <w:tab/>
      </w:r>
      <w:r>
        <w:tab/>
      </w:r>
      <w:r>
        <w:tab/>
      </w:r>
      <w:r>
        <w:tab/>
      </w:r>
      <w:r>
        <w:tab/>
      </w:r>
      <w:r>
        <w:tab/>
      </w:r>
      <w:r>
        <w:tab/>
      </w:r>
      <w:r>
        <w:tab/>
      </w:r>
      <w:r>
        <w:tab/>
        <w:t>DIČ: 2022985580</w:t>
      </w:r>
    </w:p>
    <w:p w14:paraId="782750B4" w14:textId="77777777" w:rsidR="004F65D3" w:rsidRDefault="004F65D3">
      <w:pPr>
        <w:jc w:val="both"/>
      </w:pPr>
    </w:p>
    <w:p w14:paraId="782750B5" w14:textId="77777777" w:rsidR="004F65D3" w:rsidRDefault="00F33D18">
      <w:pPr>
        <w:jc w:val="center"/>
        <w:rPr>
          <w:b/>
          <w:sz w:val="28"/>
          <w:szCs w:val="28"/>
        </w:rPr>
      </w:pPr>
      <w:r>
        <w:rPr>
          <w:b/>
          <w:sz w:val="28"/>
          <w:szCs w:val="28"/>
        </w:rPr>
        <w:t>Poznámky</w:t>
      </w:r>
    </w:p>
    <w:p w14:paraId="782750B6" w14:textId="72122C25" w:rsidR="004F65D3" w:rsidRDefault="00F33D18">
      <w:pPr>
        <w:jc w:val="center"/>
        <w:rPr>
          <w:b/>
          <w:sz w:val="28"/>
          <w:szCs w:val="28"/>
        </w:rPr>
      </w:pPr>
      <w:r>
        <w:rPr>
          <w:b/>
          <w:sz w:val="28"/>
          <w:szCs w:val="28"/>
        </w:rPr>
        <w:t>individuálnej účtovnej závierky zostavenej k 31. decembru 202</w:t>
      </w:r>
      <w:r w:rsidR="00ED59C0">
        <w:rPr>
          <w:b/>
          <w:sz w:val="28"/>
          <w:szCs w:val="28"/>
        </w:rPr>
        <w:t>5</w:t>
      </w:r>
    </w:p>
    <w:p w14:paraId="782750B7" w14:textId="77777777" w:rsidR="004F65D3" w:rsidRDefault="004F65D3">
      <w:pPr>
        <w:jc w:val="both"/>
      </w:pPr>
    </w:p>
    <w:p w14:paraId="782750B8" w14:textId="77777777" w:rsidR="004F65D3" w:rsidRDefault="00F33D18">
      <w:pPr>
        <w:jc w:val="center"/>
        <w:rPr>
          <w:b/>
        </w:rPr>
      </w:pPr>
      <w:r>
        <w:rPr>
          <w:b/>
        </w:rPr>
        <w:t>Čl. I</w:t>
      </w:r>
    </w:p>
    <w:p w14:paraId="782750B9" w14:textId="77777777" w:rsidR="004F65D3" w:rsidRDefault="00F33D18">
      <w:pPr>
        <w:jc w:val="center"/>
        <w:rPr>
          <w:b/>
        </w:rPr>
      </w:pPr>
      <w:r>
        <w:rPr>
          <w:b/>
        </w:rPr>
        <w:t>Všeobecné informácie</w:t>
      </w:r>
    </w:p>
    <w:p w14:paraId="782750BA" w14:textId="77777777" w:rsidR="004F65D3" w:rsidRDefault="00F33D18">
      <w:pPr>
        <w:jc w:val="both"/>
      </w:pPr>
      <w:r>
        <w:t xml:space="preserve">(1) Názov, sídlo, predmet podnikania: </w:t>
      </w:r>
    </w:p>
    <w:p w14:paraId="782750BB" w14:textId="77777777" w:rsidR="004F65D3" w:rsidRDefault="00F33D18">
      <w:pPr>
        <w:jc w:val="both"/>
      </w:pPr>
      <w:r>
        <w:t xml:space="preserve">spoločnosť </w:t>
      </w:r>
      <w:r>
        <w:rPr>
          <w:b/>
          <w:i/>
        </w:rPr>
        <w:t>DEFIMEX, s.r.o.</w:t>
      </w:r>
      <w:r>
        <w:t xml:space="preserve"> (ďalej len Spoločnosť), bola do obchodného registra zapísaná 11.3. 2010 (Obchodný register Okresného súdu Trenčín, oddiel s.r.o., vložka 22738/R). </w:t>
      </w:r>
    </w:p>
    <w:p w14:paraId="782750BC" w14:textId="77777777" w:rsidR="004F65D3" w:rsidRDefault="004F65D3">
      <w:pPr>
        <w:jc w:val="both"/>
      </w:pPr>
    </w:p>
    <w:p w14:paraId="782750BD" w14:textId="77777777" w:rsidR="004F65D3" w:rsidRDefault="00F33D18">
      <w:pPr>
        <w:jc w:val="both"/>
      </w:pPr>
      <w:r>
        <w:t xml:space="preserve">Hlavnými činnosťami Spoločnosti sú: </w:t>
      </w:r>
    </w:p>
    <w:p w14:paraId="782750BE" w14:textId="77777777" w:rsidR="004F65D3" w:rsidRDefault="00F33D18">
      <w:pPr>
        <w:jc w:val="both"/>
      </w:pPr>
      <w:r>
        <w:t xml:space="preserve">– obchodovanie s vojenským materiálom, </w:t>
      </w:r>
    </w:p>
    <w:p w14:paraId="782750BF" w14:textId="77777777" w:rsidR="004F65D3" w:rsidRDefault="00F33D18">
      <w:pPr>
        <w:jc w:val="both"/>
      </w:pPr>
      <w:r>
        <w:t xml:space="preserve">– nákup tovaru za účelom ďalšieho predaja a predaj v rozsahu voľných živností </w:t>
      </w:r>
    </w:p>
    <w:p w14:paraId="782750C0" w14:textId="77777777" w:rsidR="004F65D3" w:rsidRDefault="004F65D3">
      <w:pPr>
        <w:jc w:val="both"/>
      </w:pPr>
    </w:p>
    <w:p w14:paraId="782750C1" w14:textId="77777777" w:rsidR="004F65D3" w:rsidRDefault="00F33D18">
      <w:pPr>
        <w:jc w:val="both"/>
      </w:pPr>
      <w:r>
        <w:t xml:space="preserve">(2) Dátum schválenia účtovnej závierky za predchádzajúce účtovné obdobie: </w:t>
      </w:r>
    </w:p>
    <w:p w14:paraId="782750C2" w14:textId="1BC7727E" w:rsidR="004F65D3" w:rsidRDefault="00F33D18">
      <w:pPr>
        <w:jc w:val="both"/>
      </w:pPr>
      <w:r>
        <w:t>účtovná závierka Spoločnosti k 31. decembru 202</w:t>
      </w:r>
      <w:r w:rsidR="00ED59C0">
        <w:t>4</w:t>
      </w:r>
      <w:r>
        <w:t xml:space="preserve"> za predchádzajúce účtovné obdobie bola schválená valným zhromaždením Spoločnosti dňa </w:t>
      </w:r>
      <w:r w:rsidR="00ED59C0">
        <w:t>30</w:t>
      </w:r>
      <w:r>
        <w:t>.3.202</w:t>
      </w:r>
      <w:r w:rsidR="00ED59C0">
        <w:t>5</w:t>
      </w:r>
      <w:r>
        <w:t xml:space="preserve">. </w:t>
      </w:r>
    </w:p>
    <w:p w14:paraId="782750C3" w14:textId="77777777" w:rsidR="004F65D3" w:rsidRDefault="004F65D3">
      <w:pPr>
        <w:jc w:val="both"/>
      </w:pPr>
    </w:p>
    <w:p w14:paraId="782750C4" w14:textId="77777777" w:rsidR="004F65D3" w:rsidRDefault="00F33D18">
      <w:pPr>
        <w:jc w:val="both"/>
      </w:pPr>
      <w:r>
        <w:t xml:space="preserve">(3) Právny dôvod na zostavenie účtovnej závierky: </w:t>
      </w:r>
    </w:p>
    <w:p w14:paraId="782750C5" w14:textId="2EE666DB" w:rsidR="004F65D3" w:rsidRDefault="00F33D18">
      <w:pPr>
        <w:jc w:val="both"/>
      </w:pPr>
      <w:r>
        <w:t>účtovná závierka Spoločnosti k 31. decembru 202</w:t>
      </w:r>
      <w:r w:rsidR="00575EF2">
        <w:t>4</w:t>
      </w:r>
      <w:r>
        <w:t xml:space="preserve"> je zostavená ako riadna účtovná závierka podľa § 17 ods. 6 zákona NR SR č. 431/2002 Z. z. o účtovníctve v znení neskorších predpisov za účtovné obdobie od 1. januára 202</w:t>
      </w:r>
      <w:r w:rsidR="00ED59C0">
        <w:t>5</w:t>
      </w:r>
      <w:r>
        <w:t xml:space="preserve"> do 31. decembra 202</w:t>
      </w:r>
      <w:r w:rsidR="00ED59C0">
        <w:t>5</w:t>
      </w:r>
      <w:r>
        <w:t>.</w:t>
      </w:r>
    </w:p>
    <w:p w14:paraId="782750C6" w14:textId="77777777" w:rsidR="004F65D3" w:rsidRDefault="004F65D3">
      <w:pPr>
        <w:jc w:val="both"/>
      </w:pPr>
    </w:p>
    <w:p w14:paraId="782750C7" w14:textId="77777777" w:rsidR="004F65D3" w:rsidRDefault="00F33D18">
      <w:pPr>
        <w:jc w:val="both"/>
      </w:pPr>
      <w:r>
        <w:t xml:space="preserve">(4) Priemerný prepočítaný počet zamestnancov: </w:t>
      </w:r>
    </w:p>
    <w:p w14:paraId="782750C8" w14:textId="77777777" w:rsidR="004F65D3" w:rsidRDefault="00F33D18">
      <w:pPr>
        <w:jc w:val="both"/>
      </w:pPr>
      <w:r>
        <w:t>údaje o počte zamestnancov za bežné účtovné obdobie a bezprostredne predchádzajúce účtovné obdobie sú uvedené v nasledujúcom prehľade:</w:t>
      </w:r>
    </w:p>
    <w:p w14:paraId="782750C9" w14:textId="77777777" w:rsidR="004F65D3" w:rsidRDefault="004F65D3">
      <w:pPr>
        <w:jc w:val="both"/>
      </w:pPr>
    </w:p>
    <w:p w14:paraId="782750CA" w14:textId="77777777" w:rsidR="004F65D3" w:rsidRDefault="00F33D18">
      <w:pPr>
        <w:jc w:val="both"/>
      </w:pPr>
      <w:r>
        <w:t xml:space="preserve"> </w:t>
      </w:r>
    </w:p>
    <w:tbl>
      <w:tblPr>
        <w:tblW w:w="5000" w:type="pct"/>
        <w:jc w:val="center"/>
        <w:tblLayout w:type="fixed"/>
        <w:tblCellMar>
          <w:left w:w="70" w:type="dxa"/>
          <w:right w:w="70" w:type="dxa"/>
        </w:tblCellMar>
        <w:tblLook w:val="0000" w:firstRow="0" w:lastRow="0" w:firstColumn="0" w:lastColumn="0" w:noHBand="0" w:noVBand="0"/>
      </w:tblPr>
      <w:tblGrid>
        <w:gridCol w:w="3710"/>
        <w:gridCol w:w="2773"/>
        <w:gridCol w:w="2559"/>
      </w:tblGrid>
      <w:tr w:rsidR="004F65D3" w14:paraId="782750CE" w14:textId="77777777">
        <w:trPr>
          <w:jc w:val="center"/>
        </w:trPr>
        <w:tc>
          <w:tcPr>
            <w:tcW w:w="3723" w:type="dxa"/>
            <w:tcBorders>
              <w:top w:val="single" w:sz="12" w:space="0" w:color="000000"/>
              <w:left w:val="single" w:sz="12" w:space="0" w:color="000000"/>
              <w:right w:val="single" w:sz="12" w:space="0" w:color="000000"/>
            </w:tcBorders>
            <w:vAlign w:val="center"/>
          </w:tcPr>
          <w:p w14:paraId="782750CB" w14:textId="77777777" w:rsidR="004F65D3" w:rsidRDefault="00F33D18">
            <w:pPr>
              <w:pStyle w:val="TopHeader"/>
              <w:widowControl w:val="0"/>
            </w:pPr>
            <w:r>
              <w:t>Názov položky</w:t>
            </w:r>
          </w:p>
        </w:tc>
        <w:tc>
          <w:tcPr>
            <w:tcW w:w="2782" w:type="dxa"/>
            <w:tcBorders>
              <w:top w:val="single" w:sz="12" w:space="0" w:color="000000"/>
              <w:left w:val="single" w:sz="12" w:space="0" w:color="000000"/>
              <w:right w:val="single" w:sz="12" w:space="0" w:color="000000"/>
            </w:tcBorders>
            <w:vAlign w:val="center"/>
          </w:tcPr>
          <w:p w14:paraId="782750CC" w14:textId="77777777" w:rsidR="004F65D3" w:rsidRDefault="00F33D18">
            <w:pPr>
              <w:pStyle w:val="TopHeader"/>
              <w:widowControl w:val="0"/>
            </w:pPr>
            <w:r>
              <w:t>Bežné účtovné obdobie</w:t>
            </w:r>
          </w:p>
        </w:tc>
        <w:tc>
          <w:tcPr>
            <w:tcW w:w="2567" w:type="dxa"/>
            <w:tcBorders>
              <w:top w:val="single" w:sz="12" w:space="0" w:color="000000"/>
              <w:left w:val="single" w:sz="12" w:space="0" w:color="000000"/>
              <w:right w:val="single" w:sz="12" w:space="0" w:color="000000"/>
            </w:tcBorders>
            <w:vAlign w:val="center"/>
          </w:tcPr>
          <w:p w14:paraId="782750CD" w14:textId="77777777" w:rsidR="004F65D3" w:rsidRDefault="00F33D18">
            <w:pPr>
              <w:pStyle w:val="TopHeader"/>
              <w:widowControl w:val="0"/>
            </w:pPr>
            <w:r>
              <w:t>Bezprostredne predchádzajúce účtovné obdobie</w:t>
            </w:r>
          </w:p>
        </w:tc>
      </w:tr>
      <w:tr w:rsidR="004F65D3" w14:paraId="782750D2" w14:textId="77777777">
        <w:trPr>
          <w:jc w:val="center"/>
        </w:trPr>
        <w:tc>
          <w:tcPr>
            <w:tcW w:w="3723" w:type="dxa"/>
            <w:tcBorders>
              <w:top w:val="single" w:sz="12" w:space="0" w:color="000000"/>
              <w:left w:val="single" w:sz="12" w:space="0" w:color="000000"/>
              <w:bottom w:val="single" w:sz="12" w:space="0" w:color="000000"/>
              <w:right w:val="single" w:sz="12" w:space="0" w:color="000000"/>
            </w:tcBorders>
          </w:tcPr>
          <w:p w14:paraId="782750CF" w14:textId="77777777" w:rsidR="004F65D3" w:rsidRDefault="00F33D18">
            <w:pPr>
              <w:widowControl w:val="0"/>
              <w:rPr>
                <w:rFonts w:cs="Arial"/>
                <w:szCs w:val="22"/>
              </w:rPr>
            </w:pPr>
            <w:r>
              <w:rPr>
                <w:rFonts w:cs="Arial"/>
                <w:szCs w:val="22"/>
              </w:rPr>
              <w:t>Priemerný prepočítaný počet zamestnancov ku dňu závierky</w:t>
            </w:r>
          </w:p>
        </w:tc>
        <w:tc>
          <w:tcPr>
            <w:tcW w:w="2782" w:type="dxa"/>
            <w:tcBorders>
              <w:top w:val="single" w:sz="12" w:space="0" w:color="000000"/>
              <w:left w:val="single" w:sz="12" w:space="0" w:color="000000"/>
              <w:bottom w:val="single" w:sz="12" w:space="0" w:color="000000"/>
              <w:right w:val="single" w:sz="12" w:space="0" w:color="000000"/>
            </w:tcBorders>
          </w:tcPr>
          <w:p w14:paraId="782750D0" w14:textId="77777777" w:rsidR="004F65D3" w:rsidRDefault="00F33D18">
            <w:pPr>
              <w:widowControl w:val="0"/>
              <w:spacing w:line="360" w:lineRule="auto"/>
              <w:jc w:val="center"/>
              <w:rPr>
                <w:rFonts w:cs="Arial"/>
                <w:szCs w:val="22"/>
              </w:rPr>
            </w:pPr>
            <w:r>
              <w:rPr>
                <w:rFonts w:cs="Arial"/>
                <w:szCs w:val="22"/>
              </w:rPr>
              <w:t>1</w:t>
            </w:r>
          </w:p>
        </w:tc>
        <w:tc>
          <w:tcPr>
            <w:tcW w:w="2567" w:type="dxa"/>
            <w:tcBorders>
              <w:top w:val="single" w:sz="12" w:space="0" w:color="000000"/>
              <w:left w:val="single" w:sz="12" w:space="0" w:color="000000"/>
              <w:bottom w:val="single" w:sz="12" w:space="0" w:color="000000"/>
              <w:right w:val="single" w:sz="12" w:space="0" w:color="000000"/>
            </w:tcBorders>
          </w:tcPr>
          <w:p w14:paraId="782750D1" w14:textId="77777777" w:rsidR="004F65D3" w:rsidRDefault="00F33D18">
            <w:pPr>
              <w:widowControl w:val="0"/>
              <w:spacing w:line="360" w:lineRule="auto"/>
              <w:jc w:val="center"/>
              <w:rPr>
                <w:rFonts w:cs="Arial"/>
                <w:szCs w:val="22"/>
              </w:rPr>
            </w:pPr>
            <w:r>
              <w:rPr>
                <w:rFonts w:cs="Arial"/>
                <w:szCs w:val="22"/>
              </w:rPr>
              <w:t>1</w:t>
            </w:r>
          </w:p>
        </w:tc>
      </w:tr>
    </w:tbl>
    <w:p w14:paraId="782750D3" w14:textId="77777777" w:rsidR="004F65D3" w:rsidRDefault="004F65D3">
      <w:pPr>
        <w:jc w:val="both"/>
      </w:pPr>
    </w:p>
    <w:p w14:paraId="782750D4" w14:textId="77777777" w:rsidR="004F65D3" w:rsidRDefault="004F65D3">
      <w:pPr>
        <w:jc w:val="both"/>
      </w:pPr>
    </w:p>
    <w:p w14:paraId="782750D5" w14:textId="77777777" w:rsidR="004F65D3" w:rsidRDefault="00F33D18">
      <w:pPr>
        <w:jc w:val="both"/>
      </w:pPr>
      <w:r>
        <w:t xml:space="preserve"> </w:t>
      </w:r>
    </w:p>
    <w:p w14:paraId="782750D6" w14:textId="77777777" w:rsidR="004F65D3" w:rsidRDefault="00F33D18">
      <w:pPr>
        <w:jc w:val="center"/>
        <w:rPr>
          <w:b/>
        </w:rPr>
      </w:pPr>
      <w:r>
        <w:rPr>
          <w:b/>
        </w:rPr>
        <w:t>Čl. II</w:t>
      </w:r>
    </w:p>
    <w:p w14:paraId="782750D7" w14:textId="77777777" w:rsidR="004F65D3" w:rsidRDefault="00F33D18">
      <w:pPr>
        <w:jc w:val="center"/>
        <w:rPr>
          <w:b/>
        </w:rPr>
      </w:pPr>
      <w:r>
        <w:rPr>
          <w:b/>
        </w:rPr>
        <w:t>Informácie o orgánoch spoločnosti</w:t>
      </w:r>
    </w:p>
    <w:p w14:paraId="782750D8" w14:textId="77777777" w:rsidR="004F65D3" w:rsidRDefault="004F65D3">
      <w:pPr>
        <w:jc w:val="both"/>
      </w:pPr>
    </w:p>
    <w:p w14:paraId="782750D9" w14:textId="77777777" w:rsidR="004F65D3" w:rsidRDefault="00F33D18">
      <w:pPr>
        <w:jc w:val="both"/>
      </w:pPr>
      <w:r>
        <w:t>Údaje o štatutárnych orgánoch Spoločnosti sú uvedené v Obchodnom registri.</w:t>
      </w:r>
    </w:p>
    <w:p w14:paraId="782750DA" w14:textId="77777777" w:rsidR="004F65D3" w:rsidRDefault="00F33D18">
      <w:pPr>
        <w:jc w:val="both"/>
      </w:pPr>
      <w:r>
        <w:t>Štatutárnym orgánom Spoločnosti je konateľ Ing. Martin Rusnák.</w:t>
      </w:r>
    </w:p>
    <w:p w14:paraId="782750DB" w14:textId="77777777" w:rsidR="004F65D3" w:rsidRDefault="00F33D18">
      <w:pPr>
        <w:jc w:val="both"/>
      </w:pPr>
      <w:r>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14:paraId="782750DC" w14:textId="77777777" w:rsidR="004F65D3" w:rsidRDefault="004F65D3">
      <w:pPr>
        <w:jc w:val="both"/>
      </w:pPr>
    </w:p>
    <w:p w14:paraId="782750DD" w14:textId="77777777" w:rsidR="004F65D3" w:rsidRDefault="004F65D3">
      <w:pPr>
        <w:jc w:val="both"/>
      </w:pPr>
    </w:p>
    <w:p w14:paraId="782750DE" w14:textId="77777777" w:rsidR="004F65D3" w:rsidRDefault="004F65D3">
      <w:pPr>
        <w:jc w:val="both"/>
      </w:pPr>
    </w:p>
    <w:p w14:paraId="782750DF" w14:textId="77777777" w:rsidR="004F65D3" w:rsidRDefault="00F33D18">
      <w:pPr>
        <w:jc w:val="both"/>
      </w:pPr>
      <w:r>
        <w:lastRenderedPageBreak/>
        <w:t xml:space="preserve">Poznámky </w:t>
      </w:r>
      <w:proofErr w:type="spellStart"/>
      <w:r>
        <w:t>Úč</w:t>
      </w:r>
      <w:proofErr w:type="spellEnd"/>
      <w:r>
        <w:t xml:space="preserve"> PODV 3- 01</w:t>
      </w:r>
      <w:r>
        <w:tab/>
      </w:r>
      <w:r>
        <w:tab/>
      </w:r>
      <w:r>
        <w:tab/>
      </w:r>
      <w:r>
        <w:tab/>
      </w:r>
      <w:r>
        <w:tab/>
      </w:r>
      <w:r>
        <w:tab/>
      </w:r>
      <w:r>
        <w:tab/>
        <w:t>IČO: 45394857</w:t>
      </w:r>
    </w:p>
    <w:p w14:paraId="782750E0" w14:textId="77777777" w:rsidR="004F65D3" w:rsidRDefault="00F33D18">
      <w:pPr>
        <w:jc w:val="both"/>
      </w:pPr>
      <w:r>
        <w:tab/>
      </w:r>
      <w:r>
        <w:tab/>
      </w:r>
      <w:r>
        <w:tab/>
      </w:r>
      <w:r>
        <w:tab/>
      </w:r>
      <w:r>
        <w:tab/>
      </w:r>
      <w:r>
        <w:tab/>
      </w:r>
      <w:r>
        <w:tab/>
      </w:r>
      <w:r>
        <w:tab/>
      </w:r>
      <w:r>
        <w:tab/>
      </w:r>
      <w:r>
        <w:tab/>
        <w:t>DIČ: 2022985580</w:t>
      </w:r>
    </w:p>
    <w:p w14:paraId="782750E1" w14:textId="77777777" w:rsidR="004F65D3" w:rsidRDefault="004F65D3">
      <w:pPr>
        <w:jc w:val="both"/>
      </w:pPr>
    </w:p>
    <w:p w14:paraId="782750E2" w14:textId="77777777" w:rsidR="004F65D3" w:rsidRDefault="00F33D18">
      <w:pPr>
        <w:jc w:val="center"/>
        <w:rPr>
          <w:b/>
        </w:rPr>
      </w:pPr>
      <w:r>
        <w:rPr>
          <w:b/>
        </w:rPr>
        <w:t>Čl. III</w:t>
      </w:r>
    </w:p>
    <w:p w14:paraId="782750E3" w14:textId="77777777" w:rsidR="004F65D3" w:rsidRDefault="00F33D18">
      <w:pPr>
        <w:jc w:val="center"/>
        <w:rPr>
          <w:b/>
        </w:rPr>
      </w:pPr>
      <w:r>
        <w:rPr>
          <w:b/>
        </w:rPr>
        <w:t>Informácie o prijatých postupoch</w:t>
      </w:r>
    </w:p>
    <w:p w14:paraId="782750E4" w14:textId="77777777" w:rsidR="004F65D3" w:rsidRDefault="00F33D18">
      <w:pPr>
        <w:jc w:val="both"/>
      </w:pPr>
      <w:r>
        <w:t xml:space="preserve">(1) Východiská pre zostavenie účtovnej závierky: </w:t>
      </w:r>
    </w:p>
    <w:p w14:paraId="782750E5" w14:textId="77777777" w:rsidR="004F65D3" w:rsidRDefault="00F33D18">
      <w:pPr>
        <w:jc w:val="both"/>
      </w:pPr>
      <w:r>
        <w:t>účtovná závierka bola zostavená za predpokladu nepretržitého trvania Spoločnosti (</w:t>
      </w:r>
      <w:proofErr w:type="spellStart"/>
      <w:r>
        <w:t>going</w:t>
      </w:r>
      <w:proofErr w:type="spellEnd"/>
      <w:r>
        <w:t xml:space="preserve"> </w:t>
      </w:r>
      <w:proofErr w:type="spellStart"/>
      <w:r>
        <w:t>concern</w:t>
      </w:r>
      <w:proofErr w:type="spellEnd"/>
      <w:r>
        <w:t xml:space="preserve">). </w:t>
      </w:r>
    </w:p>
    <w:p w14:paraId="782750E6" w14:textId="77777777" w:rsidR="004F65D3" w:rsidRDefault="004F65D3">
      <w:pPr>
        <w:jc w:val="both"/>
      </w:pPr>
    </w:p>
    <w:p w14:paraId="782750E7" w14:textId="77777777" w:rsidR="004F65D3" w:rsidRDefault="00F33D18">
      <w:pPr>
        <w:jc w:val="both"/>
      </w:pPr>
      <w:r>
        <w:t>(2) Účtovné metódy a všeobecné účtovné zásady boli účtovnou jednotkou konzistentne aplikované.</w:t>
      </w:r>
    </w:p>
    <w:p w14:paraId="782750E8" w14:textId="77777777" w:rsidR="004F65D3" w:rsidRDefault="004F65D3">
      <w:pPr>
        <w:jc w:val="both"/>
      </w:pPr>
    </w:p>
    <w:p w14:paraId="782750E9" w14:textId="77777777" w:rsidR="004F65D3" w:rsidRDefault="00F33D18">
      <w:pPr>
        <w:jc w:val="both"/>
      </w:pPr>
      <w:r>
        <w:t>(3) V súvahe sú uvedené všetky transakcie, uskutočnené Spoločnosťou v účtovnom období.</w:t>
      </w:r>
    </w:p>
    <w:p w14:paraId="782750EA" w14:textId="77777777" w:rsidR="004F65D3" w:rsidRDefault="00F33D18">
      <w:pPr>
        <w:jc w:val="both"/>
      </w:pPr>
      <w:r>
        <w:t xml:space="preserve"> </w:t>
      </w:r>
    </w:p>
    <w:p w14:paraId="782750EB" w14:textId="77777777" w:rsidR="004F65D3" w:rsidRDefault="00F33D18">
      <w:pPr>
        <w:jc w:val="both"/>
      </w:pPr>
      <w:r>
        <w:t>(4) Spôsob a určenie ocenenia majetku a záväzkov vrátane odhadov:</w:t>
      </w:r>
    </w:p>
    <w:p w14:paraId="782750EC" w14:textId="77777777" w:rsidR="004F65D3" w:rsidRDefault="004F65D3">
      <w:pPr>
        <w:jc w:val="both"/>
      </w:pPr>
    </w:p>
    <w:p w14:paraId="782750ED" w14:textId="77777777" w:rsidR="004F65D3" w:rsidRDefault="00F33D18">
      <w:pPr>
        <w:jc w:val="both"/>
      </w:pPr>
      <w:r>
        <w:t>a) dlhodobý nehmotný majetok a dlhodobý hmotný majetok:</w:t>
      </w:r>
    </w:p>
    <w:p w14:paraId="782750EE" w14:textId="77777777" w:rsidR="004F65D3" w:rsidRDefault="00F33D18">
      <w:pPr>
        <w:jc w:val="both"/>
      </w:pPr>
      <w:r>
        <w:t>dlhodobý majetok nakupovaný sa oceňuje obstarávacou cenou, ktorá zahŕňa cenu obstarania a náklady súvisiace s obstaraním (clo, prepravu, montáž, poistné a pod.).</w:t>
      </w:r>
    </w:p>
    <w:p w14:paraId="782750EF" w14:textId="77777777" w:rsidR="004F65D3" w:rsidRDefault="004F65D3">
      <w:pPr>
        <w:jc w:val="both"/>
      </w:pPr>
    </w:p>
    <w:p w14:paraId="782750F0" w14:textId="77777777" w:rsidR="004F65D3" w:rsidRDefault="00F33D18">
      <w:pPr>
        <w:jc w:val="both"/>
      </w:pPr>
      <w:r>
        <w:t xml:space="preserve">Súčasťou obstarávacej ceny dlhodobého hmotného majetku nie sú úroky z cudzích zdrojov ani realizované kurzové rozdiely, ktoré vznikli do momentu uvedenia dlhodobého majetku do používania. </w:t>
      </w:r>
    </w:p>
    <w:p w14:paraId="782750F1" w14:textId="77777777" w:rsidR="004F65D3" w:rsidRDefault="004F65D3">
      <w:pPr>
        <w:jc w:val="both"/>
      </w:pPr>
    </w:p>
    <w:p w14:paraId="782750F2" w14:textId="77777777" w:rsidR="004F65D3" w:rsidRDefault="00F33D18">
      <w:pPr>
        <w:jc w:val="both"/>
      </w:pPr>
      <w:r>
        <w:t xml:space="preserve">Súčasťou obstarávacej ceny dlhodobého nehmotného majetku nie sú úroky z cudzích zdrojov, ktoré vznikli do momentu zaradenia dlhodobého nehmotného majetku do používania. </w:t>
      </w:r>
    </w:p>
    <w:p w14:paraId="782750F3" w14:textId="77777777" w:rsidR="004F65D3" w:rsidRDefault="004F65D3">
      <w:pPr>
        <w:jc w:val="both"/>
      </w:pPr>
    </w:p>
    <w:p w14:paraId="782750F4" w14:textId="77777777" w:rsidR="004F65D3" w:rsidRDefault="00F33D18">
      <w:pPr>
        <w:jc w:val="both"/>
      </w:pPr>
      <w:r>
        <w:t xml:space="preserve">Odpisy dlhodobého nehmotného majetku sú stanovené vychádzajúc z predpokladanej doby jeho používania a predpokladaného priebehu jeho opotrebenia. Odpisovať sa začína počnúc mesiacom uvedenia dlhodobého nehmotného majetku do používania. </w:t>
      </w:r>
    </w:p>
    <w:p w14:paraId="782750F5" w14:textId="77777777" w:rsidR="004F65D3" w:rsidRDefault="004F65D3">
      <w:pPr>
        <w:jc w:val="both"/>
      </w:pPr>
    </w:p>
    <w:p w14:paraId="782750F6" w14:textId="77777777" w:rsidR="004F65D3" w:rsidRDefault="00F33D18">
      <w:pPr>
        <w:jc w:val="both"/>
      </w:pPr>
      <w:r>
        <w:t xml:space="preserve">Odpisy dlhodobého hmotného majetku sú stanovené vychádzajúc z predpokladanej doby jeho používania a predpokladaného priebehu jeho opotrebenia. Odpisovať sa začína počnúc mesiacom uvedenia dlhodobého majetku do používania okrem majetku obstarávaného formou finančného leasingu, ktorý sa začína odpisovať dňom zaradenia do majetku. </w:t>
      </w:r>
    </w:p>
    <w:p w14:paraId="782750F7" w14:textId="77777777" w:rsidR="004F65D3" w:rsidRDefault="004F65D3">
      <w:pPr>
        <w:jc w:val="both"/>
      </w:pPr>
    </w:p>
    <w:p w14:paraId="782750F8" w14:textId="77777777" w:rsidR="004F65D3" w:rsidRDefault="00F33D18">
      <w:pPr>
        <w:jc w:val="both"/>
      </w:pPr>
      <w:r>
        <w:t>Drobný nehmotný majetok, ktorého ocenenie sa rovná alebo je nižšie ako 2400 € s dobou použiteľnosti dlhšou ako jeden rok sa účtuje na ťarchu účtu 518.</w:t>
      </w:r>
    </w:p>
    <w:p w14:paraId="782750F9" w14:textId="77777777" w:rsidR="004F65D3" w:rsidRDefault="004F65D3">
      <w:pPr>
        <w:jc w:val="both"/>
      </w:pPr>
    </w:p>
    <w:p w14:paraId="782750FA" w14:textId="77777777" w:rsidR="004F65D3" w:rsidRDefault="00F33D18">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782750FB" w14:textId="77777777" w:rsidR="004F65D3" w:rsidRDefault="004F65D3">
      <w:pPr>
        <w:jc w:val="both"/>
      </w:pPr>
    </w:p>
    <w:p w14:paraId="782750FC" w14:textId="77777777" w:rsidR="004F65D3" w:rsidRDefault="00F33D18">
      <w:pPr>
        <w:jc w:val="both"/>
      </w:pPr>
      <w:r>
        <w:t xml:space="preserve">Pozemky ani zásoby sa neodpisujú. </w:t>
      </w:r>
    </w:p>
    <w:p w14:paraId="3302B8DD" w14:textId="77777777" w:rsidR="00ED59C0" w:rsidRDefault="00ED59C0">
      <w:pPr>
        <w:jc w:val="both"/>
      </w:pPr>
    </w:p>
    <w:p w14:paraId="0C1D197D" w14:textId="2AD5184D" w:rsidR="00ED59C0" w:rsidRDefault="00ED59C0" w:rsidP="00ED59C0">
      <w:pPr>
        <w:jc w:val="both"/>
      </w:pPr>
      <w:r>
        <w:t>(</w:t>
      </w:r>
      <w:r>
        <w:t>5</w:t>
      </w:r>
      <w:r>
        <w:t>) Spo</w:t>
      </w:r>
      <w:r>
        <w:t>ločnosť nevytvorila kapitálový fond z príspevkov.</w:t>
      </w:r>
    </w:p>
    <w:p w14:paraId="24D14A53" w14:textId="77777777" w:rsidR="00ED59C0" w:rsidRDefault="00ED59C0">
      <w:pPr>
        <w:jc w:val="both"/>
      </w:pPr>
    </w:p>
    <w:p w14:paraId="782750FD" w14:textId="77777777" w:rsidR="004F65D3" w:rsidRDefault="004F65D3">
      <w:pPr>
        <w:jc w:val="both"/>
      </w:pPr>
    </w:p>
    <w:p w14:paraId="782750FE" w14:textId="77777777" w:rsidR="004F65D3" w:rsidRDefault="004F65D3">
      <w:pPr>
        <w:jc w:val="both"/>
      </w:pPr>
    </w:p>
    <w:p w14:paraId="782750FF" w14:textId="77777777" w:rsidR="004F65D3" w:rsidRDefault="004F65D3">
      <w:pPr>
        <w:jc w:val="both"/>
      </w:pPr>
    </w:p>
    <w:p w14:paraId="78275100" w14:textId="77777777" w:rsidR="004F65D3" w:rsidRDefault="004F65D3">
      <w:pPr>
        <w:jc w:val="both"/>
      </w:pPr>
    </w:p>
    <w:p w14:paraId="78275101" w14:textId="77777777" w:rsidR="004F65D3" w:rsidRDefault="004F65D3">
      <w:pPr>
        <w:jc w:val="both"/>
      </w:pPr>
    </w:p>
    <w:p w14:paraId="78275102" w14:textId="77777777" w:rsidR="004F65D3" w:rsidRDefault="004F65D3">
      <w:pPr>
        <w:jc w:val="both"/>
      </w:pPr>
    </w:p>
    <w:p w14:paraId="78275103" w14:textId="77777777" w:rsidR="004F65D3" w:rsidRDefault="00F33D18">
      <w:pPr>
        <w:jc w:val="both"/>
      </w:pPr>
      <w:r>
        <w:t xml:space="preserve">Poznámky </w:t>
      </w:r>
      <w:proofErr w:type="spellStart"/>
      <w:r>
        <w:t>Úč</w:t>
      </w:r>
      <w:proofErr w:type="spellEnd"/>
      <w:r>
        <w:t xml:space="preserve"> PODV 3- 01</w:t>
      </w:r>
      <w:r>
        <w:tab/>
      </w:r>
      <w:r>
        <w:tab/>
      </w:r>
      <w:r>
        <w:tab/>
      </w:r>
      <w:r>
        <w:tab/>
      </w:r>
      <w:r>
        <w:tab/>
      </w:r>
      <w:r>
        <w:tab/>
      </w:r>
      <w:r>
        <w:tab/>
        <w:t>IČO: 45394857</w:t>
      </w:r>
    </w:p>
    <w:p w14:paraId="78275104" w14:textId="77777777" w:rsidR="004F65D3" w:rsidRDefault="00F33D18">
      <w:pPr>
        <w:jc w:val="both"/>
      </w:pPr>
      <w:r>
        <w:tab/>
      </w:r>
      <w:r>
        <w:tab/>
      </w:r>
      <w:r>
        <w:tab/>
      </w:r>
      <w:r>
        <w:tab/>
      </w:r>
      <w:r>
        <w:tab/>
      </w:r>
      <w:r>
        <w:tab/>
      </w:r>
      <w:r>
        <w:tab/>
      </w:r>
      <w:r>
        <w:tab/>
      </w:r>
      <w:r>
        <w:tab/>
      </w:r>
      <w:r>
        <w:tab/>
        <w:t>DIČ: 2022985580</w:t>
      </w:r>
    </w:p>
    <w:p w14:paraId="78275105" w14:textId="77777777" w:rsidR="004F65D3" w:rsidRDefault="004F65D3">
      <w:pPr>
        <w:jc w:val="both"/>
      </w:pPr>
    </w:p>
    <w:p w14:paraId="78275106" w14:textId="77777777" w:rsidR="004F65D3" w:rsidRDefault="004F65D3">
      <w:pPr>
        <w:jc w:val="both"/>
      </w:pPr>
    </w:p>
    <w:p w14:paraId="78275107" w14:textId="77777777" w:rsidR="004F65D3" w:rsidRDefault="004F65D3">
      <w:pPr>
        <w:jc w:val="both"/>
      </w:pPr>
    </w:p>
    <w:p w14:paraId="78275108" w14:textId="77777777" w:rsidR="004F65D3" w:rsidRDefault="00F33D18">
      <w:pPr>
        <w:jc w:val="both"/>
      </w:pPr>
      <w:r>
        <w:t>Predpokladaná doba používania, metóda odpisovania a odpisová sadzba sú uvedené v nasledujúcej tabuľke:</w:t>
      </w:r>
    </w:p>
    <w:p w14:paraId="78275109" w14:textId="77777777" w:rsidR="004F65D3" w:rsidRDefault="004F65D3">
      <w:pPr>
        <w:jc w:val="both"/>
      </w:pPr>
    </w:p>
    <w:p w14:paraId="7827510A" w14:textId="77777777" w:rsidR="004F65D3" w:rsidRDefault="004F65D3">
      <w:pPr>
        <w:pStyle w:val="Nzov"/>
        <w:keepNext w:val="0"/>
        <w:widowControl w:val="0"/>
        <w:spacing w:beforeAutospacing="0" w:after="0"/>
        <w:jc w:val="left"/>
      </w:pPr>
    </w:p>
    <w:tbl>
      <w:tblPr>
        <w:tblW w:w="5000" w:type="pct"/>
        <w:jc w:val="center"/>
        <w:tblLayout w:type="fixed"/>
        <w:tblLook w:val="00A0" w:firstRow="1" w:lastRow="0" w:firstColumn="1" w:lastColumn="0" w:noHBand="0" w:noVBand="0"/>
      </w:tblPr>
      <w:tblGrid>
        <w:gridCol w:w="3060"/>
        <w:gridCol w:w="1993"/>
        <w:gridCol w:w="2010"/>
        <w:gridCol w:w="1979"/>
      </w:tblGrid>
      <w:tr w:rsidR="004F65D3" w14:paraId="7827510F" w14:textId="77777777">
        <w:trPr>
          <w:jc w:val="center"/>
        </w:trPr>
        <w:tc>
          <w:tcPr>
            <w:tcW w:w="3071" w:type="dxa"/>
            <w:tcBorders>
              <w:top w:val="single" w:sz="12" w:space="0" w:color="000000"/>
              <w:left w:val="single" w:sz="12" w:space="0" w:color="000000"/>
              <w:right w:val="single" w:sz="12" w:space="0" w:color="000000"/>
            </w:tcBorders>
            <w:vAlign w:val="center"/>
          </w:tcPr>
          <w:p w14:paraId="7827510B" w14:textId="77777777" w:rsidR="004F65D3" w:rsidRDefault="00F33D18">
            <w:pPr>
              <w:pStyle w:val="TopHeader"/>
              <w:widowControl w:val="0"/>
            </w:pPr>
            <w:r>
              <w:t>Názov položky</w:t>
            </w:r>
          </w:p>
        </w:tc>
        <w:tc>
          <w:tcPr>
            <w:tcW w:w="1999" w:type="dxa"/>
            <w:tcBorders>
              <w:top w:val="single" w:sz="12" w:space="0" w:color="000000"/>
              <w:left w:val="single" w:sz="12" w:space="0" w:color="000000"/>
              <w:right w:val="single" w:sz="12" w:space="0" w:color="000000"/>
            </w:tcBorders>
            <w:vAlign w:val="center"/>
          </w:tcPr>
          <w:p w14:paraId="7827510C" w14:textId="77777777" w:rsidR="004F65D3" w:rsidRDefault="00F33D18">
            <w:pPr>
              <w:pStyle w:val="TopHeader"/>
              <w:widowControl w:val="0"/>
            </w:pPr>
            <w:r>
              <w:t>Doba odpisovania</w:t>
            </w:r>
          </w:p>
        </w:tc>
        <w:tc>
          <w:tcPr>
            <w:tcW w:w="2016" w:type="dxa"/>
            <w:tcBorders>
              <w:top w:val="single" w:sz="12" w:space="0" w:color="000000"/>
              <w:left w:val="single" w:sz="12" w:space="0" w:color="000000"/>
              <w:right w:val="single" w:sz="12" w:space="0" w:color="000000"/>
            </w:tcBorders>
            <w:vAlign w:val="center"/>
          </w:tcPr>
          <w:p w14:paraId="7827510D" w14:textId="77777777" w:rsidR="004F65D3" w:rsidRDefault="00F33D18">
            <w:pPr>
              <w:pStyle w:val="TopHeader"/>
              <w:widowControl w:val="0"/>
            </w:pPr>
            <w:r>
              <w:t>Sadzba odpisov</w:t>
            </w:r>
          </w:p>
        </w:tc>
        <w:tc>
          <w:tcPr>
            <w:tcW w:w="1985" w:type="dxa"/>
            <w:tcBorders>
              <w:top w:val="single" w:sz="12" w:space="0" w:color="000000"/>
              <w:left w:val="single" w:sz="12" w:space="0" w:color="000000"/>
              <w:right w:val="single" w:sz="12" w:space="0" w:color="000000"/>
            </w:tcBorders>
            <w:vAlign w:val="center"/>
          </w:tcPr>
          <w:p w14:paraId="7827510E" w14:textId="77777777" w:rsidR="004F65D3" w:rsidRDefault="00F33D18">
            <w:pPr>
              <w:pStyle w:val="TopHeader"/>
              <w:widowControl w:val="0"/>
            </w:pPr>
            <w:r>
              <w:t>Odpisová metóda</w:t>
            </w:r>
          </w:p>
        </w:tc>
      </w:tr>
      <w:tr w:rsidR="004F65D3" w14:paraId="78275114" w14:textId="77777777">
        <w:trPr>
          <w:trHeight w:hRule="exact" w:val="227"/>
          <w:jc w:val="center"/>
        </w:trPr>
        <w:tc>
          <w:tcPr>
            <w:tcW w:w="3071" w:type="dxa"/>
            <w:tcBorders>
              <w:left w:val="single" w:sz="12" w:space="0" w:color="000000"/>
              <w:bottom w:val="single" w:sz="12" w:space="0" w:color="000000"/>
              <w:right w:val="single" w:sz="12" w:space="0" w:color="000000"/>
            </w:tcBorders>
            <w:vAlign w:val="center"/>
          </w:tcPr>
          <w:p w14:paraId="78275110" w14:textId="77777777" w:rsidR="004F65D3" w:rsidRDefault="00F33D18">
            <w:pPr>
              <w:pStyle w:val="TopHeader"/>
              <w:widowControl w:val="0"/>
              <w:rPr>
                <w:b w:val="0"/>
              </w:rPr>
            </w:pPr>
            <w:r>
              <w:rPr>
                <w:b w:val="0"/>
              </w:rPr>
              <w:t>a</w:t>
            </w:r>
          </w:p>
        </w:tc>
        <w:tc>
          <w:tcPr>
            <w:tcW w:w="1999" w:type="dxa"/>
            <w:tcBorders>
              <w:left w:val="single" w:sz="12" w:space="0" w:color="000000"/>
              <w:bottom w:val="single" w:sz="12" w:space="0" w:color="000000"/>
              <w:right w:val="single" w:sz="12" w:space="0" w:color="000000"/>
            </w:tcBorders>
            <w:vAlign w:val="center"/>
          </w:tcPr>
          <w:p w14:paraId="78275111" w14:textId="77777777" w:rsidR="004F65D3" w:rsidRDefault="00F33D18">
            <w:pPr>
              <w:pStyle w:val="TopHeader"/>
              <w:widowControl w:val="0"/>
              <w:rPr>
                <w:b w:val="0"/>
              </w:rPr>
            </w:pPr>
            <w:r>
              <w:rPr>
                <w:b w:val="0"/>
              </w:rPr>
              <w:t>b</w:t>
            </w:r>
          </w:p>
        </w:tc>
        <w:tc>
          <w:tcPr>
            <w:tcW w:w="2016" w:type="dxa"/>
            <w:tcBorders>
              <w:left w:val="single" w:sz="12" w:space="0" w:color="000000"/>
              <w:bottom w:val="single" w:sz="12" w:space="0" w:color="000000"/>
              <w:right w:val="single" w:sz="12" w:space="0" w:color="000000"/>
            </w:tcBorders>
            <w:vAlign w:val="center"/>
          </w:tcPr>
          <w:p w14:paraId="78275112" w14:textId="77777777" w:rsidR="004F65D3" w:rsidRDefault="00F33D18">
            <w:pPr>
              <w:pStyle w:val="TopHeader"/>
              <w:widowControl w:val="0"/>
              <w:rPr>
                <w:b w:val="0"/>
              </w:rPr>
            </w:pPr>
            <w:r>
              <w:rPr>
                <w:b w:val="0"/>
              </w:rPr>
              <w:t>c</w:t>
            </w:r>
          </w:p>
        </w:tc>
        <w:tc>
          <w:tcPr>
            <w:tcW w:w="1985" w:type="dxa"/>
            <w:tcBorders>
              <w:left w:val="single" w:sz="12" w:space="0" w:color="000000"/>
              <w:bottom w:val="single" w:sz="12" w:space="0" w:color="000000"/>
              <w:right w:val="single" w:sz="12" w:space="0" w:color="000000"/>
            </w:tcBorders>
            <w:vAlign w:val="center"/>
          </w:tcPr>
          <w:p w14:paraId="78275113" w14:textId="77777777" w:rsidR="004F65D3" w:rsidRDefault="00F33D18">
            <w:pPr>
              <w:pStyle w:val="TopHeader"/>
              <w:widowControl w:val="0"/>
              <w:rPr>
                <w:b w:val="0"/>
              </w:rPr>
            </w:pPr>
            <w:r>
              <w:rPr>
                <w:b w:val="0"/>
              </w:rPr>
              <w:t>d</w:t>
            </w:r>
          </w:p>
        </w:tc>
      </w:tr>
      <w:tr w:rsidR="004F65D3" w14:paraId="78275116" w14:textId="77777777">
        <w:trPr>
          <w:jc w:val="center"/>
        </w:trPr>
        <w:tc>
          <w:tcPr>
            <w:tcW w:w="9071" w:type="dxa"/>
            <w:gridSpan w:val="4"/>
            <w:tcBorders>
              <w:top w:val="single" w:sz="4" w:space="0" w:color="000000"/>
              <w:left w:val="single" w:sz="12" w:space="0" w:color="000000"/>
              <w:bottom w:val="single" w:sz="12" w:space="0" w:color="000000"/>
              <w:right w:val="single" w:sz="12" w:space="0" w:color="000000"/>
            </w:tcBorders>
            <w:vAlign w:val="center"/>
          </w:tcPr>
          <w:p w14:paraId="78275115" w14:textId="77777777" w:rsidR="004F65D3" w:rsidRDefault="00F33D18">
            <w:pPr>
              <w:widowControl w:val="0"/>
              <w:rPr>
                <w:b/>
              </w:rPr>
            </w:pPr>
            <w:r>
              <w:rPr>
                <w:rFonts w:cs="Arial"/>
                <w:b/>
                <w:szCs w:val="22"/>
              </w:rPr>
              <w:t>Druh majetku</w:t>
            </w:r>
          </w:p>
        </w:tc>
      </w:tr>
      <w:tr w:rsidR="004F65D3" w14:paraId="7827511B" w14:textId="77777777">
        <w:trPr>
          <w:jc w:val="center"/>
        </w:trPr>
        <w:tc>
          <w:tcPr>
            <w:tcW w:w="3071" w:type="dxa"/>
            <w:tcBorders>
              <w:top w:val="single" w:sz="12" w:space="0" w:color="000000"/>
              <w:left w:val="single" w:sz="12" w:space="0" w:color="000000"/>
              <w:bottom w:val="single" w:sz="4" w:space="0" w:color="000000"/>
              <w:right w:val="single" w:sz="12" w:space="0" w:color="000000"/>
            </w:tcBorders>
            <w:vAlign w:val="center"/>
          </w:tcPr>
          <w:p w14:paraId="78275117" w14:textId="77777777" w:rsidR="004F65D3" w:rsidRDefault="00F33D18">
            <w:pPr>
              <w:widowControl w:val="0"/>
              <w:rPr>
                <w:rFonts w:cs="Arial"/>
                <w:szCs w:val="22"/>
              </w:rPr>
            </w:pPr>
            <w:r>
              <w:rPr>
                <w:rFonts w:cs="Arial"/>
                <w:szCs w:val="22"/>
              </w:rPr>
              <w:t>Dlhodobý nehmotný majetok</w:t>
            </w:r>
          </w:p>
        </w:tc>
        <w:tc>
          <w:tcPr>
            <w:tcW w:w="1999" w:type="dxa"/>
            <w:tcBorders>
              <w:top w:val="single" w:sz="12" w:space="0" w:color="000000"/>
              <w:left w:val="single" w:sz="12" w:space="0" w:color="000000"/>
              <w:bottom w:val="single" w:sz="4" w:space="0" w:color="000000"/>
              <w:right w:val="single" w:sz="4" w:space="0" w:color="000000"/>
            </w:tcBorders>
            <w:vAlign w:val="center"/>
          </w:tcPr>
          <w:p w14:paraId="78275118" w14:textId="77777777" w:rsidR="004F65D3" w:rsidRDefault="00F33D18">
            <w:pPr>
              <w:widowControl w:val="0"/>
              <w:jc w:val="center"/>
              <w:rPr>
                <w:rFonts w:cs="Arial"/>
                <w:szCs w:val="22"/>
              </w:rPr>
            </w:pPr>
            <w:r>
              <w:rPr>
                <w:rFonts w:cs="Arial"/>
                <w:szCs w:val="22"/>
              </w:rPr>
              <w:t>2 – 4 roky</w:t>
            </w:r>
          </w:p>
        </w:tc>
        <w:tc>
          <w:tcPr>
            <w:tcW w:w="2016" w:type="dxa"/>
            <w:tcBorders>
              <w:top w:val="single" w:sz="12" w:space="0" w:color="000000"/>
              <w:left w:val="single" w:sz="4" w:space="0" w:color="000000"/>
              <w:bottom w:val="single" w:sz="4" w:space="0" w:color="000000"/>
              <w:right w:val="single" w:sz="4" w:space="0" w:color="000000"/>
            </w:tcBorders>
            <w:vAlign w:val="center"/>
          </w:tcPr>
          <w:p w14:paraId="78275119" w14:textId="77777777" w:rsidR="004F65D3" w:rsidRDefault="00F33D18">
            <w:pPr>
              <w:widowControl w:val="0"/>
              <w:jc w:val="center"/>
              <w:rPr>
                <w:rFonts w:cs="Arial"/>
                <w:szCs w:val="22"/>
              </w:rPr>
            </w:pPr>
            <w:r>
              <w:rPr>
                <w:rFonts w:cs="Arial"/>
                <w:szCs w:val="22"/>
              </w:rPr>
              <w:t>Podľa doby použiteľnosti. Účtovné a daňové odpisy sa rovnajú</w:t>
            </w:r>
          </w:p>
        </w:tc>
        <w:tc>
          <w:tcPr>
            <w:tcW w:w="1985" w:type="dxa"/>
            <w:tcBorders>
              <w:top w:val="single" w:sz="12" w:space="0" w:color="000000"/>
              <w:left w:val="single" w:sz="4" w:space="0" w:color="000000"/>
              <w:bottom w:val="single" w:sz="4" w:space="0" w:color="000000"/>
              <w:right w:val="single" w:sz="12" w:space="0" w:color="000000"/>
            </w:tcBorders>
            <w:vAlign w:val="center"/>
          </w:tcPr>
          <w:p w14:paraId="7827511A" w14:textId="77777777" w:rsidR="004F65D3" w:rsidRDefault="00F33D18">
            <w:pPr>
              <w:widowControl w:val="0"/>
              <w:jc w:val="center"/>
              <w:rPr>
                <w:rFonts w:cs="Arial"/>
                <w:szCs w:val="22"/>
              </w:rPr>
            </w:pPr>
            <w:r>
              <w:rPr>
                <w:rFonts w:cs="Arial"/>
                <w:szCs w:val="22"/>
              </w:rPr>
              <w:t>Lineárne</w:t>
            </w:r>
          </w:p>
        </w:tc>
      </w:tr>
      <w:tr w:rsidR="004F65D3" w14:paraId="78275120" w14:textId="77777777">
        <w:trPr>
          <w:jc w:val="center"/>
        </w:trPr>
        <w:tc>
          <w:tcPr>
            <w:tcW w:w="3071" w:type="dxa"/>
            <w:tcBorders>
              <w:top w:val="single" w:sz="4" w:space="0" w:color="000000"/>
              <w:left w:val="single" w:sz="12" w:space="0" w:color="000000"/>
              <w:bottom w:val="single" w:sz="4" w:space="0" w:color="000000"/>
              <w:right w:val="single" w:sz="12" w:space="0" w:color="000000"/>
            </w:tcBorders>
            <w:vAlign w:val="center"/>
          </w:tcPr>
          <w:p w14:paraId="7827511C" w14:textId="77777777" w:rsidR="004F65D3" w:rsidRDefault="00F33D18">
            <w:pPr>
              <w:widowControl w:val="0"/>
              <w:rPr>
                <w:rFonts w:cs="Arial"/>
                <w:szCs w:val="22"/>
              </w:rPr>
            </w:pPr>
            <w:r>
              <w:rPr>
                <w:rFonts w:cs="Arial"/>
                <w:szCs w:val="22"/>
              </w:rPr>
              <w:t>Dlhodobý hmotný majetok</w:t>
            </w:r>
          </w:p>
        </w:tc>
        <w:tc>
          <w:tcPr>
            <w:tcW w:w="1999" w:type="dxa"/>
            <w:tcBorders>
              <w:top w:val="single" w:sz="4" w:space="0" w:color="000000"/>
              <w:left w:val="single" w:sz="12" w:space="0" w:color="000000"/>
              <w:bottom w:val="single" w:sz="4" w:space="0" w:color="000000"/>
              <w:right w:val="single" w:sz="4" w:space="0" w:color="000000"/>
            </w:tcBorders>
            <w:vAlign w:val="center"/>
          </w:tcPr>
          <w:p w14:paraId="7827511D" w14:textId="77777777" w:rsidR="004F65D3" w:rsidRDefault="00F33D18">
            <w:pPr>
              <w:widowControl w:val="0"/>
              <w:jc w:val="center"/>
              <w:rPr>
                <w:rFonts w:cs="Arial"/>
                <w:szCs w:val="22"/>
              </w:rPr>
            </w:pPr>
            <w:r>
              <w:rPr>
                <w:rFonts w:cs="Arial"/>
                <w:szCs w:val="22"/>
              </w:rPr>
              <w:t>4, 6, 8, 12, 20, 40</w:t>
            </w:r>
          </w:p>
        </w:tc>
        <w:tc>
          <w:tcPr>
            <w:tcW w:w="2016" w:type="dxa"/>
            <w:tcBorders>
              <w:top w:val="single" w:sz="4" w:space="0" w:color="000000"/>
              <w:left w:val="single" w:sz="4" w:space="0" w:color="000000"/>
              <w:bottom w:val="single" w:sz="4" w:space="0" w:color="000000"/>
              <w:right w:val="single" w:sz="4" w:space="0" w:color="000000"/>
            </w:tcBorders>
            <w:vAlign w:val="center"/>
          </w:tcPr>
          <w:p w14:paraId="7827511E" w14:textId="77777777" w:rsidR="004F65D3" w:rsidRDefault="00F33D18">
            <w:pPr>
              <w:widowControl w:val="0"/>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14:paraId="7827511F" w14:textId="77777777" w:rsidR="004F65D3" w:rsidRDefault="00F33D18">
            <w:pPr>
              <w:widowControl w:val="0"/>
              <w:jc w:val="center"/>
              <w:rPr>
                <w:rFonts w:cs="Arial"/>
                <w:szCs w:val="22"/>
              </w:rPr>
            </w:pPr>
            <w:r>
              <w:rPr>
                <w:rFonts w:cs="Arial"/>
                <w:szCs w:val="22"/>
              </w:rPr>
              <w:t>Lineárne</w:t>
            </w:r>
          </w:p>
        </w:tc>
      </w:tr>
      <w:tr w:rsidR="004F65D3" w14:paraId="78275125" w14:textId="77777777">
        <w:trPr>
          <w:jc w:val="center"/>
        </w:trPr>
        <w:tc>
          <w:tcPr>
            <w:tcW w:w="3071" w:type="dxa"/>
            <w:tcBorders>
              <w:top w:val="single" w:sz="4" w:space="0" w:color="000000"/>
              <w:left w:val="single" w:sz="12" w:space="0" w:color="000000"/>
              <w:bottom w:val="single" w:sz="4" w:space="0" w:color="000000"/>
              <w:right w:val="single" w:sz="12" w:space="0" w:color="000000"/>
            </w:tcBorders>
            <w:vAlign w:val="center"/>
          </w:tcPr>
          <w:p w14:paraId="78275121" w14:textId="77777777" w:rsidR="004F65D3" w:rsidRDefault="00F33D18">
            <w:pPr>
              <w:widowControl w:val="0"/>
              <w:rPr>
                <w:rFonts w:cs="Arial"/>
                <w:szCs w:val="22"/>
              </w:rPr>
            </w:pPr>
            <w:r>
              <w:rPr>
                <w:rFonts w:cs="Arial"/>
                <w:szCs w:val="22"/>
              </w:rPr>
              <w:t>Majetok obstaraný na finančný leasing</w:t>
            </w:r>
          </w:p>
        </w:tc>
        <w:tc>
          <w:tcPr>
            <w:tcW w:w="1999" w:type="dxa"/>
            <w:tcBorders>
              <w:top w:val="single" w:sz="4" w:space="0" w:color="000000"/>
              <w:left w:val="single" w:sz="12" w:space="0" w:color="000000"/>
              <w:bottom w:val="single" w:sz="4" w:space="0" w:color="000000"/>
              <w:right w:val="single" w:sz="4" w:space="0" w:color="000000"/>
            </w:tcBorders>
            <w:vAlign w:val="center"/>
          </w:tcPr>
          <w:p w14:paraId="78275122" w14:textId="77777777" w:rsidR="004F65D3" w:rsidRDefault="00F33D18">
            <w:pPr>
              <w:widowControl w:val="0"/>
              <w:jc w:val="center"/>
              <w:rPr>
                <w:rFonts w:cs="Arial"/>
                <w:szCs w:val="22"/>
              </w:rPr>
            </w:pPr>
            <w:r>
              <w:rPr>
                <w:rFonts w:cs="Arial"/>
                <w:szCs w:val="22"/>
              </w:rPr>
              <w:t>4, 6, 8, 12, 20, 40</w:t>
            </w:r>
          </w:p>
        </w:tc>
        <w:tc>
          <w:tcPr>
            <w:tcW w:w="2016" w:type="dxa"/>
            <w:tcBorders>
              <w:top w:val="single" w:sz="4" w:space="0" w:color="000000"/>
              <w:left w:val="single" w:sz="4" w:space="0" w:color="000000"/>
              <w:bottom w:val="single" w:sz="4" w:space="0" w:color="000000"/>
              <w:right w:val="single" w:sz="4" w:space="0" w:color="000000"/>
            </w:tcBorders>
            <w:vAlign w:val="center"/>
          </w:tcPr>
          <w:p w14:paraId="78275123" w14:textId="77777777" w:rsidR="004F65D3" w:rsidRDefault="00F33D18">
            <w:pPr>
              <w:widowControl w:val="0"/>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14:paraId="78275124" w14:textId="77777777" w:rsidR="004F65D3" w:rsidRDefault="00F33D18">
            <w:pPr>
              <w:widowControl w:val="0"/>
              <w:jc w:val="center"/>
              <w:rPr>
                <w:rFonts w:cs="Arial"/>
                <w:szCs w:val="22"/>
              </w:rPr>
            </w:pPr>
            <w:r>
              <w:rPr>
                <w:rFonts w:cs="Arial"/>
                <w:szCs w:val="22"/>
              </w:rPr>
              <w:t>Lineárne</w:t>
            </w:r>
          </w:p>
        </w:tc>
      </w:tr>
      <w:tr w:rsidR="004F65D3" w14:paraId="7827512A" w14:textId="77777777">
        <w:trPr>
          <w:jc w:val="center"/>
        </w:trPr>
        <w:tc>
          <w:tcPr>
            <w:tcW w:w="3071" w:type="dxa"/>
            <w:tcBorders>
              <w:top w:val="single" w:sz="4" w:space="0" w:color="000000"/>
              <w:left w:val="single" w:sz="12" w:space="0" w:color="000000"/>
              <w:bottom w:val="single" w:sz="6" w:space="0" w:color="000000"/>
              <w:right w:val="single" w:sz="12" w:space="0" w:color="000000"/>
            </w:tcBorders>
            <w:vAlign w:val="center"/>
          </w:tcPr>
          <w:p w14:paraId="78275126" w14:textId="77777777" w:rsidR="004F65D3" w:rsidRDefault="00F33D18">
            <w:pPr>
              <w:widowControl w:val="0"/>
              <w:rPr>
                <w:rFonts w:cs="Arial"/>
                <w:szCs w:val="22"/>
              </w:rPr>
            </w:pPr>
            <w:r>
              <w:rPr>
                <w:rFonts w:cs="Arial"/>
                <w:szCs w:val="22"/>
              </w:rPr>
              <w:t>Iný majetok</w:t>
            </w:r>
          </w:p>
        </w:tc>
        <w:tc>
          <w:tcPr>
            <w:tcW w:w="1999" w:type="dxa"/>
            <w:tcBorders>
              <w:top w:val="single" w:sz="4" w:space="0" w:color="000000"/>
              <w:left w:val="single" w:sz="12" w:space="0" w:color="000000"/>
              <w:bottom w:val="single" w:sz="6" w:space="0" w:color="000000"/>
              <w:right w:val="single" w:sz="4" w:space="0" w:color="000000"/>
            </w:tcBorders>
            <w:vAlign w:val="center"/>
          </w:tcPr>
          <w:p w14:paraId="78275127" w14:textId="77777777" w:rsidR="004F65D3" w:rsidRDefault="00F33D18">
            <w:pPr>
              <w:widowControl w:val="0"/>
              <w:jc w:val="center"/>
              <w:rPr>
                <w:rFonts w:cs="Arial"/>
                <w:szCs w:val="22"/>
              </w:rPr>
            </w:pPr>
            <w:r>
              <w:rPr>
                <w:rFonts w:cs="Arial"/>
                <w:szCs w:val="22"/>
              </w:rPr>
              <w:t>Doba trvania</w:t>
            </w:r>
          </w:p>
        </w:tc>
        <w:tc>
          <w:tcPr>
            <w:tcW w:w="2016" w:type="dxa"/>
            <w:tcBorders>
              <w:top w:val="single" w:sz="4" w:space="0" w:color="000000"/>
              <w:left w:val="single" w:sz="4" w:space="0" w:color="000000"/>
              <w:bottom w:val="single" w:sz="6" w:space="0" w:color="000000"/>
              <w:right w:val="single" w:sz="4" w:space="0" w:color="000000"/>
            </w:tcBorders>
            <w:vAlign w:val="center"/>
          </w:tcPr>
          <w:p w14:paraId="78275128" w14:textId="77777777" w:rsidR="004F65D3" w:rsidRDefault="00F33D18">
            <w:pPr>
              <w:widowControl w:val="0"/>
              <w:jc w:val="center"/>
              <w:rPr>
                <w:rFonts w:cs="Arial"/>
                <w:szCs w:val="22"/>
              </w:rPr>
            </w:pPr>
            <w:r>
              <w:rPr>
                <w:rFonts w:cs="Arial"/>
                <w:szCs w:val="22"/>
              </w:rPr>
              <w:t>Vstupná cena : doba trvania</w:t>
            </w:r>
          </w:p>
        </w:tc>
        <w:tc>
          <w:tcPr>
            <w:tcW w:w="1985" w:type="dxa"/>
            <w:tcBorders>
              <w:top w:val="single" w:sz="4" w:space="0" w:color="000000"/>
              <w:left w:val="single" w:sz="4" w:space="0" w:color="000000"/>
              <w:bottom w:val="single" w:sz="6" w:space="0" w:color="000000"/>
              <w:right w:val="single" w:sz="12" w:space="0" w:color="000000"/>
            </w:tcBorders>
            <w:vAlign w:val="center"/>
          </w:tcPr>
          <w:p w14:paraId="78275129" w14:textId="77777777" w:rsidR="004F65D3" w:rsidRDefault="00F33D18">
            <w:pPr>
              <w:widowControl w:val="0"/>
              <w:jc w:val="center"/>
              <w:rPr>
                <w:rFonts w:cs="Arial"/>
                <w:szCs w:val="22"/>
              </w:rPr>
            </w:pPr>
            <w:r>
              <w:rPr>
                <w:rFonts w:cs="Arial"/>
                <w:szCs w:val="22"/>
              </w:rPr>
              <w:t>Lineárne</w:t>
            </w:r>
          </w:p>
        </w:tc>
      </w:tr>
      <w:tr w:rsidR="004F65D3" w14:paraId="7827512F" w14:textId="77777777">
        <w:trPr>
          <w:trHeight w:val="397"/>
          <w:jc w:val="center"/>
        </w:trPr>
        <w:tc>
          <w:tcPr>
            <w:tcW w:w="3071" w:type="dxa"/>
            <w:tcBorders>
              <w:top w:val="single" w:sz="6" w:space="0" w:color="000000"/>
              <w:left w:val="single" w:sz="12" w:space="0" w:color="000000"/>
              <w:bottom w:val="single" w:sz="12" w:space="0" w:color="000000"/>
              <w:right w:val="single" w:sz="12" w:space="0" w:color="000000"/>
            </w:tcBorders>
            <w:vAlign w:val="center"/>
          </w:tcPr>
          <w:p w14:paraId="7827512B" w14:textId="77777777" w:rsidR="004F65D3" w:rsidRDefault="00F33D18">
            <w:pPr>
              <w:widowControl w:val="0"/>
              <w:rPr>
                <w:rFonts w:cs="Arial"/>
                <w:szCs w:val="22"/>
              </w:rPr>
            </w:pPr>
            <w:r>
              <w:rPr>
                <w:rFonts w:cs="Arial"/>
                <w:szCs w:val="22"/>
              </w:rPr>
              <w:t>Drobný hmotný majetok</w:t>
            </w:r>
          </w:p>
        </w:tc>
        <w:tc>
          <w:tcPr>
            <w:tcW w:w="1999" w:type="dxa"/>
            <w:tcBorders>
              <w:top w:val="single" w:sz="6" w:space="0" w:color="000000"/>
              <w:left w:val="single" w:sz="12" w:space="0" w:color="000000"/>
              <w:bottom w:val="single" w:sz="12" w:space="0" w:color="000000"/>
              <w:right w:val="single" w:sz="4" w:space="0" w:color="000000"/>
            </w:tcBorders>
            <w:vAlign w:val="center"/>
          </w:tcPr>
          <w:p w14:paraId="7827512C" w14:textId="77777777" w:rsidR="004F65D3" w:rsidRDefault="00F33D18">
            <w:pPr>
              <w:widowControl w:val="0"/>
              <w:jc w:val="center"/>
              <w:rPr>
                <w:rFonts w:cs="Arial"/>
                <w:szCs w:val="22"/>
              </w:rPr>
            </w:pPr>
            <w:r>
              <w:rPr>
                <w:rFonts w:cs="Arial"/>
                <w:szCs w:val="22"/>
              </w:rPr>
              <w:t>4 roky</w:t>
            </w:r>
          </w:p>
        </w:tc>
        <w:tc>
          <w:tcPr>
            <w:tcW w:w="2016" w:type="dxa"/>
            <w:tcBorders>
              <w:top w:val="single" w:sz="6" w:space="0" w:color="000000"/>
              <w:left w:val="single" w:sz="4" w:space="0" w:color="000000"/>
              <w:bottom w:val="single" w:sz="12" w:space="0" w:color="000000"/>
              <w:right w:val="single" w:sz="4" w:space="0" w:color="000000"/>
            </w:tcBorders>
            <w:vAlign w:val="center"/>
          </w:tcPr>
          <w:p w14:paraId="7827512D" w14:textId="77777777" w:rsidR="004F65D3" w:rsidRDefault="00F33D18">
            <w:pPr>
              <w:widowControl w:val="0"/>
              <w:jc w:val="center"/>
              <w:rPr>
                <w:rFonts w:cs="Arial"/>
                <w:szCs w:val="22"/>
              </w:rPr>
            </w:pPr>
            <w:r>
              <w:rPr>
                <w:rFonts w:cs="Arial"/>
                <w:szCs w:val="22"/>
              </w:rPr>
              <w:t>1/4</w:t>
            </w:r>
          </w:p>
        </w:tc>
        <w:tc>
          <w:tcPr>
            <w:tcW w:w="1985" w:type="dxa"/>
            <w:tcBorders>
              <w:top w:val="single" w:sz="6" w:space="0" w:color="000000"/>
              <w:left w:val="single" w:sz="4" w:space="0" w:color="000000"/>
              <w:bottom w:val="single" w:sz="12" w:space="0" w:color="000000"/>
              <w:right w:val="single" w:sz="12" w:space="0" w:color="000000"/>
            </w:tcBorders>
            <w:vAlign w:val="center"/>
          </w:tcPr>
          <w:p w14:paraId="7827512E" w14:textId="77777777" w:rsidR="004F65D3" w:rsidRDefault="00F33D18">
            <w:pPr>
              <w:widowControl w:val="0"/>
              <w:jc w:val="center"/>
              <w:rPr>
                <w:rFonts w:cs="Arial"/>
                <w:szCs w:val="22"/>
              </w:rPr>
            </w:pPr>
            <w:r>
              <w:rPr>
                <w:rFonts w:cs="Arial"/>
                <w:szCs w:val="22"/>
              </w:rPr>
              <w:t>Lineárne</w:t>
            </w:r>
          </w:p>
        </w:tc>
      </w:tr>
    </w:tbl>
    <w:p w14:paraId="78275130" w14:textId="77777777" w:rsidR="004F65D3" w:rsidRDefault="004F65D3">
      <w:pPr>
        <w:jc w:val="both"/>
      </w:pPr>
    </w:p>
    <w:p w14:paraId="78275131" w14:textId="77777777" w:rsidR="004F65D3" w:rsidRDefault="004F65D3">
      <w:pPr>
        <w:jc w:val="both"/>
      </w:pPr>
    </w:p>
    <w:p w14:paraId="78275132" w14:textId="77777777" w:rsidR="004F65D3" w:rsidRDefault="00F33D18">
      <w:pPr>
        <w:jc w:val="both"/>
      </w:pPr>
      <w:r>
        <w:t>b) zásoby :</w:t>
      </w:r>
    </w:p>
    <w:p w14:paraId="78275133" w14:textId="77777777" w:rsidR="004F65D3" w:rsidRDefault="00F33D18">
      <w:pPr>
        <w:jc w:val="both"/>
      </w:pPr>
      <w:r>
        <w:t xml:space="preserve">zásoby sa oceňujú nižšou z nasledujúcich hodnôt: obstarávacou cenou (nakupované zásoby) alebo vlastnými nákladmi (zásoby vytvorené vlastnou činnosťou) alebo čistou realizačnou hodnotou. </w:t>
      </w:r>
    </w:p>
    <w:p w14:paraId="78275134" w14:textId="77777777" w:rsidR="004F65D3" w:rsidRDefault="00F33D18">
      <w:pPr>
        <w:jc w:val="both"/>
      </w:pPr>
      <w:r>
        <w:t xml:space="preserve">Obstarávacia cena zahŕňa cenu zásob a náklady súvisiace s obstaraním (clo, prepravu, poistné, provízie, skonto a pod.). Úroky z cudzích zdrojov nie sú súčasťou obstarávacej ceny. </w:t>
      </w:r>
    </w:p>
    <w:p w14:paraId="78275135" w14:textId="77777777" w:rsidR="004F65D3" w:rsidRDefault="00F33D18">
      <w:pPr>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14:paraId="78275136" w14:textId="77777777" w:rsidR="004F65D3" w:rsidRDefault="00F33D18">
      <w:pPr>
        <w:jc w:val="both"/>
      </w:pPr>
      <w:r>
        <w:t xml:space="preserve">Čistá realizačná hodnota je predpokladaná predajná cena znížená o predpokladané náklady na ich dokončenie a o predpokladané náklady súvisiace s ich predajom. </w:t>
      </w:r>
    </w:p>
    <w:p w14:paraId="78275137" w14:textId="77777777" w:rsidR="004F65D3" w:rsidRDefault="00F33D18">
      <w:pPr>
        <w:jc w:val="both"/>
      </w:pPr>
      <w:r>
        <w:t xml:space="preserve">Zníženie hodnoty zásob sa upravuje vytvorením opravnej položky. </w:t>
      </w:r>
    </w:p>
    <w:p w14:paraId="78275138" w14:textId="77777777" w:rsidR="004F65D3" w:rsidRDefault="004F65D3">
      <w:pPr>
        <w:jc w:val="both"/>
      </w:pPr>
    </w:p>
    <w:p w14:paraId="78275139" w14:textId="77777777" w:rsidR="004F65D3" w:rsidRDefault="00F33D18">
      <w:pPr>
        <w:jc w:val="both"/>
      </w:pPr>
      <w:r>
        <w:t>c) pohľadávky :</w:t>
      </w:r>
    </w:p>
    <w:p w14:paraId="7827513A" w14:textId="77777777" w:rsidR="004F65D3" w:rsidRDefault="00F33D18">
      <w:pPr>
        <w:jc w:val="both"/>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7827513B" w14:textId="77777777" w:rsidR="004F65D3" w:rsidRDefault="004F65D3">
      <w:pPr>
        <w:jc w:val="both"/>
      </w:pPr>
    </w:p>
    <w:p w14:paraId="7827513C" w14:textId="77777777" w:rsidR="004F65D3" w:rsidRDefault="00F33D18">
      <w:pPr>
        <w:jc w:val="both"/>
      </w:pPr>
      <w:r>
        <w:t>d) peňažné prostriedky a ceniny :</w:t>
      </w:r>
    </w:p>
    <w:p w14:paraId="7827513D" w14:textId="77777777" w:rsidR="004F65D3" w:rsidRDefault="00F33D18">
      <w:pPr>
        <w:jc w:val="both"/>
      </w:pPr>
      <w:r>
        <w:lastRenderedPageBreak/>
        <w:t xml:space="preserve">peňažné prostriedky a ceniny sa oceňujú ich menovitou hodnotou. Zníženie ich hodnoty sa vyjadruje opravnou položkou. </w:t>
      </w:r>
    </w:p>
    <w:p w14:paraId="7827513E" w14:textId="77777777" w:rsidR="004F65D3" w:rsidRDefault="004F65D3">
      <w:pPr>
        <w:jc w:val="both"/>
      </w:pPr>
    </w:p>
    <w:p w14:paraId="7827513F" w14:textId="77777777" w:rsidR="004F65D3" w:rsidRDefault="00F33D18">
      <w:pPr>
        <w:jc w:val="both"/>
      </w:pPr>
      <w:r>
        <w:t xml:space="preserve">Poznámky </w:t>
      </w:r>
      <w:proofErr w:type="spellStart"/>
      <w:r>
        <w:t>Úč</w:t>
      </w:r>
      <w:proofErr w:type="spellEnd"/>
      <w:r>
        <w:t xml:space="preserve"> PODV 3- 01</w:t>
      </w:r>
      <w:r>
        <w:tab/>
      </w:r>
      <w:r>
        <w:tab/>
      </w:r>
      <w:r>
        <w:tab/>
      </w:r>
      <w:r>
        <w:tab/>
      </w:r>
      <w:r>
        <w:tab/>
      </w:r>
      <w:r>
        <w:tab/>
      </w:r>
      <w:r>
        <w:tab/>
        <w:t>IČO: 45394857</w:t>
      </w:r>
    </w:p>
    <w:p w14:paraId="78275140" w14:textId="77777777" w:rsidR="004F65D3" w:rsidRDefault="00F33D18">
      <w:pPr>
        <w:jc w:val="both"/>
      </w:pPr>
      <w:r>
        <w:tab/>
      </w:r>
      <w:r>
        <w:tab/>
      </w:r>
      <w:r>
        <w:tab/>
      </w:r>
      <w:r>
        <w:tab/>
      </w:r>
      <w:r>
        <w:tab/>
      </w:r>
      <w:r>
        <w:tab/>
      </w:r>
      <w:r>
        <w:tab/>
      </w:r>
      <w:r>
        <w:tab/>
      </w:r>
      <w:r>
        <w:tab/>
      </w:r>
      <w:r>
        <w:tab/>
        <w:t>DIČ: 2022985580</w:t>
      </w:r>
    </w:p>
    <w:p w14:paraId="78275141" w14:textId="77777777" w:rsidR="004F65D3" w:rsidRDefault="004F65D3">
      <w:pPr>
        <w:jc w:val="both"/>
      </w:pPr>
    </w:p>
    <w:p w14:paraId="78275142" w14:textId="77777777" w:rsidR="004F65D3" w:rsidRDefault="004F65D3">
      <w:pPr>
        <w:jc w:val="both"/>
      </w:pPr>
    </w:p>
    <w:p w14:paraId="78275143" w14:textId="77777777" w:rsidR="004F65D3" w:rsidRDefault="00F33D18">
      <w:pPr>
        <w:jc w:val="both"/>
      </w:pPr>
      <w:r>
        <w:t>e) náklady budúcich období a príjmy budúcich období :</w:t>
      </w:r>
    </w:p>
    <w:p w14:paraId="78275144" w14:textId="77777777" w:rsidR="004F65D3" w:rsidRDefault="00F33D18">
      <w:pPr>
        <w:jc w:val="both"/>
      </w:pPr>
      <w:r>
        <w:t>náklady budúcich období a príjmy budúcich období sa vykazujú vo výške, ktorá je potrebná na dodržanie zásady vecnej a časovej súvislosti s účtovným obdobím.</w:t>
      </w:r>
    </w:p>
    <w:p w14:paraId="78275145" w14:textId="77777777" w:rsidR="004F65D3" w:rsidRDefault="004F65D3">
      <w:pPr>
        <w:jc w:val="both"/>
      </w:pPr>
    </w:p>
    <w:p w14:paraId="78275146" w14:textId="77777777" w:rsidR="004F65D3" w:rsidRDefault="00F33D18">
      <w:pPr>
        <w:jc w:val="both"/>
      </w:pPr>
      <w:r>
        <w:t>f) rezervy :</w:t>
      </w:r>
    </w:p>
    <w:p w14:paraId="78275147" w14:textId="77777777" w:rsidR="004F65D3" w:rsidRDefault="00F33D18">
      <w:pPr>
        <w:jc w:val="both"/>
      </w:pPr>
      <w:r>
        <w:t>rezervy sú záväzky s neurčitým časovým vymedzením alebo výškou; tvoria sa na krytie známych rizík alebo strát z podnikania. Oceňujú sa v očakávanej výške záväzku.</w:t>
      </w:r>
    </w:p>
    <w:p w14:paraId="78275148" w14:textId="77777777" w:rsidR="004F65D3" w:rsidRDefault="004F65D3">
      <w:pPr>
        <w:jc w:val="both"/>
      </w:pPr>
    </w:p>
    <w:p w14:paraId="78275149" w14:textId="77777777" w:rsidR="004F65D3" w:rsidRDefault="00F33D18">
      <w:pPr>
        <w:jc w:val="both"/>
      </w:pPr>
      <w:r>
        <w:t>g) záväzky :</w:t>
      </w:r>
    </w:p>
    <w:p w14:paraId="7827514A" w14:textId="77777777" w:rsidR="004F65D3" w:rsidRDefault="00F33D18">
      <w:pPr>
        <w:jc w:val="both"/>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827514B" w14:textId="77777777" w:rsidR="004F65D3" w:rsidRDefault="004F65D3">
      <w:pPr>
        <w:jc w:val="both"/>
      </w:pPr>
    </w:p>
    <w:p w14:paraId="7827514C" w14:textId="77777777" w:rsidR="004F65D3" w:rsidRDefault="00F33D18">
      <w:pPr>
        <w:jc w:val="both"/>
      </w:pPr>
      <w:r>
        <w:t>h) odložené dane :</w:t>
      </w:r>
    </w:p>
    <w:p w14:paraId="7827514D" w14:textId="77777777" w:rsidR="004F65D3" w:rsidRDefault="00F33D18">
      <w:pPr>
        <w:jc w:val="both"/>
      </w:pPr>
      <w:r>
        <w:t xml:space="preserve">odložené dane (odložená daňová pohľadávka a odložený daňový záväzok) sa vzťahujú na: </w:t>
      </w:r>
    </w:p>
    <w:p w14:paraId="7827514E" w14:textId="77777777" w:rsidR="004F65D3" w:rsidRDefault="00F33D18">
      <w:pPr>
        <w:jc w:val="both"/>
      </w:pPr>
      <w:r>
        <w:t xml:space="preserve">a) dočasné rozdiely medzi účtovnou hodnotou majetku a účtovnou hodnotou záväzkov vykázanou v súvahe a ich daňovou základňou, </w:t>
      </w:r>
    </w:p>
    <w:p w14:paraId="7827514F" w14:textId="77777777" w:rsidR="004F65D3" w:rsidRDefault="00F33D18">
      <w:pPr>
        <w:jc w:val="both"/>
      </w:pPr>
      <w:r>
        <w:t xml:space="preserve">b) možnosť umorovať daňovú stratu v budúcnosti, ktorou sa rozumie možnosť odpočítať daňovú stratu od základu dane v budúcnosti, </w:t>
      </w:r>
    </w:p>
    <w:p w14:paraId="78275150" w14:textId="77777777" w:rsidR="004F65D3" w:rsidRDefault="00F33D18">
      <w:pPr>
        <w:jc w:val="both"/>
      </w:pPr>
      <w:r>
        <w:t xml:space="preserve">c) možnosť previesť nevyužité daňové odpočty a iné daňové nároky do budúcich období. </w:t>
      </w:r>
    </w:p>
    <w:p w14:paraId="78275151" w14:textId="77777777" w:rsidR="004F65D3" w:rsidRDefault="00F33D18">
      <w:pPr>
        <w:jc w:val="both"/>
      </w:pPr>
      <w:r>
        <w:t xml:space="preserve">O odloženom daňovom záväzku účtuje spoločnosť vždy, o pohľadávke účtuje, ak je realizovateľná. </w:t>
      </w:r>
    </w:p>
    <w:p w14:paraId="78275152" w14:textId="77777777" w:rsidR="004F65D3" w:rsidRDefault="004F65D3">
      <w:pPr>
        <w:jc w:val="both"/>
      </w:pPr>
    </w:p>
    <w:p w14:paraId="78275153" w14:textId="77777777" w:rsidR="004F65D3" w:rsidRDefault="00F33D18">
      <w:pPr>
        <w:jc w:val="both"/>
      </w:pPr>
      <w:r>
        <w:t>i) výdavky budúcich období a výnosy budúcich období :</w:t>
      </w:r>
    </w:p>
    <w:p w14:paraId="78275154" w14:textId="77777777" w:rsidR="004F65D3" w:rsidRDefault="00F33D18">
      <w:pPr>
        <w:jc w:val="both"/>
      </w:pPr>
      <w:r>
        <w:t xml:space="preserve">výdavky budúcich období a výnosy budúcich období sa vykazujú vo výške, ktorá je potrebná na dodržanie zásady vecnej a časovej súvislosti s účtovným obdobím. </w:t>
      </w:r>
    </w:p>
    <w:p w14:paraId="78275155" w14:textId="77777777" w:rsidR="004F65D3" w:rsidRDefault="004F65D3">
      <w:pPr>
        <w:jc w:val="both"/>
      </w:pPr>
    </w:p>
    <w:p w14:paraId="78275156" w14:textId="77777777" w:rsidR="004F65D3" w:rsidRDefault="00F33D18">
      <w:pPr>
        <w:jc w:val="both"/>
      </w:pPr>
      <w:r>
        <w:t>j) prenájom (lízing) :</w:t>
      </w:r>
    </w:p>
    <w:p w14:paraId="78275157" w14:textId="77777777" w:rsidR="004F65D3" w:rsidRDefault="00F33D18">
      <w:pPr>
        <w:jc w:val="both"/>
      </w:pPr>
      <w:r>
        <w:t xml:space="preserve">majetok prenajatý na základe operatívneho prenájmu bez kúpnej opcie je považovaný za operatívny prenájom. Majetok vykazuje ako svoj majetok jeho vlastník, nie nájomca. </w:t>
      </w:r>
    </w:p>
    <w:p w14:paraId="78275158" w14:textId="77777777" w:rsidR="004F65D3" w:rsidRDefault="00F33D18">
      <w:pPr>
        <w:jc w:val="both"/>
      </w:pPr>
      <w: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14:paraId="78275159" w14:textId="77777777" w:rsidR="004F65D3" w:rsidRDefault="004F65D3">
      <w:pPr>
        <w:jc w:val="both"/>
      </w:pPr>
    </w:p>
    <w:p w14:paraId="7827515A" w14:textId="77777777" w:rsidR="004F65D3" w:rsidRDefault="00F33D18">
      <w:pPr>
        <w:jc w:val="both"/>
      </w:pPr>
      <w:r>
        <w:t>k) cudzia mena :</w:t>
      </w:r>
    </w:p>
    <w:p w14:paraId="7827515B" w14:textId="77777777" w:rsidR="004F65D3" w:rsidRDefault="00F33D18">
      <w:pPr>
        <w:jc w:val="both"/>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827515C" w14:textId="77777777" w:rsidR="004F65D3" w:rsidRDefault="00F33D18">
      <w:pPr>
        <w:jc w:val="both"/>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w:t>
      </w:r>
      <w:r>
        <w:lastRenderedPageBreak/>
        <w:t xml:space="preserve">bankou Slovenska v deň, ku ktorému sa zostavuje účtovná závierka, a účtujú sa s vplyvom na výsledok hospodárenia. </w:t>
      </w:r>
    </w:p>
    <w:p w14:paraId="7827515D" w14:textId="77777777" w:rsidR="004F65D3" w:rsidRDefault="004F65D3">
      <w:pPr>
        <w:jc w:val="both"/>
      </w:pPr>
    </w:p>
    <w:p w14:paraId="7827515E" w14:textId="77777777" w:rsidR="004F65D3" w:rsidRDefault="00F33D18">
      <w:pPr>
        <w:jc w:val="both"/>
      </w:pPr>
      <w:r>
        <w:t xml:space="preserve">Poznámky </w:t>
      </w:r>
      <w:proofErr w:type="spellStart"/>
      <w:r>
        <w:t>Úč</w:t>
      </w:r>
      <w:proofErr w:type="spellEnd"/>
      <w:r>
        <w:t xml:space="preserve"> PODV 3- 01</w:t>
      </w:r>
      <w:r>
        <w:tab/>
      </w:r>
      <w:r>
        <w:tab/>
      </w:r>
      <w:r>
        <w:tab/>
      </w:r>
      <w:r>
        <w:tab/>
      </w:r>
      <w:r>
        <w:tab/>
      </w:r>
      <w:r>
        <w:tab/>
      </w:r>
      <w:r>
        <w:tab/>
        <w:t>IČO: 45394857</w:t>
      </w:r>
    </w:p>
    <w:p w14:paraId="7827515F" w14:textId="77777777" w:rsidR="004F65D3" w:rsidRDefault="00F33D18">
      <w:pPr>
        <w:jc w:val="both"/>
      </w:pPr>
      <w:r>
        <w:tab/>
      </w:r>
      <w:r>
        <w:tab/>
      </w:r>
      <w:r>
        <w:tab/>
      </w:r>
      <w:r>
        <w:tab/>
      </w:r>
      <w:r>
        <w:tab/>
      </w:r>
      <w:r>
        <w:tab/>
      </w:r>
      <w:r>
        <w:tab/>
      </w:r>
      <w:r>
        <w:tab/>
      </w:r>
      <w:r>
        <w:tab/>
      </w:r>
      <w:r>
        <w:tab/>
        <w:t>DIČ: 2022985580</w:t>
      </w:r>
    </w:p>
    <w:p w14:paraId="78275160" w14:textId="77777777" w:rsidR="004F65D3" w:rsidRDefault="004F65D3">
      <w:pPr>
        <w:jc w:val="both"/>
      </w:pPr>
    </w:p>
    <w:p w14:paraId="78275161" w14:textId="77777777" w:rsidR="004F65D3" w:rsidRDefault="00F33D18">
      <w:pPr>
        <w:jc w:val="both"/>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8275162" w14:textId="77777777" w:rsidR="004F65D3" w:rsidRDefault="00F33D18">
      <w:pPr>
        <w:jc w:val="both"/>
      </w:pPr>
      <w:r>
        <w:t xml:space="preserve">Prijaté a poskytnuté preddavky v cudzej mene na účet zriadený v eurách a z účtu zriadeného v eurách sa prepočítavajú na menu euro kurzom, za ktorý boli tieto hodnoty nakúpené alebo predané. </w:t>
      </w:r>
    </w:p>
    <w:p w14:paraId="78275163" w14:textId="77777777" w:rsidR="004F65D3" w:rsidRDefault="00F33D18">
      <w:pPr>
        <w:jc w:val="both"/>
      </w:pPr>
      <w:r>
        <w:t>Prijaté a poskytnuté preddavky sa ku dňu, ku ktorému sa zostavuje účtovná závierka, na menu euro už neprepočítavajú.</w:t>
      </w:r>
    </w:p>
    <w:p w14:paraId="78275164" w14:textId="77777777" w:rsidR="004F65D3" w:rsidRDefault="004F65D3">
      <w:pPr>
        <w:jc w:val="both"/>
      </w:pPr>
    </w:p>
    <w:p w14:paraId="78275165" w14:textId="77777777" w:rsidR="004F65D3" w:rsidRDefault="00F33D18">
      <w:pPr>
        <w:jc w:val="both"/>
      </w:pPr>
      <w:r>
        <w:t>l) výnosy :</w:t>
      </w:r>
    </w:p>
    <w:p w14:paraId="78275166" w14:textId="77777777" w:rsidR="004F65D3" w:rsidRDefault="00F33D18">
      <w:pPr>
        <w:jc w:val="both"/>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8275167" w14:textId="77777777" w:rsidR="004F65D3" w:rsidRDefault="004F65D3">
      <w:pPr>
        <w:jc w:val="both"/>
      </w:pPr>
    </w:p>
    <w:p w14:paraId="78275168" w14:textId="77777777" w:rsidR="004F65D3" w:rsidRDefault="00F33D18">
      <w:pPr>
        <w:jc w:val="both"/>
      </w:pPr>
      <w:r>
        <w:t>m) náklady:</w:t>
      </w:r>
    </w:p>
    <w:p w14:paraId="78275169" w14:textId="77777777" w:rsidR="004F65D3" w:rsidRDefault="00F33D18">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7827516A" w14:textId="77777777" w:rsidR="004F65D3" w:rsidRDefault="004F65D3">
      <w:pPr>
        <w:jc w:val="both"/>
      </w:pPr>
    </w:p>
    <w:p w14:paraId="7827516B" w14:textId="77777777" w:rsidR="004F65D3" w:rsidRDefault="00F33D18">
      <w:pPr>
        <w:jc w:val="both"/>
      </w:pPr>
      <w:r>
        <w:t>n) poskytnuté dotácie:</w:t>
      </w:r>
    </w:p>
    <w:p w14:paraId="7827516C" w14:textId="77777777" w:rsidR="004F65D3" w:rsidRDefault="00F33D18">
      <w:pPr>
        <w:jc w:val="both"/>
      </w:pPr>
      <w:r>
        <w:t>Spoločnosť nedostala dotácie ani na náhradu prevádzkových nákladov, ani na obstaranie dlhodobého majetku.</w:t>
      </w:r>
    </w:p>
    <w:p w14:paraId="7827516D" w14:textId="77777777" w:rsidR="004F65D3" w:rsidRDefault="004F65D3">
      <w:pPr>
        <w:jc w:val="both"/>
      </w:pPr>
    </w:p>
    <w:p w14:paraId="7827516E" w14:textId="77777777" w:rsidR="004F65D3" w:rsidRDefault="00F33D18">
      <w:pPr>
        <w:jc w:val="both"/>
      </w:pPr>
      <w:r>
        <w:t>o) opravy chýb minulých období:</w:t>
      </w:r>
    </w:p>
    <w:p w14:paraId="7827516F" w14:textId="77777777" w:rsidR="004F65D3" w:rsidRDefault="00F33D18">
      <w:pPr>
        <w:jc w:val="both"/>
      </w:pPr>
      <w:r>
        <w:t>opravy významných chýb minulých účtovných období, účtované s vplyvom na nerozdelený zisk minulých rokov, sa v bežnom účtovnom období nevyskytli.</w:t>
      </w:r>
    </w:p>
    <w:p w14:paraId="78275170" w14:textId="77777777" w:rsidR="004F65D3" w:rsidRDefault="00F33D18">
      <w:pPr>
        <w:jc w:val="both"/>
      </w:pPr>
      <w:r>
        <w:t>Nevýznamné opravy chýb minulých účtovných období vykonané v bežnom účtovnom období nemajú významný vplyv na výsledok hospodárenia bežného účtovného obdobia.</w:t>
      </w:r>
    </w:p>
    <w:p w14:paraId="78275171" w14:textId="77777777" w:rsidR="004F65D3" w:rsidRDefault="004F65D3">
      <w:pPr>
        <w:jc w:val="both"/>
      </w:pPr>
    </w:p>
    <w:p w14:paraId="78275172" w14:textId="77777777" w:rsidR="004F65D3" w:rsidRDefault="00F33D18">
      <w:pPr>
        <w:jc w:val="center"/>
        <w:rPr>
          <w:b/>
        </w:rPr>
      </w:pPr>
      <w:r>
        <w:rPr>
          <w:b/>
        </w:rPr>
        <w:t>Čl. IV</w:t>
      </w:r>
    </w:p>
    <w:p w14:paraId="78275173" w14:textId="77777777" w:rsidR="004F65D3" w:rsidRDefault="00F33D18">
      <w:pPr>
        <w:jc w:val="center"/>
        <w:rPr>
          <w:b/>
        </w:rPr>
      </w:pPr>
      <w:r>
        <w:rPr>
          <w:b/>
        </w:rPr>
        <w:t>Informácie, ktoré vysvetľujú a dopĺňajú súvahu a výkaz ziskov a strát</w:t>
      </w:r>
    </w:p>
    <w:p w14:paraId="78275174" w14:textId="77777777" w:rsidR="004F65D3" w:rsidRDefault="004F65D3">
      <w:pPr>
        <w:jc w:val="both"/>
      </w:pPr>
    </w:p>
    <w:p w14:paraId="78275175" w14:textId="77777777" w:rsidR="004F65D3" w:rsidRDefault="00F33D18">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78275176" w14:textId="77777777" w:rsidR="004F65D3" w:rsidRDefault="004F65D3">
      <w:pPr>
        <w:jc w:val="both"/>
      </w:pPr>
    </w:p>
    <w:p w14:paraId="78275177" w14:textId="77777777" w:rsidR="004F65D3" w:rsidRDefault="00F33D18">
      <w:pPr>
        <w:jc w:val="both"/>
      </w:pPr>
      <w:r>
        <w:t>(2) Na účtovanie o derivátoch, ani o majetku a záväzkoch zabezpečených derivátmi nemala Spoločnosť v bežnom účtovnom období náplň.</w:t>
      </w:r>
    </w:p>
    <w:p w14:paraId="78275178" w14:textId="77777777" w:rsidR="004F65D3" w:rsidRDefault="004F65D3">
      <w:pPr>
        <w:jc w:val="both"/>
      </w:pPr>
    </w:p>
    <w:p w14:paraId="78275179" w14:textId="77777777" w:rsidR="004F65D3" w:rsidRDefault="00F33D18">
      <w:pPr>
        <w:jc w:val="both"/>
      </w:pPr>
      <w:r>
        <w:lastRenderedPageBreak/>
        <w:t>(3) Spoločnosť nemá ku koncu bežného účtovného obdobia záväzky so zostatkovou dobou splatnosti dlhšou ako päť rokov. Spoločnosť neeviduje ku koncu bežného účtovného obdobia žiadne zabezpečené záväzky.</w:t>
      </w:r>
    </w:p>
    <w:p w14:paraId="7827517A" w14:textId="77777777" w:rsidR="004F65D3" w:rsidRDefault="004F65D3">
      <w:pPr>
        <w:jc w:val="both"/>
      </w:pPr>
    </w:p>
    <w:p w14:paraId="7827517B" w14:textId="77777777" w:rsidR="004F65D3" w:rsidRDefault="00F33D18">
      <w:pPr>
        <w:jc w:val="both"/>
      </w:pPr>
      <w:r>
        <w:t xml:space="preserve">Poznámky </w:t>
      </w:r>
      <w:proofErr w:type="spellStart"/>
      <w:r>
        <w:t>Úč</w:t>
      </w:r>
      <w:proofErr w:type="spellEnd"/>
      <w:r>
        <w:t xml:space="preserve"> PODV 3- 01</w:t>
      </w:r>
      <w:r>
        <w:tab/>
      </w:r>
      <w:r>
        <w:tab/>
      </w:r>
      <w:r>
        <w:tab/>
      </w:r>
      <w:r>
        <w:tab/>
      </w:r>
      <w:r>
        <w:tab/>
      </w:r>
      <w:r>
        <w:tab/>
      </w:r>
      <w:r>
        <w:tab/>
        <w:t>IČO: 45394857</w:t>
      </w:r>
    </w:p>
    <w:p w14:paraId="7827517C" w14:textId="77777777" w:rsidR="004F65D3" w:rsidRDefault="00F33D18">
      <w:pPr>
        <w:jc w:val="both"/>
      </w:pPr>
      <w:r>
        <w:tab/>
      </w:r>
      <w:r>
        <w:tab/>
      </w:r>
      <w:r>
        <w:tab/>
      </w:r>
      <w:r>
        <w:tab/>
      </w:r>
      <w:r>
        <w:tab/>
      </w:r>
      <w:r>
        <w:tab/>
      </w:r>
      <w:r>
        <w:tab/>
      </w:r>
      <w:r>
        <w:tab/>
      </w:r>
      <w:r>
        <w:tab/>
      </w:r>
      <w:r>
        <w:tab/>
        <w:t>DIČ: 2022985580</w:t>
      </w:r>
    </w:p>
    <w:p w14:paraId="7827517D" w14:textId="77777777" w:rsidR="004F65D3" w:rsidRDefault="004F65D3">
      <w:pPr>
        <w:jc w:val="both"/>
      </w:pPr>
    </w:p>
    <w:p w14:paraId="7827517E" w14:textId="77777777" w:rsidR="004F65D3" w:rsidRDefault="00F33D18">
      <w:pPr>
        <w:jc w:val="both"/>
      </w:pPr>
      <w:r>
        <w:t>4) Spoločnosť nenadobudla v bežnom účtovnom období žiadne obchodné podiely, ani ku koncu bežného účtovného obdobia nevlastní žiadne obchodné podiely.</w:t>
      </w:r>
    </w:p>
    <w:p w14:paraId="7827517F" w14:textId="77777777" w:rsidR="004F65D3" w:rsidRDefault="004F65D3">
      <w:pPr>
        <w:jc w:val="both"/>
      </w:pPr>
    </w:p>
    <w:p w14:paraId="78275180" w14:textId="77777777" w:rsidR="004F65D3" w:rsidRDefault="00F33D18">
      <w:pPr>
        <w:jc w:val="both"/>
      </w:pPr>
      <w:r>
        <w:t>(5) Žiadne položky nákladov ani výnosov bežného účtovného obdobia nemajú výnimočný charakter.</w:t>
      </w:r>
    </w:p>
    <w:p w14:paraId="78275181" w14:textId="77777777" w:rsidR="004F65D3" w:rsidRDefault="004F65D3">
      <w:pPr>
        <w:jc w:val="both"/>
      </w:pPr>
    </w:p>
    <w:p w14:paraId="78275182" w14:textId="77777777" w:rsidR="004F65D3" w:rsidRDefault="00F33D18">
      <w:pPr>
        <w:jc w:val="center"/>
        <w:rPr>
          <w:b/>
        </w:rPr>
      </w:pPr>
      <w:r>
        <w:rPr>
          <w:b/>
        </w:rPr>
        <w:t>Čl. V</w:t>
      </w:r>
    </w:p>
    <w:p w14:paraId="78275183" w14:textId="77777777" w:rsidR="004F65D3" w:rsidRDefault="00F33D18">
      <w:pPr>
        <w:jc w:val="center"/>
        <w:rPr>
          <w:b/>
        </w:rPr>
      </w:pPr>
      <w:r>
        <w:rPr>
          <w:b/>
        </w:rPr>
        <w:t>Informácie o iných aktívach a iných pasívach</w:t>
      </w:r>
    </w:p>
    <w:p w14:paraId="78275184" w14:textId="77777777" w:rsidR="004F65D3" w:rsidRDefault="004F65D3">
      <w:pPr>
        <w:jc w:val="both"/>
      </w:pPr>
    </w:p>
    <w:p w14:paraId="78275185" w14:textId="77777777" w:rsidR="004F65D3" w:rsidRDefault="00F33D18">
      <w:pPr>
        <w:jc w:val="both"/>
      </w:pPr>
      <w:r>
        <w:t xml:space="preserve">(1) Spoločnosť neeviduje ku koncu bežného účtovného obdobia žiadny podmienený majetok ani žiadne podmienené záväzky. </w:t>
      </w:r>
    </w:p>
    <w:p w14:paraId="78275186" w14:textId="77777777" w:rsidR="004F65D3" w:rsidRDefault="004F65D3">
      <w:pPr>
        <w:jc w:val="both"/>
      </w:pPr>
    </w:p>
    <w:p w14:paraId="78275187" w14:textId="77777777" w:rsidR="004F65D3" w:rsidRDefault="00F33D18">
      <w:pPr>
        <w:jc w:val="both"/>
      </w:pPr>
      <w:r>
        <w:t>(2) Spoločnosť nemá žiadne finančné povinnosti, ktoré nie sú vykazované v súvahe ku koncu bežného účtovného obdobia.</w:t>
      </w:r>
    </w:p>
    <w:p w14:paraId="78275188" w14:textId="77777777" w:rsidR="004F65D3" w:rsidRDefault="004F65D3">
      <w:pPr>
        <w:jc w:val="both"/>
      </w:pPr>
    </w:p>
    <w:p w14:paraId="78275189" w14:textId="77777777" w:rsidR="004F65D3" w:rsidRDefault="00F33D18">
      <w:pPr>
        <w:jc w:val="both"/>
      </w:pPr>
      <w:r>
        <w:t>(3) Na podsúvahových účtoch neeviduje Spoločnosť žiadne významné položky ku koncu bežného účtovného obdobia.</w:t>
      </w:r>
    </w:p>
    <w:p w14:paraId="7827518A" w14:textId="77777777" w:rsidR="004F65D3" w:rsidRDefault="004F65D3">
      <w:pPr>
        <w:jc w:val="both"/>
      </w:pPr>
    </w:p>
    <w:p w14:paraId="7827518B" w14:textId="77777777" w:rsidR="004F65D3" w:rsidRDefault="00F33D18">
      <w:pPr>
        <w:jc w:val="center"/>
        <w:rPr>
          <w:b/>
        </w:rPr>
      </w:pPr>
      <w:r>
        <w:rPr>
          <w:b/>
        </w:rPr>
        <w:t>Čl. VI</w:t>
      </w:r>
    </w:p>
    <w:p w14:paraId="7827518C" w14:textId="77777777" w:rsidR="004F65D3" w:rsidRDefault="00F33D18">
      <w:pPr>
        <w:jc w:val="center"/>
        <w:rPr>
          <w:b/>
        </w:rPr>
      </w:pPr>
      <w:r>
        <w:rPr>
          <w:b/>
        </w:rPr>
        <w:t>Udalosti, ktoré nastali po dni, ku ktorému sa zostavuje účtovná závierka</w:t>
      </w:r>
    </w:p>
    <w:p w14:paraId="7827518D" w14:textId="77777777" w:rsidR="004F65D3" w:rsidRDefault="004F65D3">
      <w:pPr>
        <w:jc w:val="both"/>
      </w:pPr>
    </w:p>
    <w:p w14:paraId="7827518E" w14:textId="77777777" w:rsidR="004F65D3" w:rsidRDefault="004F65D3">
      <w:pPr>
        <w:jc w:val="both"/>
      </w:pPr>
    </w:p>
    <w:p w14:paraId="7827518F" w14:textId="77777777" w:rsidR="004F65D3" w:rsidRDefault="004F65D3">
      <w:pPr>
        <w:jc w:val="both"/>
      </w:pPr>
    </w:p>
    <w:p w14:paraId="78275190" w14:textId="77777777" w:rsidR="004F65D3" w:rsidRDefault="00F33D18">
      <w:pPr>
        <w:jc w:val="center"/>
        <w:rPr>
          <w:b/>
        </w:rPr>
      </w:pPr>
      <w:r>
        <w:rPr>
          <w:b/>
        </w:rPr>
        <w:t>Čl. VII</w:t>
      </w:r>
    </w:p>
    <w:p w14:paraId="78275191" w14:textId="77777777" w:rsidR="004F65D3" w:rsidRDefault="00F33D18">
      <w:pPr>
        <w:jc w:val="center"/>
        <w:rPr>
          <w:b/>
        </w:rPr>
      </w:pPr>
      <w:r>
        <w:rPr>
          <w:b/>
        </w:rPr>
        <w:t>Ostatné informácie</w:t>
      </w:r>
    </w:p>
    <w:p w14:paraId="78275192" w14:textId="77777777" w:rsidR="004F65D3" w:rsidRDefault="004F65D3">
      <w:pPr>
        <w:jc w:val="both"/>
      </w:pPr>
    </w:p>
    <w:p w14:paraId="78275193" w14:textId="77777777" w:rsidR="004F65D3" w:rsidRDefault="00F33D18">
      <w:pPr>
        <w:jc w:val="both"/>
      </w:pPr>
      <w:r>
        <w:t>(1)  Spoločnosť nemá výlučné ani osobitné práva poskytovať služby vo verejnom záujme.</w:t>
      </w:r>
    </w:p>
    <w:p w14:paraId="78275194" w14:textId="77777777" w:rsidR="004F65D3" w:rsidRDefault="004F65D3">
      <w:pPr>
        <w:jc w:val="both"/>
      </w:pPr>
    </w:p>
    <w:p w14:paraId="78275195" w14:textId="77777777" w:rsidR="004F65D3" w:rsidRDefault="00F33D18">
      <w:pPr>
        <w:jc w:val="both"/>
      </w:pPr>
      <w:r>
        <w:t>(2)  Spoločnosť nie je zaradená do kategórie priemyselnej výroby podľa osobitného predpisu s čistým obratom väčším ako 250 000 000 €.</w:t>
      </w:r>
    </w:p>
    <w:p w14:paraId="78275196" w14:textId="77777777" w:rsidR="004F65D3" w:rsidRDefault="004F65D3">
      <w:pPr>
        <w:jc w:val="both"/>
      </w:pPr>
    </w:p>
    <w:p w14:paraId="78275197" w14:textId="77777777" w:rsidR="004F65D3" w:rsidRDefault="00F33D18">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78275198" w14:textId="77777777" w:rsidR="004F65D3" w:rsidRDefault="004F65D3">
      <w:pPr>
        <w:jc w:val="both"/>
      </w:pPr>
    </w:p>
    <w:p w14:paraId="78275199" w14:textId="77777777" w:rsidR="004F65D3" w:rsidRDefault="004F65D3">
      <w:pPr>
        <w:jc w:val="both"/>
      </w:pPr>
    </w:p>
    <w:p w14:paraId="7827519A" w14:textId="77777777" w:rsidR="004F65D3" w:rsidRDefault="004F65D3">
      <w:pPr>
        <w:jc w:val="both"/>
      </w:pPr>
    </w:p>
    <w:p w14:paraId="7827519B" w14:textId="77777777" w:rsidR="004F65D3" w:rsidRDefault="004F65D3">
      <w:pPr>
        <w:jc w:val="both"/>
      </w:pPr>
    </w:p>
    <w:p w14:paraId="7827519C" w14:textId="77777777" w:rsidR="004F65D3" w:rsidRDefault="004F65D3">
      <w:pPr>
        <w:jc w:val="both"/>
      </w:pPr>
    </w:p>
    <w:p w14:paraId="7827519D" w14:textId="77777777" w:rsidR="004F65D3" w:rsidRDefault="004F65D3">
      <w:pPr>
        <w:jc w:val="both"/>
      </w:pPr>
    </w:p>
    <w:p w14:paraId="7827519E" w14:textId="77777777" w:rsidR="004F65D3" w:rsidRDefault="004F65D3">
      <w:pPr>
        <w:jc w:val="both"/>
      </w:pPr>
    </w:p>
    <w:p w14:paraId="7827519F" w14:textId="77777777" w:rsidR="004F65D3" w:rsidRDefault="004F65D3"/>
    <w:sectPr w:rsidR="004F65D3">
      <w:pgSz w:w="11906" w:h="16838"/>
      <w:pgMar w:top="1417" w:right="1417" w:bottom="1417" w:left="1417"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65D3"/>
    <w:rsid w:val="000E3C2A"/>
    <w:rsid w:val="004F65D3"/>
    <w:rsid w:val="00575EF2"/>
    <w:rsid w:val="0061173E"/>
    <w:rsid w:val="00B429D9"/>
    <w:rsid w:val="00ED59C0"/>
    <w:rsid w:val="00F33D18"/>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750B2"/>
  <w15:docId w15:val="{63E4E359-806C-4700-8304-6286252E3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zovChar">
    <w:name w:val="Názov Char"/>
    <w:basedOn w:val="Predvolenpsmoodseku"/>
    <w:link w:val="Nzov"/>
    <w:qFormat/>
    <w:rsid w:val="0029750E"/>
    <w:rPr>
      <w:rFonts w:ascii="Arial Narrow" w:eastAsia="Times New Roman" w:hAnsi="Arial Narrow" w:cs="Times New Roman"/>
      <w:b/>
      <w:bCs/>
      <w:kern w:val="2"/>
      <w:szCs w:val="32"/>
    </w:rPr>
  </w:style>
  <w:style w:type="character" w:customStyle="1" w:styleId="TextbublinyChar">
    <w:name w:val="Text bubliny Char"/>
    <w:basedOn w:val="Predvolenpsmoodseku"/>
    <w:link w:val="Textbubliny"/>
    <w:uiPriority w:val="99"/>
    <w:semiHidden/>
    <w:qFormat/>
    <w:rsid w:val="00162C20"/>
    <w:rPr>
      <w:rFonts w:ascii="Segoe UI" w:eastAsia="Times New Roman" w:hAnsi="Segoe UI" w:cs="Segoe UI"/>
      <w:sz w:val="18"/>
      <w:szCs w:val="18"/>
      <w:lang w:eastAsia="sk-SK"/>
    </w:rPr>
  </w:style>
  <w:style w:type="paragraph" w:customStyle="1" w:styleId="Nadpis">
    <w:name w:val="Nadpis"/>
    <w:basedOn w:val="Normlny"/>
    <w:next w:val="Zkladntext"/>
    <w:qFormat/>
    <w:pPr>
      <w:keepNext/>
      <w:spacing w:before="240" w:after="120"/>
    </w:pPr>
    <w:rPr>
      <w:rFonts w:ascii="Liberation Sans" w:eastAsia="Microsoft YaHei" w:hAnsi="Liberation Sans" w:cs="Arial"/>
      <w:sz w:val="28"/>
      <w:szCs w:val="28"/>
    </w:rPr>
  </w:style>
  <w:style w:type="paragraph" w:styleId="Zkladntext">
    <w:name w:val="Body Text"/>
    <w:basedOn w:val="Normlny"/>
    <w:pPr>
      <w:spacing w:after="140" w:line="276" w:lineRule="auto"/>
    </w:p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rPr>
  </w:style>
  <w:style w:type="paragraph" w:customStyle="1" w:styleId="Rejstk">
    <w:name w:val="Rejstřík"/>
    <w:basedOn w:val="Normlny"/>
    <w:qFormat/>
    <w:pPr>
      <w:suppressLineNumbers/>
    </w:pPr>
    <w:rPr>
      <w:rFonts w:cs="Arial"/>
    </w:rPr>
  </w:style>
  <w:style w:type="paragraph" w:customStyle="1" w:styleId="TopHeader">
    <w:name w:val="Top Header"/>
    <w:basedOn w:val="Normlny"/>
    <w:qFormat/>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Autospacing="1" w:after="220"/>
      <w:jc w:val="center"/>
      <w:outlineLvl w:val="0"/>
    </w:pPr>
    <w:rPr>
      <w:rFonts w:ascii="Arial Narrow" w:hAnsi="Arial Narrow"/>
      <w:b/>
      <w:bCs/>
      <w:kern w:val="2"/>
      <w:sz w:val="22"/>
      <w:szCs w:val="32"/>
      <w:lang w:eastAsia="en-US"/>
    </w:rPr>
  </w:style>
  <w:style w:type="paragraph" w:styleId="Textbubliny">
    <w:name w:val="Balloon Text"/>
    <w:basedOn w:val="Normlny"/>
    <w:link w:val="TextbublinyChar"/>
    <w:uiPriority w:val="99"/>
    <w:semiHidden/>
    <w:unhideWhenUsed/>
    <w:qFormat/>
    <w:rsid w:val="00162C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BD9802-FF63-4A8F-87DE-9D201E09D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1896</Words>
  <Characters>10810</Characters>
  <Application>Microsoft Office Word</Application>
  <DocSecurity>0</DocSecurity>
  <Lines>90</Lines>
  <Paragraphs>25</Paragraphs>
  <ScaleCrop>false</ScaleCrop>
  <Company/>
  <LinksUpToDate>false</LinksUpToDate>
  <CharactersWithSpaces>12681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dc:description/>
  <cp:lastModifiedBy>Lenka Macova</cp:lastModifiedBy>
  <cp:revision>2</cp:revision>
  <cp:lastPrinted>2024-03-27T12:37:00Z</cp:lastPrinted>
  <dcterms:created xsi:type="dcterms:W3CDTF">2026-03-31T07:29:00Z</dcterms:created>
  <dcterms:modified xsi:type="dcterms:W3CDTF">2026-03-31T07:29:00Z</dcterms:modified>
  <dc:language>cs-CZ</dc:language>
</cp:coreProperties>
</file>