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C97E9E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>POZNÁMKY</w:t>
      </w:r>
    </w:p>
    <w:p w14:paraId="340B2AD9" w14:textId="327AEC92" w:rsidR="00C42ED2" w:rsidRDefault="006717FD">
      <w:pPr>
        <w:ind w:left="1077" w:hanging="680"/>
        <w:jc w:val="center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 individuálnej účtovnej závierky zostavenej malou účtovnou jednotkou k 31.12.202</w:t>
      </w:r>
      <w:r w:rsidR="00954306">
        <w:rPr>
          <w:rFonts w:ascii="Calibri" w:eastAsia="Calibri" w:hAnsi="Calibri" w:cs="Calibri"/>
          <w:sz w:val="20"/>
          <w:szCs w:val="20"/>
        </w:rPr>
        <w:t>5</w:t>
      </w:r>
    </w:p>
    <w:p w14:paraId="2B778A32" w14:textId="77777777" w:rsidR="00C42ED2" w:rsidRDefault="006717FD">
      <w:pPr>
        <w:ind w:left="1077" w:hanging="680"/>
        <w:jc w:val="center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(v rozsahu prílohy č. 1 k opatreniu MF SR č. MF/23378/2014-74)</w:t>
      </w:r>
    </w:p>
    <w:p w14:paraId="23FD5EF5" w14:textId="77777777" w:rsidR="00C42ED2" w:rsidRDefault="006717FD">
      <w:pPr>
        <w:tabs>
          <w:tab w:val="left" w:pos="3375"/>
        </w:tabs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ab/>
      </w:r>
    </w:p>
    <w:p w14:paraId="4A3098B9" w14:textId="77777777" w:rsidR="00C42ED2" w:rsidRDefault="00C42ED2">
      <w:pPr>
        <w:tabs>
          <w:tab w:val="left" w:pos="3375"/>
        </w:tabs>
        <w:jc w:val="both"/>
        <w:rPr>
          <w:rFonts w:ascii="Calibri" w:eastAsia="Calibri" w:hAnsi="Calibri" w:cs="Calibri"/>
          <w:sz w:val="20"/>
          <w:szCs w:val="20"/>
        </w:rPr>
      </w:pPr>
    </w:p>
    <w:p w14:paraId="455FC221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Cs w:val="22"/>
        </w:rPr>
      </w:pPr>
      <w:r>
        <w:rPr>
          <w:rFonts w:ascii="Calibri" w:eastAsia="Calibri" w:hAnsi="Calibri" w:cs="Calibri"/>
          <w:b/>
          <w:color w:val="000000"/>
          <w:szCs w:val="22"/>
        </w:rPr>
        <w:t>Čl. I</w:t>
      </w:r>
    </w:p>
    <w:p w14:paraId="05A74C6D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Cs w:val="22"/>
        </w:rPr>
      </w:pPr>
      <w:r>
        <w:rPr>
          <w:rFonts w:ascii="Calibri" w:eastAsia="Calibri" w:hAnsi="Calibri" w:cs="Calibri"/>
          <w:b/>
          <w:color w:val="000000"/>
          <w:szCs w:val="22"/>
        </w:rPr>
        <w:t>VŠEOBECNÉ INFORMÁCIE</w:t>
      </w:r>
    </w:p>
    <w:p w14:paraId="7E2B9C4E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990099"/>
          <w:sz w:val="20"/>
          <w:szCs w:val="20"/>
        </w:rPr>
        <w:t xml:space="preserve"> </w:t>
      </w:r>
    </w:p>
    <w:p w14:paraId="6A184AB4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 (1.)  Informácie o účtovnej jednotke</w:t>
      </w:r>
    </w:p>
    <w:p w14:paraId="40F6CAA9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56C9851E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a) Základné informácie o účtovnej jednotke: </w:t>
      </w:r>
    </w:p>
    <w:tbl>
      <w:tblPr>
        <w:tblStyle w:val="a"/>
        <w:tblW w:w="9272" w:type="dxa"/>
        <w:tblInd w:w="60" w:type="dxa"/>
        <w:tblLayout w:type="fixed"/>
        <w:tblLook w:val="0000" w:firstRow="0" w:lastRow="0" w:firstColumn="0" w:lastColumn="0" w:noHBand="0" w:noVBand="0"/>
      </w:tblPr>
      <w:tblGrid>
        <w:gridCol w:w="2772"/>
        <w:gridCol w:w="6500"/>
      </w:tblGrid>
      <w:tr w:rsidR="00C42ED2" w14:paraId="21399C67" w14:textId="77777777">
        <w:trPr>
          <w:trHeight w:val="336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04B3EE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7777BF" w14:textId="77777777" w:rsidR="00C42ED2" w:rsidRDefault="006717FD">
            <w:pPr>
              <w:ind w:right="-232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KESTLER Co spol. s r.o.</w:t>
            </w:r>
          </w:p>
        </w:tc>
      </w:tr>
      <w:tr w:rsidR="00C42ED2" w14:paraId="3C1D7041" w14:textId="77777777">
        <w:trPr>
          <w:trHeight w:val="58"/>
        </w:trPr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31CFDE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00572F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Krajinská cesta 12, 821 07 Bratislava</w:t>
            </w:r>
          </w:p>
        </w:tc>
      </w:tr>
      <w:tr w:rsidR="00C42ED2" w14:paraId="434010CB" w14:textId="77777777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6840B5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Hlavný predmet podnikania: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874A74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Predaj automobilov </w:t>
            </w:r>
          </w:p>
        </w:tc>
      </w:tr>
      <w:tr w:rsidR="00C42ED2" w14:paraId="7343C5D0" w14:textId="77777777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D10E9F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Dátum vzniku: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E2A9930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22.01.2004</w:t>
            </w:r>
          </w:p>
        </w:tc>
      </w:tr>
    </w:tbl>
    <w:p w14:paraId="0A08B4AD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720"/>
        <w:rPr>
          <w:rFonts w:ascii="Calibri" w:eastAsia="Calibri" w:hAnsi="Calibri" w:cs="Calibri"/>
          <w:color w:val="000000"/>
          <w:sz w:val="20"/>
          <w:szCs w:val="20"/>
        </w:rPr>
      </w:pPr>
    </w:p>
    <w:p w14:paraId="0B080AEC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b) Opis hospodárskej činnosti účtovnej jednotky:</w:t>
      </w:r>
    </w:p>
    <w:p w14:paraId="4E97AA71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2B729F6C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kúpa tovaru na účely jeho predaja konečnému spotrebiteľovi (maloobchod) v rozsahu voľnej živnosti</w:t>
      </w:r>
    </w:p>
    <w:p w14:paraId="675ABB10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kúpa tovaru na účely jeho predaja iným prevádzkovateľom živnosti (veľkoobchod) v rozsahu voľnej živnosti</w:t>
      </w:r>
    </w:p>
    <w:p w14:paraId="1EC743EF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sprostredkovateľská činnosť v oblasti obchodu, služieb, výroby v rozsahu voľnej živnosti,.</w:t>
      </w:r>
    </w:p>
    <w:p w14:paraId="5D85E99C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obstarávateľské činnosti spojené so správou nehnuteľností</w:t>
      </w:r>
    </w:p>
    <w:p w14:paraId="755FF1F1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poradenská, konzultačná a školiaca činnosť v oblasti obchodu a služieb a v predmete podnikania v rozsahu voľnej živnosti</w:t>
      </w:r>
    </w:p>
    <w:p w14:paraId="7CD19672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reklamná a propagačná činnosť v rozsahu voľnej živnosti</w:t>
      </w:r>
    </w:p>
    <w:p w14:paraId="0F8582D6" w14:textId="77777777" w:rsidR="00C42ED2" w:rsidRDefault="006717FD">
      <w:pPr>
        <w:numPr>
          <w:ilvl w:val="0"/>
          <w:numId w:val="1"/>
        </w:numPr>
        <w:tabs>
          <w:tab w:val="left" w:pos="0"/>
        </w:tabs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prieskum trhu a verejnej mienky</w:t>
      </w:r>
    </w:p>
    <w:p w14:paraId="0FF9031E" w14:textId="77777777" w:rsidR="00C42ED2" w:rsidRDefault="006717FD">
      <w:pPr>
        <w:numPr>
          <w:ilvl w:val="0"/>
          <w:numId w:val="1"/>
        </w:numPr>
        <w:tabs>
          <w:tab w:val="left" w:pos="0"/>
        </w:tabs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činnosť organizačných a ekonomických poradcov</w:t>
      </w:r>
    </w:p>
    <w:p w14:paraId="5EF9524A" w14:textId="77777777" w:rsidR="00C42ED2" w:rsidRDefault="006717FD">
      <w:pPr>
        <w:numPr>
          <w:ilvl w:val="0"/>
          <w:numId w:val="1"/>
        </w:numPr>
        <w:tabs>
          <w:tab w:val="left" w:pos="0"/>
        </w:tabs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organizovanie kultúrnych a spoločenských podujatí, kurzov a školení</w:t>
      </w:r>
    </w:p>
    <w:p w14:paraId="1DD6CA29" w14:textId="77777777" w:rsidR="00C42ED2" w:rsidRDefault="006717FD">
      <w:pPr>
        <w:numPr>
          <w:ilvl w:val="0"/>
          <w:numId w:val="1"/>
        </w:numPr>
        <w:tabs>
          <w:tab w:val="left" w:pos="0"/>
        </w:tabs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automatizované spracovanie údajov</w:t>
      </w:r>
    </w:p>
    <w:p w14:paraId="5416423D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poskytovanie dátových služieb-internetová čitáreň</w:t>
      </w:r>
    </w:p>
    <w:p w14:paraId="74F7F29A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poskytovanie software-predaj hotových programov na základe dohody s autorom</w:t>
      </w:r>
    </w:p>
    <w:p w14:paraId="6722F2FB" w14:textId="77777777" w:rsidR="00C42ED2" w:rsidRDefault="006717FD">
      <w:pPr>
        <w:numPr>
          <w:ilvl w:val="0"/>
          <w:numId w:val="1"/>
        </w:numPr>
        <w:tabs>
          <w:tab w:val="left" w:pos="0"/>
        </w:tabs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</w:rPr>
        <w:t>opravy cestných motorových vozidiel</w:t>
      </w:r>
    </w:p>
    <w:p w14:paraId="42D07CE5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predaj súčiastok a príslušenstva motorových vozidiel</w:t>
      </w:r>
    </w:p>
    <w:p w14:paraId="535444BE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kúpa, predaj, požičiavanie, prenájom a leasing motorových vozidiel</w:t>
      </w:r>
    </w:p>
    <w:p w14:paraId="62DE07E9" w14:textId="77777777" w:rsidR="00C42ED2" w:rsidRDefault="006717FD">
      <w:pPr>
        <w:numPr>
          <w:ilvl w:val="0"/>
          <w:numId w:val="1"/>
        </w:numPr>
        <w:tabs>
          <w:tab w:val="left" w:pos="0"/>
        </w:tabs>
      </w:pPr>
      <w:r>
        <w:rPr>
          <w:rFonts w:ascii="Calibri" w:eastAsia="Calibri" w:hAnsi="Calibri" w:cs="Calibri"/>
        </w:rPr>
        <w:t>vedenie účtovníctva</w:t>
      </w:r>
    </w:p>
    <w:p w14:paraId="7AE25C25" w14:textId="77777777" w:rsidR="00C42ED2" w:rsidRDefault="00C42ED2">
      <w:pPr>
        <w:tabs>
          <w:tab w:val="left" w:pos="0"/>
        </w:tabs>
        <w:ind w:left="360"/>
        <w:rPr>
          <w:rFonts w:ascii="Calibri" w:eastAsia="Calibri" w:hAnsi="Calibri" w:cs="Calibri"/>
          <w:color w:val="000000"/>
          <w:sz w:val="20"/>
          <w:szCs w:val="20"/>
        </w:rPr>
      </w:pPr>
    </w:p>
    <w:p w14:paraId="58F5E3DD" w14:textId="77777777" w:rsidR="00C42ED2" w:rsidRDefault="006717F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781"/>
        </w:tabs>
        <w:spacing w:after="5" w:line="251" w:lineRule="auto"/>
        <w:ind w:right="991" w:hanging="556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Test veľkostnej skupiny účtovnej jednotky </w:t>
      </w:r>
    </w:p>
    <w:tbl>
      <w:tblPr>
        <w:tblStyle w:val="a0"/>
        <w:tblW w:w="943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32"/>
        <w:gridCol w:w="2032"/>
        <w:gridCol w:w="2936"/>
        <w:gridCol w:w="1538"/>
      </w:tblGrid>
      <w:tr w:rsidR="00C42ED2" w14:paraId="4BCE109C" w14:textId="77777777">
        <w:trPr>
          <w:trHeight w:val="607"/>
        </w:trPr>
        <w:tc>
          <w:tcPr>
            <w:tcW w:w="2932" w:type="dxa"/>
          </w:tcPr>
          <w:p w14:paraId="6C3368D4" w14:textId="77777777" w:rsidR="00C42ED2" w:rsidRDefault="006717FD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032" w:type="dxa"/>
          </w:tcPr>
          <w:p w14:paraId="0B497B2A" w14:textId="77777777" w:rsidR="00C42ED2" w:rsidRDefault="006717FD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936" w:type="dxa"/>
          </w:tcPr>
          <w:p w14:paraId="1D06AE56" w14:textId="77777777" w:rsidR="00C42ED2" w:rsidRDefault="006717FD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538" w:type="dxa"/>
          </w:tcPr>
          <w:p w14:paraId="245AD5F0" w14:textId="77777777" w:rsidR="00C42ED2" w:rsidRDefault="006717FD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Áno/Nie</w:t>
            </w:r>
          </w:p>
        </w:tc>
      </w:tr>
      <w:tr w:rsidR="003E5B7B" w14:paraId="1D9C98F5" w14:textId="77777777">
        <w:trPr>
          <w:trHeight w:val="335"/>
        </w:trPr>
        <w:tc>
          <w:tcPr>
            <w:tcW w:w="2932" w:type="dxa"/>
          </w:tcPr>
          <w:p w14:paraId="3B6001E5" w14:textId="77777777" w:rsidR="003E5B7B" w:rsidRDefault="003E5B7B" w:rsidP="003E5B7B">
            <w:pPr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Netto aktíva celkom</w:t>
            </w:r>
          </w:p>
        </w:tc>
        <w:tc>
          <w:tcPr>
            <w:tcW w:w="2032" w:type="dxa"/>
          </w:tcPr>
          <w:p w14:paraId="6D358422" w14:textId="3B0477F1" w:rsidR="003E5B7B" w:rsidRDefault="000049CB" w:rsidP="003E5B7B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549 591</w:t>
            </w:r>
          </w:p>
        </w:tc>
        <w:tc>
          <w:tcPr>
            <w:tcW w:w="2936" w:type="dxa"/>
          </w:tcPr>
          <w:p w14:paraId="391AF34E" w14:textId="2BCC6B6C" w:rsidR="003E5B7B" w:rsidRDefault="000049CB" w:rsidP="003E5B7B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573 353</w:t>
            </w:r>
          </w:p>
        </w:tc>
        <w:tc>
          <w:tcPr>
            <w:tcW w:w="1538" w:type="dxa"/>
          </w:tcPr>
          <w:p w14:paraId="59F4C0FD" w14:textId="77777777" w:rsidR="003E5B7B" w:rsidRDefault="003E5B7B" w:rsidP="003E5B7B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</w:p>
        </w:tc>
      </w:tr>
      <w:tr w:rsidR="003E5B7B" w14:paraId="0D8EE46E" w14:textId="77777777">
        <w:trPr>
          <w:trHeight w:val="335"/>
        </w:trPr>
        <w:tc>
          <w:tcPr>
            <w:tcW w:w="2932" w:type="dxa"/>
          </w:tcPr>
          <w:p w14:paraId="1BA4A9D3" w14:textId="77777777" w:rsidR="003E5B7B" w:rsidRDefault="003E5B7B" w:rsidP="003E5B7B">
            <w:pPr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Čistý obrat celkom</w:t>
            </w:r>
          </w:p>
        </w:tc>
        <w:tc>
          <w:tcPr>
            <w:tcW w:w="2032" w:type="dxa"/>
          </w:tcPr>
          <w:p w14:paraId="1713CDAF" w14:textId="5B8D1B43" w:rsidR="003E5B7B" w:rsidRDefault="000049CB" w:rsidP="003E5B7B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1 896 852</w:t>
            </w:r>
          </w:p>
        </w:tc>
        <w:tc>
          <w:tcPr>
            <w:tcW w:w="2936" w:type="dxa"/>
          </w:tcPr>
          <w:p w14:paraId="6DC677BB" w14:textId="74D142FF" w:rsidR="003E5B7B" w:rsidRDefault="000049CB" w:rsidP="003E5B7B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1 981 703</w:t>
            </w:r>
          </w:p>
        </w:tc>
        <w:tc>
          <w:tcPr>
            <w:tcW w:w="1538" w:type="dxa"/>
          </w:tcPr>
          <w:p w14:paraId="71EC33DF" w14:textId="77777777" w:rsidR="003E5B7B" w:rsidRDefault="003E5B7B" w:rsidP="003E5B7B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</w:p>
        </w:tc>
      </w:tr>
      <w:tr w:rsidR="003E5B7B" w14:paraId="7A155681" w14:textId="77777777">
        <w:trPr>
          <w:trHeight w:val="230"/>
        </w:trPr>
        <w:tc>
          <w:tcPr>
            <w:tcW w:w="2932" w:type="dxa"/>
          </w:tcPr>
          <w:p w14:paraId="3DDE1186" w14:textId="77777777" w:rsidR="003E5B7B" w:rsidRDefault="003E5B7B" w:rsidP="003E5B7B">
            <w:pPr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Počet zamestnancov - priemerný</w:t>
            </w:r>
          </w:p>
        </w:tc>
        <w:tc>
          <w:tcPr>
            <w:tcW w:w="2032" w:type="dxa"/>
          </w:tcPr>
          <w:p w14:paraId="0B53190D" w14:textId="6617BE55" w:rsidR="003E5B7B" w:rsidRDefault="003E5B7B" w:rsidP="003E5B7B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  <w:r w:rsidR="002C0664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2936" w:type="dxa"/>
          </w:tcPr>
          <w:p w14:paraId="0DF4B342" w14:textId="3661CAA9" w:rsidR="003E5B7B" w:rsidRDefault="003E5B7B" w:rsidP="003E5B7B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  <w:r w:rsidR="000049CB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1538" w:type="dxa"/>
          </w:tcPr>
          <w:p w14:paraId="7F8DB2E7" w14:textId="77777777" w:rsidR="003E5B7B" w:rsidRDefault="003E5B7B" w:rsidP="003E5B7B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</w:p>
        </w:tc>
      </w:tr>
    </w:tbl>
    <w:p w14:paraId="1FA4862E" w14:textId="77777777" w:rsidR="00C42ED2" w:rsidRDefault="00C42ED2">
      <w:pPr>
        <w:jc w:val="both"/>
        <w:rPr>
          <w:rFonts w:ascii="Calibri" w:eastAsia="Calibri" w:hAnsi="Calibri" w:cs="Calibri"/>
          <w:b/>
          <w:sz w:val="20"/>
          <w:szCs w:val="20"/>
        </w:rPr>
      </w:pPr>
    </w:p>
    <w:p w14:paraId="05BC5B2C" w14:textId="77777777" w:rsidR="00C42ED2" w:rsidRDefault="006717FD">
      <w:pPr>
        <w:jc w:val="both"/>
        <w:rPr>
          <w:rFonts w:ascii="Calibri" w:eastAsia="Calibri" w:hAnsi="Calibri" w:cs="Calibri"/>
          <w:b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Účtovná jednotka spĺňa veľkostné podmienky na zatriedenie do veľkostnej skupiny – </w:t>
      </w:r>
      <w:r>
        <w:rPr>
          <w:rFonts w:ascii="Calibri" w:eastAsia="Calibri" w:hAnsi="Calibri" w:cs="Calibri"/>
          <w:b/>
          <w:sz w:val="20"/>
          <w:szCs w:val="20"/>
        </w:rPr>
        <w:t xml:space="preserve">malá účtovná jednotka, </w:t>
      </w:r>
      <w:r>
        <w:rPr>
          <w:rFonts w:ascii="Calibri" w:eastAsia="Calibri" w:hAnsi="Calibri" w:cs="Calibri"/>
          <w:sz w:val="20"/>
          <w:szCs w:val="20"/>
        </w:rPr>
        <w:t>preto zostavuje účtovnú závierku podľa metodiky pre túto veľkostnú skupinu (Opatrenie č.MF/23378/2014-74 v znení neskorších predpisov).</w:t>
      </w:r>
    </w:p>
    <w:p w14:paraId="26024CE6" w14:textId="77777777" w:rsidR="00C42ED2" w:rsidRDefault="00C42ED2">
      <w:pPr>
        <w:tabs>
          <w:tab w:val="left" w:pos="9781"/>
        </w:tabs>
        <w:spacing w:line="259" w:lineRule="auto"/>
        <w:ind w:left="142"/>
        <w:rPr>
          <w:rFonts w:ascii="Calibri" w:eastAsia="Calibri" w:hAnsi="Calibri" w:cs="Calibri"/>
          <w:sz w:val="20"/>
          <w:szCs w:val="20"/>
        </w:rPr>
      </w:pPr>
    </w:p>
    <w:p w14:paraId="414CE9F2" w14:textId="77777777" w:rsidR="00C42ED2" w:rsidRDefault="006717FD">
      <w:pPr>
        <w:widowControl w:val="0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 </w:t>
      </w:r>
    </w:p>
    <w:p w14:paraId="3EB7D350" w14:textId="77777777" w:rsidR="00C42ED2" w:rsidRDefault="006717FD">
      <w:pPr>
        <w:widowControl w:val="0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(2) Schválenie účtovnej závierky za predchádzajúce obdobie </w:t>
      </w:r>
    </w:p>
    <w:p w14:paraId="2D327B35" w14:textId="77777777" w:rsidR="00C42ED2" w:rsidRDefault="00C42ED2">
      <w:pPr>
        <w:widowControl w:val="0"/>
        <w:rPr>
          <w:rFonts w:ascii="Calibri" w:eastAsia="Calibri" w:hAnsi="Calibri" w:cs="Calibri"/>
          <w:color w:val="000000"/>
          <w:sz w:val="20"/>
          <w:szCs w:val="20"/>
        </w:rPr>
      </w:pPr>
    </w:p>
    <w:p w14:paraId="04AD5D40" w14:textId="759541F9" w:rsidR="00C42ED2" w:rsidRDefault="006717FD">
      <w:pPr>
        <w:widowControl w:val="0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lastRenderedPageBreak/>
        <w:t xml:space="preserve"> Účtovná závierka za rok 20</w:t>
      </w:r>
      <w:r>
        <w:rPr>
          <w:rFonts w:ascii="Calibri" w:eastAsia="Calibri" w:hAnsi="Calibri" w:cs="Calibri"/>
          <w:sz w:val="20"/>
          <w:szCs w:val="20"/>
        </w:rPr>
        <w:t>2</w:t>
      </w:r>
      <w:r w:rsidR="00954306">
        <w:rPr>
          <w:rFonts w:ascii="Calibri" w:eastAsia="Calibri" w:hAnsi="Calibri" w:cs="Calibri"/>
          <w:sz w:val="20"/>
          <w:szCs w:val="20"/>
        </w:rPr>
        <w:t>4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  bola schválená na riadnom valnom zhromaždení dňa</w:t>
      </w:r>
      <w:r w:rsidR="00954306">
        <w:rPr>
          <w:rFonts w:ascii="Calibri" w:eastAsia="Calibri" w:hAnsi="Calibri" w:cs="Calibri"/>
          <w:color w:val="000000"/>
          <w:sz w:val="20"/>
          <w:szCs w:val="20"/>
        </w:rPr>
        <w:t xml:space="preserve"> 19.03.2025</w:t>
      </w:r>
    </w:p>
    <w:p w14:paraId="09DF0E2F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4D2FE1D0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40F6C001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(3) Právny dôvod na zostavenie účtovnej závierky. </w:t>
      </w:r>
    </w:p>
    <w:p w14:paraId="5530BF3A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4A24FE3E" w14:textId="0A467B3D" w:rsidR="00C42ED2" w:rsidRDefault="006717FD">
      <w:pPr>
        <w:widowControl w:val="0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závierka k 31.12.202</w:t>
      </w:r>
      <w:r w:rsidR="00954306">
        <w:rPr>
          <w:rFonts w:ascii="Calibri" w:eastAsia="Calibri" w:hAnsi="Calibri" w:cs="Calibri"/>
          <w:sz w:val="20"/>
          <w:szCs w:val="20"/>
        </w:rPr>
        <w:t>5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 je zostavená ako riadna účtovná závierka podľa § 17 ods. 6     zákona NR SR č. 431/2002 Z. z. o účtovníctve, za účtovné obdobie od 1.januára 202</w:t>
      </w:r>
      <w:r w:rsidR="00954306">
        <w:rPr>
          <w:rFonts w:ascii="Calibri" w:eastAsia="Calibri" w:hAnsi="Calibri" w:cs="Calibri"/>
          <w:sz w:val="20"/>
          <w:szCs w:val="20"/>
        </w:rPr>
        <w:t>5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do 31. decembra 202</w:t>
      </w:r>
      <w:r w:rsidR="00954306">
        <w:rPr>
          <w:rFonts w:ascii="Calibri" w:eastAsia="Calibri" w:hAnsi="Calibri" w:cs="Calibri"/>
          <w:sz w:val="20"/>
          <w:szCs w:val="20"/>
        </w:rPr>
        <w:t>5</w:t>
      </w:r>
      <w:r>
        <w:rPr>
          <w:rFonts w:ascii="Calibri" w:eastAsia="Calibri" w:hAnsi="Calibri" w:cs="Calibri"/>
          <w:color w:val="000000"/>
          <w:sz w:val="20"/>
          <w:szCs w:val="20"/>
        </w:rPr>
        <w:t>,  k poslednému dňu kalendárneho roka 202</w:t>
      </w:r>
      <w:r w:rsidR="00954306">
        <w:rPr>
          <w:rFonts w:ascii="Calibri" w:eastAsia="Calibri" w:hAnsi="Calibri" w:cs="Calibri"/>
          <w:sz w:val="20"/>
          <w:szCs w:val="20"/>
        </w:rPr>
        <w:t>5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. </w:t>
      </w:r>
    </w:p>
    <w:p w14:paraId="083A7921" w14:textId="77777777" w:rsidR="00C42ED2" w:rsidRDefault="00C42ED2">
      <w:pPr>
        <w:widowControl w:val="0"/>
        <w:rPr>
          <w:rFonts w:ascii="Calibri" w:eastAsia="Calibri" w:hAnsi="Calibri" w:cs="Calibri"/>
          <w:color w:val="000000"/>
          <w:sz w:val="20"/>
          <w:szCs w:val="20"/>
        </w:rPr>
      </w:pPr>
    </w:p>
    <w:p w14:paraId="464589FB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 </w:t>
      </w:r>
    </w:p>
    <w:p w14:paraId="74CB355A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(4) Údaje o skupine účtovných jednotiek, a to: </w:t>
      </w:r>
    </w:p>
    <w:p w14:paraId="32CAAF5D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24B64B65" w14:textId="77777777" w:rsidR="00C42ED2" w:rsidRDefault="006717FD">
      <w:pPr>
        <w:ind w:right="-468"/>
        <w:rPr>
          <w:rFonts w:ascii="Calibri" w:eastAsia="Calibri" w:hAnsi="Calibri" w:cs="Calibri"/>
          <w:color w:val="000000"/>
          <w:sz w:val="20"/>
          <w:szCs w:val="20"/>
        </w:rPr>
      </w:pPr>
      <w:bookmarkStart w:id="0" w:name="_heading=h.gjdgxs" w:colFirst="0" w:colLast="0"/>
      <w:bookmarkEnd w:id="0"/>
      <w:r>
        <w:rPr>
          <w:rFonts w:ascii="Calibri" w:eastAsia="Calibri" w:hAnsi="Calibri" w:cs="Calibri"/>
          <w:color w:val="000000"/>
          <w:sz w:val="20"/>
          <w:szCs w:val="20"/>
        </w:rPr>
        <w:t>Účtovná jednotka nie je súčasťou skupiny, t.j. nie je materskou UJ ani  dcérskou UJ</w:t>
      </w:r>
    </w:p>
    <w:p w14:paraId="0077158C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trike/>
          <w:color w:val="000000"/>
          <w:sz w:val="20"/>
          <w:szCs w:val="20"/>
        </w:rPr>
      </w:pPr>
    </w:p>
    <w:p w14:paraId="738243A5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 (5) Informácia o počte zamestnancov</w:t>
      </w:r>
    </w:p>
    <w:tbl>
      <w:tblPr>
        <w:tblStyle w:val="a1"/>
        <w:tblW w:w="948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93"/>
        <w:gridCol w:w="2908"/>
        <w:gridCol w:w="2683"/>
      </w:tblGrid>
      <w:tr w:rsidR="00C42ED2" w14:paraId="4DBB2382" w14:textId="77777777">
        <w:trPr>
          <w:jc w:val="center"/>
        </w:trPr>
        <w:tc>
          <w:tcPr>
            <w:tcW w:w="3893" w:type="dxa"/>
            <w:vAlign w:val="center"/>
          </w:tcPr>
          <w:p w14:paraId="6769FC17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908" w:type="dxa"/>
            <w:vAlign w:val="center"/>
          </w:tcPr>
          <w:p w14:paraId="67F8D9FE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83" w:type="dxa"/>
            <w:vAlign w:val="center"/>
          </w:tcPr>
          <w:p w14:paraId="50CFC4BB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C42ED2" w14:paraId="36B4C8D6" w14:textId="77777777">
        <w:trPr>
          <w:jc w:val="center"/>
        </w:trPr>
        <w:tc>
          <w:tcPr>
            <w:tcW w:w="3893" w:type="dxa"/>
          </w:tcPr>
          <w:p w14:paraId="1F4E0972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908" w:type="dxa"/>
          </w:tcPr>
          <w:p w14:paraId="0FCD1E61" w14:textId="5123F6BB" w:rsidR="00C42ED2" w:rsidRDefault="006717FD">
            <w:pPr>
              <w:spacing w:line="36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  <w:r w:rsidR="0035699B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2683" w:type="dxa"/>
          </w:tcPr>
          <w:p w14:paraId="4B13190C" w14:textId="338719B8" w:rsidR="00C42ED2" w:rsidRDefault="006717FD">
            <w:pPr>
              <w:spacing w:line="36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  <w:r w:rsidR="0035699B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</w:tr>
      <w:tr w:rsidR="00C42ED2" w14:paraId="7F6BC57D" w14:textId="77777777">
        <w:trPr>
          <w:jc w:val="center"/>
        </w:trPr>
        <w:tc>
          <w:tcPr>
            <w:tcW w:w="3893" w:type="dxa"/>
          </w:tcPr>
          <w:p w14:paraId="50898DA9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Konečný počet zamestnancov k 31.12.</w:t>
            </w:r>
          </w:p>
        </w:tc>
        <w:tc>
          <w:tcPr>
            <w:tcW w:w="2908" w:type="dxa"/>
          </w:tcPr>
          <w:p w14:paraId="480C7704" w14:textId="77777777" w:rsidR="00C42ED2" w:rsidRDefault="006717FD">
            <w:pPr>
              <w:spacing w:line="36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11</w:t>
            </w:r>
          </w:p>
        </w:tc>
        <w:tc>
          <w:tcPr>
            <w:tcW w:w="2683" w:type="dxa"/>
          </w:tcPr>
          <w:p w14:paraId="213EC080" w14:textId="77777777" w:rsidR="00C42ED2" w:rsidRDefault="006717FD">
            <w:pPr>
              <w:spacing w:line="36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11</w:t>
            </w:r>
          </w:p>
        </w:tc>
      </w:tr>
    </w:tbl>
    <w:p w14:paraId="64844831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41D25C56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3E2D3598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Čl. II</w:t>
      </w:r>
    </w:p>
    <w:p w14:paraId="676DE6B4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Informácie o orgánoch spoločnosti</w:t>
      </w:r>
    </w:p>
    <w:p w14:paraId="7E386319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</w:p>
    <w:p w14:paraId="543EC2DF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jednotka v sledovanom období neposkytla  členom štatutárnych, dozorných a iných orgánov spoločnosti žiadne záruky, pôžičky alebo iné zabezpečenia, finančné prostriedky alebo iné plnenia.</w:t>
      </w:r>
    </w:p>
    <w:p w14:paraId="06C6CA8B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1354EEB2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3C55DEFB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Čl. III</w:t>
      </w:r>
    </w:p>
    <w:p w14:paraId="4558257D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Informácie o prijatých postupoch</w:t>
      </w:r>
    </w:p>
    <w:p w14:paraId="61A3123C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</w:p>
    <w:p w14:paraId="47FF823B" w14:textId="77777777" w:rsidR="00C42ED2" w:rsidRDefault="006717FD">
      <w:pP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(1) Účtovná závierka bola zostavená za predpokladu, že účtovná jednotka bude nepretržite pokračovať vo svojej činnosti najmenej po dobu 12 mesiacov .</w:t>
      </w:r>
    </w:p>
    <w:p w14:paraId="3033E3A2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51B07B4B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 (2) Zmena metód účtovania a zásad účtovania </w:t>
      </w:r>
    </w:p>
    <w:p w14:paraId="7A76C3FC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Účtovné metódy a všeobecné účtovné zásady boli účtovnou jednotkou aplikované konzistentne. </w:t>
      </w:r>
    </w:p>
    <w:p w14:paraId="39498F49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560ABD5C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(3) Informácia o transakciách, ktoré sa neuvádzajú v súvahe </w:t>
      </w:r>
    </w:p>
    <w:p w14:paraId="750F4417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Účtovná jednotka neuskutočnila žiadne významné transakcie, ktoré by neuviedla v súvahe.  </w:t>
      </w:r>
    </w:p>
    <w:p w14:paraId="65B4261B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FF0000"/>
          <w:sz w:val="20"/>
          <w:szCs w:val="20"/>
        </w:rPr>
      </w:pPr>
    </w:p>
    <w:p w14:paraId="4B26CE79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(4) Informácia o ocenení majetku a záväzkov </w:t>
      </w:r>
    </w:p>
    <w:p w14:paraId="2ACBCAAE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672B3D11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00D29670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29E1F153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 xml:space="preserve">A) obstarávacou cenou 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br/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1.  hmotný majetok, s výnimkou HM vytvoreného vlastnou činnosťou, </w:t>
      </w:r>
      <w:r>
        <w:rPr>
          <w:rFonts w:ascii="Calibri" w:eastAsia="Calibri" w:hAnsi="Calibri" w:cs="Calibri"/>
          <w:color w:val="000000"/>
          <w:sz w:val="20"/>
          <w:szCs w:val="20"/>
        </w:rPr>
        <w:br/>
        <w:t xml:space="preserve">2.  zásoby,  s výnimkou zásob vytvorených vlastnou činnosťou, </w:t>
      </w:r>
      <w:r>
        <w:rPr>
          <w:rFonts w:ascii="Calibri" w:eastAsia="Calibri" w:hAnsi="Calibri" w:cs="Calibri"/>
          <w:color w:val="000000"/>
          <w:sz w:val="20"/>
          <w:szCs w:val="20"/>
        </w:rPr>
        <w:br/>
        <w:t xml:space="preserve">3. podiely na základnom imaní obchodných spoločností a cenné papiere okrem cenných papierov,  </w:t>
      </w:r>
    </w:p>
    <w:p w14:paraId="5BF3BE31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     podielov na základnom imaní obchodných spoločností, ktoré nemajú podobu cenného papiera </w:t>
      </w:r>
    </w:p>
    <w:p w14:paraId="30D43641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4.  pohľadávky pri odplatnom nadobudnutí, </w:t>
      </w:r>
    </w:p>
    <w:p w14:paraId="583232AE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5.  nehmotný majetok s výnimkou nehmotného majetku vytvoreného vlastnou činnosťou, </w:t>
      </w:r>
      <w:r>
        <w:rPr>
          <w:rFonts w:ascii="Calibri" w:eastAsia="Calibri" w:hAnsi="Calibri" w:cs="Calibri"/>
          <w:color w:val="000000"/>
          <w:sz w:val="20"/>
          <w:szCs w:val="20"/>
        </w:rPr>
        <w:br/>
        <w:t xml:space="preserve">6.  záväzky pri ich prevzatí, </w:t>
      </w:r>
    </w:p>
    <w:p w14:paraId="18CF199A" w14:textId="77777777" w:rsidR="00C42ED2" w:rsidRDefault="00C42ED2">
      <w:pPr>
        <w:rPr>
          <w:rFonts w:ascii="Calibri" w:eastAsia="Calibri" w:hAnsi="Calibri" w:cs="Calibri"/>
          <w:color w:val="000000"/>
          <w:sz w:val="20"/>
          <w:szCs w:val="20"/>
        </w:rPr>
      </w:pPr>
    </w:p>
    <w:p w14:paraId="5C15DAFF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Obstarávacou cenou je cena, za ktorú sa majetok obstaral, a náklady súvisiace s jeho obstaraním a všetky zníženia tejto obstarávacej ceny. Náklady súvisiace s obstaraním sú: clo, prepravu, poistné, provízie, skonto. Súčasťou obstarávacej ceny nie sú úroky z cudzích zdrojov, ani realizované kurzové rozdiely. </w:t>
      </w:r>
    </w:p>
    <w:p w14:paraId="4D7F4F5D" w14:textId="77777777" w:rsidR="00C42ED2" w:rsidRDefault="00C42ED2">
      <w:pPr>
        <w:rPr>
          <w:rFonts w:ascii="Calibri" w:eastAsia="Calibri" w:hAnsi="Calibri" w:cs="Calibri"/>
          <w:color w:val="000000"/>
          <w:sz w:val="20"/>
          <w:szCs w:val="20"/>
        </w:rPr>
      </w:pPr>
    </w:p>
    <w:p w14:paraId="28147DC0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Nakupované zásoby sa pri vyskladnení oceňujú váženým aritmetickým priemerom z obstarávacích cien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.</w:t>
      </w:r>
    </w:p>
    <w:p w14:paraId="3528F5DC" w14:textId="77777777" w:rsidR="00C42ED2" w:rsidRDefault="00C42ED2">
      <w:pPr>
        <w:rPr>
          <w:rFonts w:ascii="Calibri" w:eastAsia="Calibri" w:hAnsi="Calibri" w:cs="Calibri"/>
          <w:color w:val="000000"/>
          <w:sz w:val="20"/>
          <w:szCs w:val="20"/>
        </w:rPr>
      </w:pPr>
    </w:p>
    <w:p w14:paraId="7F6CBADB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 xml:space="preserve">B) vlastnými nákladmi 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br/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1.  hmotný majetok vytvorený vlastnou činnosťou, </w:t>
      </w:r>
      <w:r>
        <w:rPr>
          <w:rFonts w:ascii="Calibri" w:eastAsia="Calibri" w:hAnsi="Calibri" w:cs="Calibri"/>
          <w:color w:val="000000"/>
          <w:sz w:val="20"/>
          <w:szCs w:val="20"/>
        </w:rPr>
        <w:br/>
        <w:t xml:space="preserve">2.  zásoby vytvorené vlastnou činnosťou, </w:t>
      </w:r>
      <w:r>
        <w:rPr>
          <w:rFonts w:ascii="Calibri" w:eastAsia="Calibri" w:hAnsi="Calibri" w:cs="Calibri"/>
          <w:color w:val="000000"/>
          <w:sz w:val="20"/>
          <w:szCs w:val="20"/>
        </w:rPr>
        <w:br/>
        <w:t xml:space="preserve">3.  nehmotný majetok vytvorený vlastnou činnosťou, </w:t>
      </w:r>
      <w:r>
        <w:rPr>
          <w:rFonts w:ascii="Calibri" w:eastAsia="Calibri" w:hAnsi="Calibri" w:cs="Calibri"/>
          <w:color w:val="000000"/>
          <w:sz w:val="20"/>
          <w:szCs w:val="20"/>
        </w:rPr>
        <w:br/>
      </w:r>
    </w:p>
    <w:p w14:paraId="09495DC5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Vlastné náklady  vo svojej skutočnej výške, alebo vo výške vlastných nákladov podľa operatívnych (plánových) kalkulácií. </w:t>
      </w:r>
    </w:p>
    <w:p w14:paraId="5E9F0BEE" w14:textId="77777777" w:rsidR="00C42ED2" w:rsidRDefault="00C42ED2">
      <w:pPr>
        <w:rPr>
          <w:rFonts w:ascii="Calibri" w:eastAsia="Calibri" w:hAnsi="Calibri" w:cs="Calibri"/>
          <w:color w:val="000000"/>
          <w:sz w:val="20"/>
          <w:szCs w:val="20"/>
        </w:rPr>
      </w:pPr>
    </w:p>
    <w:p w14:paraId="1699A09A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Vlastné náklady zahŕňajú:</w:t>
      </w:r>
    </w:p>
    <w:p w14:paraId="1EB2E015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▪ priame náklady (priamy materiál, priame mzdy a ostatné priame náklady)  a </w:t>
      </w:r>
    </w:p>
    <w:p w14:paraId="4F4B3894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▪ časť nepriamych nákladov, ktorá sa vzťahuje na výrobu (výrobná réžia). </w:t>
      </w:r>
    </w:p>
    <w:p w14:paraId="13C67364" w14:textId="77777777" w:rsidR="00C42ED2" w:rsidRDefault="00C42ED2">
      <w:pPr>
        <w:rPr>
          <w:rFonts w:ascii="Calibri" w:eastAsia="Calibri" w:hAnsi="Calibri" w:cs="Calibri"/>
          <w:color w:val="000000"/>
          <w:sz w:val="20"/>
          <w:szCs w:val="20"/>
        </w:rPr>
      </w:pPr>
    </w:p>
    <w:p w14:paraId="3F456CD7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56D3FB5" w14:textId="77777777" w:rsidR="00C42ED2" w:rsidRDefault="00C42ED2">
      <w:pPr>
        <w:rPr>
          <w:rFonts w:ascii="Calibri" w:eastAsia="Calibri" w:hAnsi="Calibri" w:cs="Calibri"/>
          <w:color w:val="000000"/>
          <w:sz w:val="20"/>
          <w:szCs w:val="20"/>
        </w:rPr>
      </w:pPr>
    </w:p>
    <w:p w14:paraId="2B31E729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 xml:space="preserve">C) menovitou hodnotou 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br/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1.  peňažné prostriedky a ceniny, </w:t>
      </w:r>
      <w:r>
        <w:rPr>
          <w:rFonts w:ascii="Calibri" w:eastAsia="Calibri" w:hAnsi="Calibri" w:cs="Calibri"/>
          <w:color w:val="000000"/>
          <w:sz w:val="20"/>
          <w:szCs w:val="20"/>
        </w:rPr>
        <w:br/>
        <w:t xml:space="preserve">2.  pohľadávky pri ich vzniku </w:t>
      </w:r>
      <w:r>
        <w:rPr>
          <w:rFonts w:ascii="Calibri" w:eastAsia="Calibri" w:hAnsi="Calibri" w:cs="Calibri"/>
          <w:color w:val="000000"/>
          <w:sz w:val="20"/>
          <w:szCs w:val="20"/>
        </w:rPr>
        <w:br/>
        <w:t xml:space="preserve">3.  záväzky pri ich vzniku, </w:t>
      </w:r>
    </w:p>
    <w:p w14:paraId="347DD2A8" w14:textId="77777777" w:rsidR="00C42ED2" w:rsidRDefault="00C42ED2">
      <w:pPr>
        <w:rPr>
          <w:rFonts w:ascii="Calibri" w:eastAsia="Calibri" w:hAnsi="Calibri" w:cs="Calibri"/>
          <w:color w:val="000000"/>
          <w:sz w:val="20"/>
          <w:szCs w:val="20"/>
        </w:rPr>
      </w:pPr>
    </w:p>
    <w:p w14:paraId="5A074ACD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Menovitou hodnotou je  cena, ktorá je uvedená na peňažných prostriedkoch a ceninách, alebo suma, na ktorú pohľadávka alebo záväzok znie. </w:t>
      </w:r>
    </w:p>
    <w:p w14:paraId="64CD7728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br/>
        <w:t>b) určenie odhadu zníženia hodnoty majetku a tvorba opravnej položky k majetku</w:t>
      </w:r>
    </w:p>
    <w:p w14:paraId="39612DD2" w14:textId="77777777" w:rsidR="00C42ED2" w:rsidRDefault="00C42ED2">
      <w:pPr>
        <w:rPr>
          <w:rFonts w:ascii="Calibri" w:eastAsia="Calibri" w:hAnsi="Calibri" w:cs="Calibri"/>
          <w:color w:val="000000"/>
          <w:sz w:val="20"/>
          <w:szCs w:val="20"/>
        </w:rPr>
      </w:pPr>
    </w:p>
    <w:p w14:paraId="6027A788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jednotka  tvorí opravné položky k pohľadávkam a to ak od splatnosti pohľadávky uplynula doba dlhšia ako :</w:t>
      </w:r>
    </w:p>
    <w:p w14:paraId="6C52E8DE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43BC6C08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▪ 360 dní </w:t>
      </w:r>
      <w:r>
        <w:rPr>
          <w:rFonts w:ascii="Calibri" w:eastAsia="Calibri" w:hAnsi="Calibri" w:cs="Calibri"/>
          <w:color w:val="000000"/>
          <w:sz w:val="20"/>
          <w:szCs w:val="20"/>
        </w:rPr>
        <w:tab/>
        <w:t xml:space="preserve">- 20 % menovitej hodnoty pohľadávky alebo jej nesplatenej časti bez príslušenstva, </w:t>
      </w:r>
      <w:r>
        <w:rPr>
          <w:rFonts w:ascii="Calibri" w:eastAsia="Calibri" w:hAnsi="Calibri" w:cs="Calibri"/>
          <w:color w:val="000000"/>
          <w:sz w:val="20"/>
          <w:szCs w:val="20"/>
        </w:rPr>
        <w:br/>
        <w:t xml:space="preserve">▪ 720 dní </w:t>
      </w:r>
      <w:r>
        <w:rPr>
          <w:rFonts w:ascii="Calibri" w:eastAsia="Calibri" w:hAnsi="Calibri" w:cs="Calibri"/>
          <w:color w:val="000000"/>
          <w:sz w:val="20"/>
          <w:szCs w:val="20"/>
        </w:rPr>
        <w:tab/>
        <w:t xml:space="preserve">-  50 % menovitej hodnoty pohľadávky alebo jej nesplatenej časti bez príslušenstva, </w:t>
      </w:r>
      <w:r>
        <w:rPr>
          <w:rFonts w:ascii="Calibri" w:eastAsia="Calibri" w:hAnsi="Calibri" w:cs="Calibri"/>
          <w:color w:val="000000"/>
          <w:sz w:val="20"/>
          <w:szCs w:val="20"/>
        </w:rPr>
        <w:br/>
        <w:t>▪ 1 080 dní</w:t>
      </w:r>
      <w:r>
        <w:rPr>
          <w:rFonts w:ascii="Calibri" w:eastAsia="Calibri" w:hAnsi="Calibri" w:cs="Calibri"/>
          <w:color w:val="000000"/>
          <w:sz w:val="20"/>
          <w:szCs w:val="20"/>
        </w:rPr>
        <w:tab/>
        <w:t>-  100 % menovitej hodnoty pohľadávky alebo jej nesplatenej časti bez príslušenstva.</w:t>
      </w:r>
    </w:p>
    <w:p w14:paraId="2E895197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jc w:val="both"/>
        <w:rPr>
          <w:rFonts w:ascii="Calibri" w:eastAsia="Calibri" w:hAnsi="Calibri" w:cs="Calibri"/>
          <w:color w:val="000000"/>
          <w:sz w:val="20"/>
          <w:szCs w:val="20"/>
        </w:rPr>
      </w:pPr>
    </w:p>
    <w:p w14:paraId="650BC9CC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Opravné položky sa zrušia alebo sa zmení ich výška, ak nastane zmena predpokladu zníženia ich hodnoty. </w:t>
      </w:r>
    </w:p>
    <w:p w14:paraId="10497CF1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6E4AD741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c) určenie ocenenia záväzkov, stanovenie odhadu ocenenia rezerv</w:t>
      </w:r>
    </w:p>
    <w:p w14:paraId="4830D12C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13D568DE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7D24C4FE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06A634E5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d) časové rozlíšenie aktív a pasív</w:t>
      </w:r>
    </w:p>
    <w:p w14:paraId="3147E8F8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</w:p>
    <w:p w14:paraId="2EC13947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Časové rozlíšenia aktív a pasív sa oceňujú (vykazujú) vo výške, ktorá je potrebná na dodržanie zásady vecnej a časovej súvislosti s účtovným obdobím. Náklady na prelome účtovných období (december b.r .- január nasledujúceho roka) sa účtujú do toho obdobia, v ktorom je vystavený daňový doklad.</w:t>
      </w:r>
    </w:p>
    <w:p w14:paraId="45BF21B3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trike/>
          <w:color w:val="000000"/>
          <w:sz w:val="20"/>
          <w:szCs w:val="20"/>
          <w:highlight w:val="yellow"/>
        </w:rPr>
      </w:pPr>
    </w:p>
    <w:p w14:paraId="507C9FC0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e) tvorba odpisového plánu pre dlhodobý majetok, pričom sa uvádza doba odpisovania, sadzby odpisov a odpisové metódy pre účtovné odpisy, </w:t>
      </w:r>
    </w:p>
    <w:p w14:paraId="58096CC7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7C9EFAF0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Odpisovať sa začína v mesiaci uvedenia dlhodobého majetku do používania. Dlhodobý hmotný majetok pri zaradení do používania účtovná jednotka zatriedi do odpisových skupín, zvolí metódu odpisovania a priradí ročnú odpisovú sadzbu. Metódu odpisovania nemení počas celej doby odpisovania.</w:t>
      </w:r>
    </w:p>
    <w:p w14:paraId="7A0DB18F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7A61BC33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Dlhodobý nehmotný majetok - účtovná jednotka eviduje v tomto druhu majetku len softvér. Pre softvér si stanovila účtovná jednotka dobu odpisovania 4 roky. Dlhodobý nehmotný majetok, ktorého obstarávacia cena (resp. vlastné náklady) je 2 400 EUR a nižšia, sa odpisuje jednorazovo pri uvedení do používania - účtuje sa na účet 518. </w:t>
      </w:r>
    </w:p>
    <w:p w14:paraId="127DD71B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00B1F3EA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lastRenderedPageBreak/>
        <w:t xml:space="preserve">Drobný dlhodobý hmotný majetok, ktorého obstarávacia cena (resp. vlastné náklady) je 1 700 EUR a nižšia, sa odpisuje jednorazovo pri uvedení do používania - účtuje sa na účet 501. Pozemky sa neodpisujú. </w:t>
      </w:r>
    </w:p>
    <w:p w14:paraId="45E707F6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</w:p>
    <w:p w14:paraId="4B294BCC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Predpokladaná doba používania, metóda odpisovania a odpisová sadzba sú uvedené v nasledujúcej tabuľke:</w:t>
      </w:r>
    </w:p>
    <w:p w14:paraId="0A4DB7D7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</w:p>
    <w:tbl>
      <w:tblPr>
        <w:tblStyle w:val="a2"/>
        <w:tblW w:w="9393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962"/>
        <w:gridCol w:w="2143"/>
        <w:gridCol w:w="2145"/>
        <w:gridCol w:w="2143"/>
      </w:tblGrid>
      <w:tr w:rsidR="00C42ED2" w14:paraId="6E7E448A" w14:textId="77777777">
        <w:trPr>
          <w:trHeight w:val="162"/>
        </w:trPr>
        <w:tc>
          <w:tcPr>
            <w:tcW w:w="2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629267B4" w14:textId="77777777" w:rsidR="00C42ED2" w:rsidRDefault="00C42ED2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25A151DD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2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38CE4D39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21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bottom"/>
          </w:tcPr>
          <w:p w14:paraId="5D75578D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2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79AC9FE0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Odpisová metóda</w:t>
            </w:r>
          </w:p>
        </w:tc>
      </w:tr>
      <w:tr w:rsidR="00C42ED2" w14:paraId="71BC9581" w14:textId="77777777">
        <w:trPr>
          <w:trHeight w:val="154"/>
        </w:trPr>
        <w:tc>
          <w:tcPr>
            <w:tcW w:w="296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D185F2F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08946C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20, 40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32C0F0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2,5 - 5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D207886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lineárna</w:t>
            </w:r>
          </w:p>
        </w:tc>
      </w:tr>
      <w:tr w:rsidR="00C42ED2" w14:paraId="552705E8" w14:textId="77777777">
        <w:trPr>
          <w:trHeight w:val="154"/>
        </w:trPr>
        <w:tc>
          <w:tcPr>
            <w:tcW w:w="296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AC06B20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Stroje, prístroje a zariadenia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DA8ECD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4 - 12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5A5490E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7,7 – 25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0F07E37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lineárna</w:t>
            </w:r>
          </w:p>
        </w:tc>
      </w:tr>
      <w:tr w:rsidR="00C42ED2" w14:paraId="2EF3E9F9" w14:textId="77777777">
        <w:trPr>
          <w:trHeight w:val="154"/>
        </w:trPr>
        <w:tc>
          <w:tcPr>
            <w:tcW w:w="296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1A6DEC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Dopravné prostriedky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1F7CC00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660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  4 – 6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5A10F6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16,6 - 25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C499C08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Lineárna a degresívna</w:t>
            </w:r>
          </w:p>
        </w:tc>
      </w:tr>
      <w:tr w:rsidR="00C42ED2" w14:paraId="2FEDF75D" w14:textId="77777777">
        <w:trPr>
          <w:trHeight w:val="154"/>
        </w:trPr>
        <w:tc>
          <w:tcPr>
            <w:tcW w:w="296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E63D417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Drobný hmotný majetok dlhodobý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CC6001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rôzna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98BE48C" w14:textId="77777777" w:rsidR="00C42ED2" w:rsidRDefault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6CBB50F" w14:textId="77777777" w:rsidR="00C42ED2" w:rsidRDefault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Jednorazový odpis</w:t>
            </w:r>
          </w:p>
        </w:tc>
      </w:tr>
    </w:tbl>
    <w:p w14:paraId="57376860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03AC108F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f) informácia o poskytnutých dotáciách a  dotáciách na obstaranie majetku </w:t>
      </w:r>
    </w:p>
    <w:p w14:paraId="7B03DDB7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5E5DB648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Účtovná jednotka neprijala žiadne dotácie. </w:t>
      </w:r>
    </w:p>
    <w:p w14:paraId="4C26CB49" w14:textId="77777777" w:rsidR="00C42ED2" w:rsidRDefault="00C42ED2">
      <w:pPr>
        <w:ind w:left="720" w:right="-468"/>
        <w:rPr>
          <w:rFonts w:ascii="Calibri" w:eastAsia="Calibri" w:hAnsi="Calibri" w:cs="Calibri"/>
          <w:color w:val="000000"/>
          <w:sz w:val="20"/>
          <w:szCs w:val="20"/>
        </w:rPr>
      </w:pPr>
    </w:p>
    <w:p w14:paraId="07519547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 (5) Informácie o oprave významných chýb minulých účtovných období účtovaných v bežnom účtovnom období </w:t>
      </w:r>
    </w:p>
    <w:p w14:paraId="5FD86B87" w14:textId="77777777" w:rsidR="00C42ED2" w:rsidRDefault="00C42ED2">
      <w:pPr>
        <w:ind w:left="-142" w:right="-468"/>
        <w:rPr>
          <w:rFonts w:ascii="Calibri" w:eastAsia="Calibri" w:hAnsi="Calibri" w:cs="Calibri"/>
          <w:color w:val="000000"/>
          <w:sz w:val="20"/>
          <w:szCs w:val="20"/>
        </w:rPr>
      </w:pPr>
    </w:p>
    <w:p w14:paraId="0CA216BA" w14:textId="119800A2" w:rsidR="00C42ED2" w:rsidRDefault="006717FD">
      <w:pPr>
        <w:ind w:left="-142" w:right="-468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V účtovnom období 20</w:t>
      </w:r>
      <w:r w:rsidR="0035699B">
        <w:rPr>
          <w:rFonts w:ascii="Calibri" w:eastAsia="Calibri" w:hAnsi="Calibri" w:cs="Calibri"/>
          <w:color w:val="000000"/>
          <w:sz w:val="20"/>
          <w:szCs w:val="20"/>
        </w:rPr>
        <w:t>2</w:t>
      </w:r>
      <w:r w:rsidR="00954306">
        <w:rPr>
          <w:rFonts w:ascii="Calibri" w:eastAsia="Calibri" w:hAnsi="Calibri" w:cs="Calibri"/>
          <w:color w:val="000000"/>
          <w:sz w:val="20"/>
          <w:szCs w:val="20"/>
        </w:rPr>
        <w:t>5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 Účtovná jednotka nevykonala žiadne opravy významných chýb minulých účtovných období. </w:t>
      </w:r>
    </w:p>
    <w:p w14:paraId="414E9AA3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7F8F3A79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34C33D4D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(6) Informácia o štruktúre tržieb zahrnutých do čistého obratu (§2 ods. 15 zákona o účtovníctve)</w:t>
      </w:r>
    </w:p>
    <w:p w14:paraId="41138ADD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tbl>
      <w:tblPr>
        <w:tblStyle w:val="a3"/>
        <w:tblW w:w="929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336"/>
        <w:gridCol w:w="2127"/>
        <w:gridCol w:w="1835"/>
      </w:tblGrid>
      <w:tr w:rsidR="00C42ED2" w14:paraId="749C14EA" w14:textId="77777777">
        <w:trPr>
          <w:trHeight w:val="799"/>
        </w:trPr>
        <w:tc>
          <w:tcPr>
            <w:tcW w:w="5336" w:type="dxa"/>
            <w:vAlign w:val="center"/>
          </w:tcPr>
          <w:p w14:paraId="25C31C99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Názov položky</w:t>
            </w:r>
          </w:p>
        </w:tc>
        <w:tc>
          <w:tcPr>
            <w:tcW w:w="2127" w:type="dxa"/>
            <w:vAlign w:val="center"/>
          </w:tcPr>
          <w:p w14:paraId="492CEB07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835" w:type="dxa"/>
            <w:vAlign w:val="center"/>
          </w:tcPr>
          <w:p w14:paraId="5B415664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6717FD" w14:paraId="05067C7F" w14:textId="77777777">
        <w:trPr>
          <w:trHeight w:val="292"/>
        </w:trPr>
        <w:tc>
          <w:tcPr>
            <w:tcW w:w="5336" w:type="dxa"/>
            <w:vAlign w:val="center"/>
          </w:tcPr>
          <w:p w14:paraId="22DB4600" w14:textId="77777777" w:rsidR="006717FD" w:rsidRDefault="006717FD" w:rsidP="006717FD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Tržby z predaja služieb</w:t>
            </w:r>
          </w:p>
        </w:tc>
        <w:tc>
          <w:tcPr>
            <w:tcW w:w="2127" w:type="dxa"/>
            <w:vAlign w:val="center"/>
          </w:tcPr>
          <w:p w14:paraId="5119448B" w14:textId="7918583E" w:rsidR="006717FD" w:rsidRDefault="00954306" w:rsidP="006717FD">
            <w:pPr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413 907</w:t>
            </w:r>
          </w:p>
        </w:tc>
        <w:tc>
          <w:tcPr>
            <w:tcW w:w="1835" w:type="dxa"/>
            <w:vAlign w:val="center"/>
          </w:tcPr>
          <w:p w14:paraId="51675A78" w14:textId="7ABA3B43" w:rsidR="006717FD" w:rsidRDefault="00954306" w:rsidP="006717FD">
            <w:pPr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419 546</w:t>
            </w:r>
          </w:p>
        </w:tc>
      </w:tr>
      <w:tr w:rsidR="006717FD" w14:paraId="20CBB599" w14:textId="77777777">
        <w:trPr>
          <w:trHeight w:val="292"/>
        </w:trPr>
        <w:tc>
          <w:tcPr>
            <w:tcW w:w="5336" w:type="dxa"/>
            <w:vAlign w:val="center"/>
          </w:tcPr>
          <w:p w14:paraId="64E2D1E0" w14:textId="77777777" w:rsidR="006717FD" w:rsidRDefault="006717FD" w:rsidP="006717FD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Tržby z predaja tovaru</w:t>
            </w:r>
          </w:p>
        </w:tc>
        <w:tc>
          <w:tcPr>
            <w:tcW w:w="2127" w:type="dxa"/>
            <w:vAlign w:val="center"/>
          </w:tcPr>
          <w:p w14:paraId="6C9A71FD" w14:textId="5E869C57" w:rsidR="006717FD" w:rsidRDefault="00954306" w:rsidP="00954306">
            <w:pPr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1 753 533</w:t>
            </w:r>
          </w:p>
        </w:tc>
        <w:tc>
          <w:tcPr>
            <w:tcW w:w="1835" w:type="dxa"/>
            <w:vAlign w:val="center"/>
          </w:tcPr>
          <w:p w14:paraId="7C13DB29" w14:textId="322064CA" w:rsidR="006717FD" w:rsidRDefault="00954306" w:rsidP="006717FD">
            <w:pPr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1 453 506</w:t>
            </w:r>
          </w:p>
        </w:tc>
      </w:tr>
      <w:tr w:rsidR="006717FD" w14:paraId="4B9589C4" w14:textId="77777777">
        <w:trPr>
          <w:trHeight w:val="292"/>
        </w:trPr>
        <w:tc>
          <w:tcPr>
            <w:tcW w:w="5336" w:type="dxa"/>
            <w:vAlign w:val="center"/>
          </w:tcPr>
          <w:p w14:paraId="4202723E" w14:textId="77777777" w:rsidR="006717FD" w:rsidRDefault="006717FD" w:rsidP="006717FD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Čistý obrat </w:t>
            </w:r>
          </w:p>
        </w:tc>
        <w:tc>
          <w:tcPr>
            <w:tcW w:w="2127" w:type="dxa"/>
            <w:vAlign w:val="center"/>
          </w:tcPr>
          <w:p w14:paraId="72E58F2F" w14:textId="48C18BAC" w:rsidR="006717FD" w:rsidRDefault="00954306" w:rsidP="006717FD">
            <w:pPr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2 169 342</w:t>
            </w:r>
          </w:p>
        </w:tc>
        <w:tc>
          <w:tcPr>
            <w:tcW w:w="1835" w:type="dxa"/>
            <w:vAlign w:val="center"/>
          </w:tcPr>
          <w:p w14:paraId="6BB2F608" w14:textId="61163839" w:rsidR="006717FD" w:rsidRDefault="00954306" w:rsidP="006717FD">
            <w:pPr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1 896 852</w:t>
            </w:r>
          </w:p>
        </w:tc>
      </w:tr>
    </w:tbl>
    <w:p w14:paraId="42D2FD98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33577E72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3E9AA72B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4E0BE899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Čl. IV</w:t>
      </w:r>
    </w:p>
    <w:p w14:paraId="39E71677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Informácie, ktoré vysvetľujú a dopĺňajú súvahu a výkaz ziskov a strát</w:t>
      </w:r>
    </w:p>
    <w:p w14:paraId="7155A7BF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</w:p>
    <w:p w14:paraId="7E114664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</w:p>
    <w:p w14:paraId="77C65BD7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(1) Účtovná jednotka neúčtovala o goodwille v bežnom účtovnom období ani v minulých účtovných obdobiach.</w:t>
      </w:r>
    </w:p>
    <w:p w14:paraId="0FBE4E81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12D66709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463B7247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(2) Informácie o významných položkách majetku a záväzkoch zabezpečených derivátmi</w:t>
      </w:r>
    </w:p>
    <w:p w14:paraId="719BD57F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025A62D3" w14:textId="77777777" w:rsidR="00C42ED2" w:rsidRDefault="006717FD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Účtovná jednotka nemá majetok ani záväzky zabezpečené derivátmi. V účtovnom období 2019 účtovná jednotka nevykonala žiadne derivátové operácie. </w:t>
      </w:r>
    </w:p>
    <w:p w14:paraId="608DEB87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3F9180B3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4C0317A9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(3) Informácie o záväzkoch  </w:t>
      </w:r>
    </w:p>
    <w:p w14:paraId="2DAF96EC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443D9E1F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jednotka nemá záväzky s dobou splatnosti dlhšou ako päť rokov. V účtovnej závierke vykázané dlhodobé záväzky sú len záväzky zo sociálneho fondu a z odloženej dani z príjmov.</w:t>
      </w:r>
    </w:p>
    <w:p w14:paraId="0AE7E28F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7CEB2C83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65179001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53FC5E4A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13BA1441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64A7AD25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a)  Informácie o štruktúre záväzkov podľa zostatkovej doby splatnosti </w:t>
      </w:r>
    </w:p>
    <w:tbl>
      <w:tblPr>
        <w:tblStyle w:val="a4"/>
        <w:tblW w:w="909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77"/>
        <w:gridCol w:w="2861"/>
        <w:gridCol w:w="2555"/>
      </w:tblGrid>
      <w:tr w:rsidR="00C42ED2" w14:paraId="5EE23A5C" w14:textId="77777777">
        <w:trPr>
          <w:trHeight w:val="595"/>
          <w:jc w:val="center"/>
        </w:trPr>
        <w:tc>
          <w:tcPr>
            <w:tcW w:w="3677" w:type="dxa"/>
            <w:vAlign w:val="center"/>
          </w:tcPr>
          <w:p w14:paraId="0FAA52BD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861" w:type="dxa"/>
            <w:vAlign w:val="center"/>
          </w:tcPr>
          <w:p w14:paraId="1434DE86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555" w:type="dxa"/>
            <w:vAlign w:val="center"/>
          </w:tcPr>
          <w:p w14:paraId="4B49878E" w14:textId="77777777" w:rsidR="00C42ED2" w:rsidRDefault="006717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717FD" w14:paraId="63D6E951" w14:textId="77777777">
        <w:trPr>
          <w:trHeight w:val="381"/>
          <w:jc w:val="center"/>
        </w:trPr>
        <w:tc>
          <w:tcPr>
            <w:tcW w:w="3677" w:type="dxa"/>
            <w:vAlign w:val="center"/>
          </w:tcPr>
          <w:p w14:paraId="27E5CB37" w14:textId="77777777" w:rsidR="006717FD" w:rsidRDefault="006717FD" w:rsidP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2861" w:type="dxa"/>
            <w:vAlign w:val="center"/>
          </w:tcPr>
          <w:p w14:paraId="35B1D71F" w14:textId="2010990C" w:rsidR="006717FD" w:rsidRDefault="00954306" w:rsidP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627 598</w:t>
            </w:r>
          </w:p>
        </w:tc>
        <w:tc>
          <w:tcPr>
            <w:tcW w:w="2555" w:type="dxa"/>
            <w:vAlign w:val="center"/>
          </w:tcPr>
          <w:p w14:paraId="02968773" w14:textId="46E0902C" w:rsidR="006717FD" w:rsidRDefault="000049CB" w:rsidP="006717FD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50</w:t>
            </w:r>
            <w:r w:rsidR="00954306">
              <w:rPr>
                <w:rFonts w:ascii="Calibri" w:eastAsia="Calibri" w:hAnsi="Calibri" w:cs="Calibri"/>
                <w:sz w:val="20"/>
                <w:szCs w:val="20"/>
              </w:rPr>
              <w:t>8 671</w:t>
            </w:r>
          </w:p>
        </w:tc>
      </w:tr>
      <w:tr w:rsidR="006717FD" w14:paraId="06999FCF" w14:textId="77777777">
        <w:trPr>
          <w:trHeight w:val="544"/>
          <w:jc w:val="center"/>
        </w:trPr>
        <w:tc>
          <w:tcPr>
            <w:tcW w:w="3677" w:type="dxa"/>
            <w:vAlign w:val="center"/>
          </w:tcPr>
          <w:p w14:paraId="46C1BE84" w14:textId="77777777" w:rsidR="006717FD" w:rsidRDefault="006717FD" w:rsidP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861" w:type="dxa"/>
            <w:vAlign w:val="center"/>
          </w:tcPr>
          <w:p w14:paraId="11B6A2A0" w14:textId="5F8ACB68" w:rsidR="006717FD" w:rsidRDefault="00954306" w:rsidP="006717FD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627 598</w:t>
            </w:r>
          </w:p>
        </w:tc>
        <w:tc>
          <w:tcPr>
            <w:tcW w:w="2555" w:type="dxa"/>
            <w:vAlign w:val="center"/>
          </w:tcPr>
          <w:p w14:paraId="26899158" w14:textId="28D9BA04" w:rsidR="006717FD" w:rsidRDefault="000049CB" w:rsidP="006717FD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50</w:t>
            </w:r>
            <w:r w:rsidR="00954306">
              <w:rPr>
                <w:rFonts w:ascii="Calibri" w:eastAsia="Calibri" w:hAnsi="Calibri" w:cs="Calibri"/>
                <w:sz w:val="20"/>
                <w:szCs w:val="20"/>
              </w:rPr>
              <w:t>8 671</w:t>
            </w:r>
          </w:p>
        </w:tc>
      </w:tr>
      <w:tr w:rsidR="006717FD" w14:paraId="12DD906A" w14:textId="77777777">
        <w:trPr>
          <w:trHeight w:val="381"/>
          <w:jc w:val="center"/>
        </w:trPr>
        <w:tc>
          <w:tcPr>
            <w:tcW w:w="3677" w:type="dxa"/>
            <w:vAlign w:val="center"/>
          </w:tcPr>
          <w:p w14:paraId="4E947C93" w14:textId="77777777" w:rsidR="006717FD" w:rsidRDefault="006717FD" w:rsidP="006717F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2861" w:type="dxa"/>
            <w:vAlign w:val="center"/>
          </w:tcPr>
          <w:p w14:paraId="317BEBF8" w14:textId="77777777" w:rsidR="006717FD" w:rsidRDefault="006717FD" w:rsidP="006717FD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0</w:t>
            </w:r>
          </w:p>
        </w:tc>
        <w:tc>
          <w:tcPr>
            <w:tcW w:w="2555" w:type="dxa"/>
            <w:vAlign w:val="center"/>
          </w:tcPr>
          <w:p w14:paraId="7A185764" w14:textId="1AEE8516" w:rsidR="006717FD" w:rsidRDefault="006717FD" w:rsidP="006717FD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0</w:t>
            </w:r>
          </w:p>
        </w:tc>
      </w:tr>
    </w:tbl>
    <w:p w14:paraId="58F9FA5D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0906A30C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b) Informácie o záväzkoch s obmedzeným právom  nakladania</w:t>
      </w:r>
    </w:p>
    <w:p w14:paraId="5EA9ADFE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2E84D0AD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jednotka nemá záväzky s obmedzeným právom nakladania.</w:t>
      </w:r>
    </w:p>
    <w:p w14:paraId="384649CD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7B8A05DA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790F67DD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(4) Účtovná jednotka neúčtovala o vlastných podieloch.</w:t>
      </w:r>
    </w:p>
    <w:p w14:paraId="5F108A3C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189410DE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(5) Informácie k vlastnému imaniu</w:t>
      </w:r>
    </w:p>
    <w:p w14:paraId="0357CBCD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4"/>
        <w:rPr>
          <w:rFonts w:ascii="Calibri" w:eastAsia="Calibri" w:hAnsi="Calibri" w:cs="Calibri"/>
          <w:color w:val="000000"/>
          <w:sz w:val="20"/>
          <w:szCs w:val="20"/>
        </w:rPr>
      </w:pPr>
    </w:p>
    <w:p w14:paraId="5A321EF5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4"/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jednotka netvorila kapitálový fond z príspevkov podľa § 123 ods. 2  a § 217a Obchodného zákonníka v znení neskorších predpisov.</w:t>
      </w:r>
    </w:p>
    <w:p w14:paraId="4FDA92A4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0F387E2A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054CC9E8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(6) Účtovná jednotka v sledovanom období neúčtovala o nákladoch alebo výnosoch, ktoré majú výnimočný rozsah alebo výskyt (predaj podniku, živelné pohromy a podobne).</w:t>
      </w:r>
    </w:p>
    <w:p w14:paraId="6DEA890B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FF0000"/>
          <w:sz w:val="20"/>
          <w:szCs w:val="20"/>
        </w:rPr>
      </w:pPr>
    </w:p>
    <w:p w14:paraId="59985AF0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44E5916A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36085C63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Čl. V</w:t>
      </w:r>
    </w:p>
    <w:p w14:paraId="79CD0360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Informácie o iných aktívach a iných pasívach</w:t>
      </w:r>
    </w:p>
    <w:p w14:paraId="490769AB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</w:p>
    <w:p w14:paraId="3C6D9F43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7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(1) Informácie o iných aktívach a iných pasívach: </w:t>
      </w:r>
    </w:p>
    <w:p w14:paraId="54839485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7"/>
        <w:rPr>
          <w:rFonts w:ascii="Calibri" w:eastAsia="Calibri" w:hAnsi="Calibri" w:cs="Calibri"/>
          <w:color w:val="000000"/>
          <w:sz w:val="20"/>
          <w:szCs w:val="20"/>
        </w:rPr>
      </w:pPr>
    </w:p>
    <w:p w14:paraId="56E5A195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7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a) Informácie o podmienenom majetku</w:t>
      </w:r>
    </w:p>
    <w:p w14:paraId="4274C737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7"/>
        <w:rPr>
          <w:rFonts w:ascii="Calibri" w:eastAsia="Calibri" w:hAnsi="Calibri" w:cs="Calibri"/>
          <w:color w:val="000000"/>
          <w:sz w:val="20"/>
          <w:szCs w:val="20"/>
        </w:rPr>
      </w:pPr>
    </w:p>
    <w:p w14:paraId="150B6D03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7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jednotka nemá vedomosť o  žiadnom podmienenom majetok, ktorý sa nevykazujú v súvahe.</w:t>
      </w:r>
    </w:p>
    <w:p w14:paraId="7261D25F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7"/>
        <w:rPr>
          <w:rFonts w:ascii="Calibri" w:eastAsia="Calibri" w:hAnsi="Calibri" w:cs="Calibri"/>
          <w:color w:val="000000"/>
          <w:sz w:val="20"/>
          <w:szCs w:val="20"/>
        </w:rPr>
      </w:pPr>
    </w:p>
    <w:p w14:paraId="2DD06EE3" w14:textId="77777777" w:rsidR="00C42ED2" w:rsidRDefault="006717FD">
      <w:pPr>
        <w:pStyle w:val="Nzov"/>
        <w:keepNext w:val="0"/>
        <w:widowControl w:val="0"/>
        <w:spacing w:before="0" w:after="0"/>
        <w:jc w:val="left"/>
        <w:rPr>
          <w:rFonts w:ascii="Calibri" w:eastAsia="Calibri" w:hAnsi="Calibri" w:cs="Calibri"/>
          <w:b w:val="0"/>
          <w:color w:val="000000"/>
          <w:sz w:val="20"/>
          <w:szCs w:val="20"/>
        </w:rPr>
      </w:pPr>
      <w:r>
        <w:rPr>
          <w:rFonts w:ascii="Calibri" w:eastAsia="Calibri" w:hAnsi="Calibri" w:cs="Calibri"/>
          <w:b w:val="0"/>
          <w:color w:val="000000"/>
          <w:sz w:val="20"/>
          <w:szCs w:val="20"/>
        </w:rPr>
        <w:t>b) Informácie o podmienených záväzkoch</w:t>
      </w:r>
    </w:p>
    <w:p w14:paraId="303AD55B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7"/>
        <w:rPr>
          <w:rFonts w:ascii="Calibri" w:eastAsia="Calibri" w:hAnsi="Calibri" w:cs="Calibri"/>
          <w:color w:val="000000"/>
          <w:sz w:val="20"/>
          <w:szCs w:val="20"/>
        </w:rPr>
      </w:pPr>
    </w:p>
    <w:p w14:paraId="5C17C432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spacing w:after="17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jednotka nemá vedomosť o žiadnych podmienených záväzkoch spoločnosti.</w:t>
      </w:r>
    </w:p>
    <w:p w14:paraId="16CE9E97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spacing w:after="17"/>
        <w:rPr>
          <w:rFonts w:ascii="Calibri" w:eastAsia="Calibri" w:hAnsi="Calibri" w:cs="Calibri"/>
          <w:color w:val="000000"/>
          <w:sz w:val="20"/>
          <w:szCs w:val="20"/>
        </w:rPr>
      </w:pPr>
    </w:p>
    <w:p w14:paraId="0FA6B3F7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 (2) Informácia o ostatných finančných povinnostiach, ktoré sa nevykazujú v účtovných výkazoch </w:t>
      </w:r>
    </w:p>
    <w:p w14:paraId="0952CB8C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485771E8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jednotka nemá vedomosť o žiadnych finančných povinnostiach, ktoré sa nevykazujú v účtovnej závierke.</w:t>
      </w:r>
    </w:p>
    <w:p w14:paraId="5DB9A606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36231EBB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0"/>
          <w:szCs w:val="20"/>
        </w:rPr>
      </w:pPr>
    </w:p>
    <w:p w14:paraId="7C5EAAA5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(3) Informácie ku skutočnostiam sledovaným na podsúvahových účtoch  </w:t>
      </w:r>
    </w:p>
    <w:p w14:paraId="56C57D6B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716946E9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Účtovná jednotka nemá žiadny majetok, ktorý by evidovala na podsúvahových účtoch.</w:t>
      </w:r>
    </w:p>
    <w:p w14:paraId="6ED25F10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</w:p>
    <w:p w14:paraId="1795E3EC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6C5598FE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Čl. VI</w:t>
      </w:r>
    </w:p>
    <w:p w14:paraId="2ADB3452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b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Udalosti, ktoré nastali po dni, ku ktorému sa zostavuje účtovná závierka</w:t>
      </w:r>
    </w:p>
    <w:p w14:paraId="367304EE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libri" w:eastAsia="Calibri" w:hAnsi="Calibri" w:cs="Calibri"/>
          <w:color w:val="000000"/>
          <w:sz w:val="20"/>
          <w:szCs w:val="20"/>
        </w:rPr>
      </w:pPr>
    </w:p>
    <w:p w14:paraId="759101D0" w14:textId="6A1F1F34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V súvislosti so stále pretrvávajúcou mimoriadnou situáciou vo svete vyvolanou </w:t>
      </w:r>
      <w:r w:rsidR="003E5B7B">
        <w:rPr>
          <w:rFonts w:ascii="Calibri" w:eastAsia="Calibri" w:hAnsi="Calibri" w:cs="Calibri"/>
          <w:color w:val="000000"/>
          <w:sz w:val="20"/>
          <w:szCs w:val="20"/>
        </w:rPr>
        <w:t>vojnou na Ukrajine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 vedenie Spoločnosti prehodnotilo všetky informácie súvisiace </w:t>
      </w:r>
      <w:r w:rsidR="003E5B7B">
        <w:rPr>
          <w:rFonts w:ascii="Calibri" w:eastAsia="Calibri" w:hAnsi="Calibri" w:cs="Calibri"/>
          <w:color w:val="000000"/>
          <w:sz w:val="20"/>
          <w:szCs w:val="20"/>
        </w:rPr>
        <w:t>s vojnou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, ktoré boli k dispozícii ku dňu zostavenia tejto účtovnej závierky. </w:t>
      </w:r>
    </w:p>
    <w:p w14:paraId="56FF8338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</w:p>
    <w:p w14:paraId="2359E286" w14:textId="47E4BE70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V roku 202</w:t>
      </w:r>
      <w:r w:rsidR="000049CB">
        <w:rPr>
          <w:rFonts w:ascii="Calibri" w:eastAsia="Calibri" w:hAnsi="Calibri" w:cs="Calibri"/>
          <w:sz w:val="20"/>
          <w:szCs w:val="20"/>
        </w:rPr>
        <w:t>5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 vedenie Spoločnosti očakáva mierny zisk, no dosiahnutie tohto cieľa bude zásadne ovplyvnené ďalším vývojom situácie s </w:t>
      </w:r>
      <w:r w:rsidR="003E5B7B">
        <w:rPr>
          <w:rFonts w:ascii="Calibri" w:eastAsia="Calibri" w:hAnsi="Calibri" w:cs="Calibri"/>
          <w:color w:val="000000"/>
          <w:sz w:val="20"/>
          <w:szCs w:val="20"/>
        </w:rPr>
        <w:t>vojnou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 v európskom a aj globálnom rozsahu, rozsahom prijímaných vládnych opatrení na Slovensku, dĺžkou trvania </w:t>
      </w:r>
      <w:r w:rsidR="003E5B7B">
        <w:rPr>
          <w:rFonts w:ascii="Calibri" w:eastAsia="Calibri" w:hAnsi="Calibri" w:cs="Calibri"/>
          <w:color w:val="000000"/>
          <w:sz w:val="20"/>
          <w:szCs w:val="20"/>
        </w:rPr>
        <w:t>vojny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 a s tým súvisiacim </w:t>
      </w:r>
      <w:r w:rsidR="003E5B7B">
        <w:rPr>
          <w:rFonts w:ascii="Calibri" w:eastAsia="Calibri" w:hAnsi="Calibri" w:cs="Calibri"/>
          <w:color w:val="000000"/>
          <w:sz w:val="20"/>
          <w:szCs w:val="20"/>
        </w:rPr>
        <w:t>zdražovaním</w:t>
      </w:r>
      <w:r w:rsidR="009076B2">
        <w:rPr>
          <w:rFonts w:ascii="Calibri" w:eastAsia="Calibri" w:hAnsi="Calibri" w:cs="Calibri"/>
          <w:color w:val="000000"/>
          <w:sz w:val="20"/>
          <w:szCs w:val="20"/>
        </w:rPr>
        <w:t xml:space="preserve"> materiálov a energií. </w:t>
      </w:r>
    </w:p>
    <w:p w14:paraId="4A53E6BA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</w:p>
    <w:p w14:paraId="0FC74251" w14:textId="77777777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Nakoľko sa situácia stále vyvíja, vedenie Spoločnosti nedokáže poskytnúť kvantitatívne odhady potenciálneho vplyvu súčasnej situácie na finančnú situáciu a prevádzkovú činnosť Spoločnosti, avšak v závislosti od ďalšieho vývoja situácie, dopady by nemali byť významné. Manažment bude pokračovať v monitorovaní potenciálneho dopadu a podnikne všetky možné kroky na zmiernenie akýchkoľvek negatívnych účinkov na Spoločnosť a jej zamestnancov.</w:t>
      </w:r>
    </w:p>
    <w:p w14:paraId="6A47E19C" w14:textId="77777777" w:rsidR="00C42ED2" w:rsidRDefault="00C42E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</w:p>
    <w:p w14:paraId="62A702C0" w14:textId="277A9138" w:rsidR="00C42ED2" w:rsidRDefault="006717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>Okrem vyššie uvedeného po 31. decembri 202</w:t>
      </w:r>
      <w:r w:rsidR="00954306">
        <w:rPr>
          <w:rFonts w:ascii="Calibri" w:eastAsia="Calibri" w:hAnsi="Calibri" w:cs="Calibri"/>
          <w:sz w:val="20"/>
          <w:szCs w:val="20"/>
        </w:rPr>
        <w:t>5</w:t>
      </w:r>
      <w:r w:rsidR="003E5B7B"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do dňa zostavenia účtovnej závierky spoločnosti nenastali také udalosti, ktoré by si vyžadovali zverejnenie alebo vykázanie v účtovnej závierke za rok 202</w:t>
      </w:r>
      <w:r w:rsidR="00954306">
        <w:rPr>
          <w:rFonts w:ascii="Calibri" w:eastAsia="Calibri" w:hAnsi="Calibri" w:cs="Calibri"/>
          <w:color w:val="000000"/>
          <w:sz w:val="20"/>
          <w:szCs w:val="20"/>
        </w:rPr>
        <w:t>5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.  </w:t>
      </w:r>
    </w:p>
    <w:p w14:paraId="3C215ADD" w14:textId="77777777" w:rsidR="00C42ED2" w:rsidRDefault="00C42ED2">
      <w:pPr>
        <w:rPr>
          <w:rFonts w:ascii="Calibri" w:eastAsia="Calibri" w:hAnsi="Calibri" w:cs="Calibri"/>
          <w:color w:val="000000"/>
          <w:sz w:val="20"/>
          <w:szCs w:val="20"/>
        </w:rPr>
      </w:pPr>
    </w:p>
    <w:sectPr w:rsidR="00C42ED2">
      <w:headerReference w:type="default" r:id="rId8"/>
      <w:pgSz w:w="11906" w:h="17338"/>
      <w:pgMar w:top="1834" w:right="1156" w:bottom="879" w:left="133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484EC" w14:textId="77777777" w:rsidR="00BF2FBB" w:rsidRDefault="00BF2FBB">
      <w:r>
        <w:separator/>
      </w:r>
    </w:p>
  </w:endnote>
  <w:endnote w:type="continuationSeparator" w:id="0">
    <w:p w14:paraId="6154B673" w14:textId="77777777" w:rsidR="00BF2FBB" w:rsidRDefault="00BF2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BB63FC" w14:textId="77777777" w:rsidR="00BF2FBB" w:rsidRDefault="00BF2FBB">
      <w:r>
        <w:separator/>
      </w:r>
    </w:p>
  </w:footnote>
  <w:footnote w:type="continuationSeparator" w:id="0">
    <w:p w14:paraId="616B8FF6" w14:textId="77777777" w:rsidR="00BF2FBB" w:rsidRDefault="00BF2F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E4F7D" w14:textId="77777777" w:rsidR="00C42ED2" w:rsidRDefault="00C42ED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Calibri" w:eastAsia="Calibri" w:hAnsi="Calibri" w:cs="Calibri"/>
        <w:color w:val="000000"/>
        <w:sz w:val="20"/>
        <w:szCs w:val="20"/>
      </w:rPr>
    </w:pPr>
  </w:p>
  <w:tbl>
    <w:tblPr>
      <w:tblStyle w:val="a5"/>
      <w:tblW w:w="9674" w:type="dxa"/>
      <w:tblInd w:w="51" w:type="dxa"/>
      <w:tblLayout w:type="fixed"/>
      <w:tblLook w:val="0000" w:firstRow="0" w:lastRow="0" w:firstColumn="0" w:lastColumn="0" w:noHBand="0" w:noVBand="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65"/>
      <w:gridCol w:w="295"/>
      <w:gridCol w:w="302"/>
      <w:gridCol w:w="302"/>
      <w:gridCol w:w="302"/>
      <w:gridCol w:w="302"/>
      <w:gridCol w:w="280"/>
      <w:gridCol w:w="302"/>
      <w:gridCol w:w="302"/>
      <w:gridCol w:w="302"/>
    </w:tblGrid>
    <w:tr w:rsidR="00C42ED2" w14:paraId="0FF9B1E0" w14:textId="77777777">
      <w:trPr>
        <w:trHeight w:val="300"/>
      </w:trPr>
      <w:tc>
        <w:tcPr>
          <w:tcW w:w="2240" w:type="dxa"/>
          <w:gridSpan w:val="8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B6C47F2" w14:textId="77777777" w:rsidR="00C42ED2" w:rsidRDefault="006717FD">
          <w:pPr>
            <w:rPr>
              <w:rFonts w:ascii="Calibri" w:eastAsia="Calibri" w:hAnsi="Calibri" w:cs="Calibri"/>
              <w:color w:val="000000"/>
              <w:sz w:val="20"/>
              <w:szCs w:val="20"/>
            </w:rPr>
          </w:pPr>
          <w:r>
            <w:rPr>
              <w:rFonts w:ascii="Calibri" w:eastAsia="Calibri" w:hAnsi="Calibri" w:cs="Calibri"/>
              <w:color w:val="000000"/>
              <w:sz w:val="20"/>
              <w:szCs w:val="20"/>
            </w:rPr>
            <w:t>Poznámky Úč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111171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DD6DFB7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75123C9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ED68141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6296D0A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E48C49D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8ABACC6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D101DCB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E53C3DE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E8E14A8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BBB585B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D39877B" w14:textId="77777777" w:rsidR="00C42ED2" w:rsidRDefault="006717FD">
          <w:pPr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t xml:space="preserve">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30F4D27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D0FB858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F1FE661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5D5EBFB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vAlign w:val="bottom"/>
        </w:tcPr>
        <w:p w14:paraId="3ACAE6BB" w14:textId="77777777" w:rsidR="00C42ED2" w:rsidRDefault="006717FD">
          <w:pPr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t>IČO</w:t>
          </w:r>
        </w:p>
      </w:tc>
      <w:tc>
        <w:tcPr>
          <w:tcW w:w="30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5027904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 3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1AE94335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 5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01C3F6F0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8 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55E50EE2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 7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4F78C8B3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4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67B84847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0 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23B9B00D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0 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25A3978D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7 </w:t>
          </w:r>
        </w:p>
      </w:tc>
    </w:tr>
    <w:tr w:rsidR="00C42ED2" w14:paraId="684CD49B" w14:textId="77777777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vAlign w:val="bottom"/>
        </w:tcPr>
        <w:p w14:paraId="792993F2" w14:textId="77777777" w:rsidR="00C42ED2" w:rsidRDefault="006717FD">
          <w:pPr>
            <w:rPr>
              <w:b/>
              <w:color w:val="990099"/>
            </w:rPr>
          </w:pPr>
          <w:r>
            <w:rPr>
              <w:b/>
              <w:color w:val="990099"/>
            </w:rPr>
            <w:t xml:space="preserve">                                                 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DA63F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7F9820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8FBEA46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35779C9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DE805AF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92EF98B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A2823C9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0F1AB23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23F44BE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03CFD7F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ED5CE1F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B51650F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9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C9EDC92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580AB12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42FD02C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951DA6A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434D15A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950300E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505211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8692CDF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5EB208E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</w:tr>
    <w:tr w:rsidR="00C42ED2" w14:paraId="254FDD10" w14:textId="77777777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6852329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CA2C878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BF15EA4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5C87226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5CFFAF6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6DBA36F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3199AA9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84F2E39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0ACF89B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6CA191D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2326053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1A6347C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03834D8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74FF400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15059F4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2979F1A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DBF7F40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681916E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3B4FC9E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14C1ED0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046F8D0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DC428F0" w14:textId="77777777" w:rsidR="00C42ED2" w:rsidRDefault="00C42ED2">
          <w:pPr>
            <w:rPr>
              <w:rFonts w:ascii="Calibri" w:eastAsia="Calibri" w:hAnsi="Calibri" w:cs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vAlign w:val="bottom"/>
        </w:tcPr>
        <w:p w14:paraId="6963762C" w14:textId="77777777" w:rsidR="00C42ED2" w:rsidRDefault="006717FD">
          <w:pPr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DIČ</w:t>
          </w:r>
        </w:p>
      </w:tc>
      <w:tc>
        <w:tcPr>
          <w:tcW w:w="26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7B960E9" w14:textId="77777777" w:rsidR="00C42ED2" w:rsidRDefault="006717FD">
          <w:pPr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color w:val="000000"/>
            </w:rPr>
            <w:t>2</w:t>
          </w:r>
        </w:p>
      </w:tc>
      <w:tc>
        <w:tcPr>
          <w:tcW w:w="295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0DC785D7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0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3A664F9D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2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020910F5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1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30DC2F18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7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0A076605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58E17E12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9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5DAE517A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8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0378A677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3</w:t>
          </w:r>
        </w:p>
      </w:tc>
      <w:tc>
        <w:tcPr>
          <w:tcW w:w="30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bottom"/>
        </w:tcPr>
        <w:p w14:paraId="4696E159" w14:textId="77777777" w:rsidR="00C42ED2" w:rsidRDefault="006717FD">
          <w:pPr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8</w:t>
          </w:r>
        </w:p>
      </w:tc>
    </w:tr>
  </w:tbl>
  <w:p w14:paraId="03E07E77" w14:textId="77777777" w:rsidR="00C42ED2" w:rsidRDefault="00C42ED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eastAsia="Arial Narrow"/>
        <w:color w:val="000000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70F92"/>
    <w:multiLevelType w:val="multilevel"/>
    <w:tmpl w:val="189C90DA"/>
    <w:lvl w:ilvl="0">
      <w:start w:val="2"/>
      <w:numFmt w:val="bullet"/>
      <w:lvlText w:val="-"/>
      <w:lvlJc w:val="left"/>
      <w:pPr>
        <w:ind w:left="720" w:hanging="360"/>
      </w:pPr>
      <w:rPr>
        <w:rFonts w:ascii="Arial Narrow" w:eastAsia="Arial Narrow" w:hAnsi="Arial Narrow" w:cs="Arial Narro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B591611"/>
    <w:multiLevelType w:val="multilevel"/>
    <w:tmpl w:val="8E8AB606"/>
    <w:lvl w:ilvl="0">
      <w:start w:val="3"/>
      <w:numFmt w:val="lowerLetter"/>
      <w:lvlText w:val="%1)"/>
      <w:lvlJc w:val="left"/>
      <w:pPr>
        <w:ind w:left="698" w:hanging="360"/>
      </w:pPr>
    </w:lvl>
    <w:lvl w:ilvl="1">
      <w:start w:val="1"/>
      <w:numFmt w:val="lowerLetter"/>
      <w:lvlText w:val="%2."/>
      <w:lvlJc w:val="left"/>
      <w:pPr>
        <w:ind w:left="1418" w:hanging="360"/>
      </w:pPr>
    </w:lvl>
    <w:lvl w:ilvl="2">
      <w:start w:val="1"/>
      <w:numFmt w:val="lowerRoman"/>
      <w:lvlText w:val="%3."/>
      <w:lvlJc w:val="right"/>
      <w:pPr>
        <w:ind w:left="2138" w:hanging="180"/>
      </w:pPr>
    </w:lvl>
    <w:lvl w:ilvl="3">
      <w:start w:val="1"/>
      <w:numFmt w:val="decimal"/>
      <w:lvlText w:val="%4."/>
      <w:lvlJc w:val="left"/>
      <w:pPr>
        <w:ind w:left="2858" w:hanging="360"/>
      </w:pPr>
    </w:lvl>
    <w:lvl w:ilvl="4">
      <w:start w:val="1"/>
      <w:numFmt w:val="lowerLetter"/>
      <w:lvlText w:val="%5."/>
      <w:lvlJc w:val="left"/>
      <w:pPr>
        <w:ind w:left="3578" w:hanging="360"/>
      </w:pPr>
    </w:lvl>
    <w:lvl w:ilvl="5">
      <w:start w:val="1"/>
      <w:numFmt w:val="lowerRoman"/>
      <w:lvlText w:val="%6."/>
      <w:lvlJc w:val="right"/>
      <w:pPr>
        <w:ind w:left="4298" w:hanging="180"/>
      </w:pPr>
    </w:lvl>
    <w:lvl w:ilvl="6">
      <w:start w:val="1"/>
      <w:numFmt w:val="decimal"/>
      <w:lvlText w:val="%7."/>
      <w:lvlJc w:val="left"/>
      <w:pPr>
        <w:ind w:left="5018" w:hanging="360"/>
      </w:pPr>
    </w:lvl>
    <w:lvl w:ilvl="7">
      <w:start w:val="1"/>
      <w:numFmt w:val="lowerLetter"/>
      <w:lvlText w:val="%8."/>
      <w:lvlJc w:val="left"/>
      <w:pPr>
        <w:ind w:left="5738" w:hanging="360"/>
      </w:pPr>
    </w:lvl>
    <w:lvl w:ilvl="8">
      <w:start w:val="1"/>
      <w:numFmt w:val="lowerRoman"/>
      <w:lvlText w:val="%9."/>
      <w:lvlJc w:val="right"/>
      <w:pPr>
        <w:ind w:left="6458" w:hanging="180"/>
      </w:pPr>
    </w:lvl>
  </w:abstractNum>
  <w:abstractNum w:abstractNumId="2" w15:restartNumberingAfterBreak="0">
    <w:nsid w:val="71F46E27"/>
    <w:multiLevelType w:val="multilevel"/>
    <w:tmpl w:val="5978E4F6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214728380">
    <w:abstractNumId w:val="0"/>
  </w:num>
  <w:num w:numId="2" w16cid:durableId="967396107">
    <w:abstractNumId w:val="1"/>
  </w:num>
  <w:num w:numId="3" w16cid:durableId="10101764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2ED2"/>
    <w:rsid w:val="000049CB"/>
    <w:rsid w:val="00024F76"/>
    <w:rsid w:val="002C0664"/>
    <w:rsid w:val="0035699B"/>
    <w:rsid w:val="003945AB"/>
    <w:rsid w:val="003E5B7B"/>
    <w:rsid w:val="0059623A"/>
    <w:rsid w:val="006717FD"/>
    <w:rsid w:val="009076B2"/>
    <w:rsid w:val="00954306"/>
    <w:rsid w:val="009B4840"/>
    <w:rsid w:val="00A851DE"/>
    <w:rsid w:val="00BF2FBB"/>
    <w:rsid w:val="00C42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CA5DB"/>
  <w15:docId w15:val="{17283844-209C-4934-BCD1-80999A851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Arial Narrow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61B1"/>
    <w:rPr>
      <w:rFonts w:eastAsia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link w:val="Nadpis1"/>
    <w:uiPriority w:val="99"/>
    <w:locked/>
    <w:rsid w:val="006B0E20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Default">
    <w:name w:val="Default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441AF2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441AF2"/>
    <w:rPr>
      <w:rFonts w:cs="Times New Roman"/>
    </w:rPr>
  </w:style>
  <w:style w:type="paragraph" w:styleId="Odsekzoznamu">
    <w:name w:val="List Paragraph"/>
    <w:basedOn w:val="Normlny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uiPriority w:val="99"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3018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301869"/>
    <w:pPr>
      <w:numPr>
        <w:numId w:val="3"/>
      </w:numPr>
      <w:tabs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NzovChar">
    <w:name w:val="Názov Char"/>
    <w:link w:val="Nzov"/>
    <w:uiPriority w:val="99"/>
    <w:locked/>
    <w:rsid w:val="006B0E20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ra">
    <w:name w:val="ra"/>
    <w:rsid w:val="006F41FE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585CC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585CCB"/>
    <w:rPr>
      <w:rFonts w:ascii="Segoe UI" w:hAnsi="Segoe UI" w:cs="Segoe UI"/>
      <w:sz w:val="18"/>
      <w:szCs w:val="18"/>
      <w:lang w:eastAsia="en-US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kGnQg2Lrp8IOQPK4IRGZDq0Cvag==">AMUW2mVhOp5EhlJtWIU8llMgAtJxFolgWhjYjLXCCsiOQbPAiWLEhoqOGjh5dBrBooThQQKRq9/suQDJ3wdPIvGkSQKy/3xuwyxp6gjklshodYs+qmvHl0byc8BCP6dqM0t2wPRLro3P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6</Pages>
  <Words>1818</Words>
  <Characters>10367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Emilia Kukucova</dc:creator>
  <cp:lastModifiedBy>veron</cp:lastModifiedBy>
  <cp:revision>4</cp:revision>
  <dcterms:created xsi:type="dcterms:W3CDTF">2025-03-19T16:47:00Z</dcterms:created>
  <dcterms:modified xsi:type="dcterms:W3CDTF">2026-03-30T12:19:00Z</dcterms:modified>
</cp:coreProperties>
</file>