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CADE39">
      <w:pPr>
        <w:rPr>
          <w:rFonts w:ascii="Times New Roman" w:hAnsi="Times New Roman"/>
          <w:b/>
        </w:rPr>
      </w:pPr>
      <w:r>
        <w:rPr>
          <w:rFonts w:ascii="Times New Roman" w:hAnsi="Times New Roman"/>
          <w:b/>
        </w:rPr>
        <w:t>ÚčPOD3-01</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IČO:</w:t>
      </w:r>
      <w:r>
        <w:t xml:space="preserve"> </w:t>
      </w:r>
      <w:r>
        <w:rPr>
          <w:rStyle w:val="6"/>
        </w:rPr>
        <w:t>52 729 532</w:t>
      </w:r>
      <w:r>
        <w:rPr>
          <w:rFonts w:ascii="Times New Roman" w:hAnsi="Times New Roman"/>
          <w:b/>
        </w:rPr>
        <w:t xml:space="preserve"> DIČ: 2121121343</w:t>
      </w:r>
    </w:p>
    <w:p w14:paraId="6C58F286">
      <w:pPr>
        <w:jc w:val="both"/>
        <w:rPr>
          <w:rFonts w:ascii="Times New Roman" w:hAnsi="Times New Roman"/>
          <w:b/>
        </w:rPr>
      </w:pPr>
    </w:p>
    <w:p w14:paraId="292491B7">
      <w:pPr>
        <w:pStyle w:val="4"/>
        <w:ind w:left="360"/>
        <w:jc w:val="both"/>
        <w:rPr>
          <w:rFonts w:ascii="Times New Roman" w:hAnsi="Times New Roman"/>
          <w:b/>
          <w:u w:val="single"/>
        </w:rPr>
      </w:pPr>
      <w:r>
        <w:rPr>
          <w:rFonts w:ascii="Times New Roman" w:hAnsi="Times New Roman"/>
          <w:b/>
          <w:u w:val="single"/>
        </w:rPr>
        <w:t>Údaje spoločnosti:</w:t>
      </w:r>
    </w:p>
    <w:p w14:paraId="51F945A6">
      <w:pPr>
        <w:pStyle w:val="4"/>
        <w:ind w:left="360"/>
        <w:jc w:val="both"/>
        <w:rPr>
          <w:rFonts w:ascii="Times New Roman" w:hAnsi="Times New Roman"/>
        </w:rPr>
      </w:pPr>
      <w:r>
        <w:rPr>
          <w:rFonts w:ascii="Times New Roman" w:hAnsi="Times New Roman"/>
        </w:rPr>
        <w:t>Názov: NIKA Detva s.r.o.</w:t>
      </w:r>
    </w:p>
    <w:p w14:paraId="48073520">
      <w:pPr>
        <w:pStyle w:val="4"/>
        <w:ind w:left="360"/>
        <w:jc w:val="both"/>
        <w:rPr>
          <w:rFonts w:ascii="Times New Roman" w:hAnsi="Times New Roman"/>
        </w:rPr>
      </w:pPr>
      <w:r>
        <w:rPr>
          <w:rFonts w:ascii="Times New Roman" w:hAnsi="Times New Roman"/>
        </w:rPr>
        <w:t xml:space="preserve">Sídlo: </w:t>
      </w:r>
      <w:r>
        <w:rPr>
          <w:rStyle w:val="6"/>
        </w:rPr>
        <w:t>Štúrova 1696</w:t>
      </w:r>
      <w:r>
        <w:rPr>
          <w:rFonts w:ascii="Times New Roman" w:hAnsi="Times New Roman"/>
        </w:rPr>
        <w:t>, 962 12 Detva</w:t>
      </w:r>
    </w:p>
    <w:p w14:paraId="3858B6A6">
      <w:pPr>
        <w:pStyle w:val="4"/>
        <w:ind w:left="360"/>
        <w:jc w:val="both"/>
        <w:rPr>
          <w:rFonts w:ascii="Times New Roman" w:hAnsi="Times New Roman"/>
        </w:rPr>
      </w:pPr>
      <w:r>
        <w:rPr>
          <w:rFonts w:ascii="Times New Roman" w:hAnsi="Times New Roman"/>
        </w:rPr>
        <w:t>Založená: 31.10.2019</w:t>
      </w:r>
    </w:p>
    <w:p w14:paraId="3D9C0D27">
      <w:pPr>
        <w:pStyle w:val="4"/>
        <w:ind w:left="360"/>
        <w:jc w:val="both"/>
        <w:rPr>
          <w:rFonts w:ascii="Times New Roman" w:hAnsi="Times New Roman"/>
        </w:rPr>
      </w:pPr>
      <w:r>
        <w:rPr>
          <w:rFonts w:ascii="Times New Roman" w:hAnsi="Times New Roman"/>
        </w:rPr>
        <w:t xml:space="preserve">Zapísaná: Obchodný register Okresného súdu Banská Bystrica, vložka Sro, číslo </w:t>
      </w:r>
      <w:r>
        <w:rPr>
          <w:rStyle w:val="6"/>
        </w:rPr>
        <w:t>37612/S</w:t>
      </w:r>
    </w:p>
    <w:p w14:paraId="4A3863CB">
      <w:pPr>
        <w:pStyle w:val="4"/>
        <w:ind w:left="360"/>
        <w:jc w:val="both"/>
        <w:rPr>
          <w:rFonts w:ascii="Times New Roman" w:hAnsi="Times New Roman"/>
        </w:rPr>
      </w:pPr>
    </w:p>
    <w:p w14:paraId="573E26C3">
      <w:pPr>
        <w:pStyle w:val="4"/>
        <w:jc w:val="both"/>
        <w:rPr>
          <w:rFonts w:ascii="Times New Roman" w:hAnsi="Times New Roman"/>
          <w:b/>
          <w:u w:val="single"/>
        </w:rPr>
      </w:pPr>
    </w:p>
    <w:p w14:paraId="5535FE7A">
      <w:pPr>
        <w:pStyle w:val="4"/>
        <w:numPr>
          <w:ilvl w:val="0"/>
          <w:numId w:val="1"/>
        </w:numPr>
        <w:jc w:val="both"/>
        <w:rPr>
          <w:rFonts w:ascii="Times New Roman" w:hAnsi="Times New Roman"/>
          <w:b/>
          <w:u w:val="single"/>
        </w:rPr>
      </w:pPr>
      <w:r>
        <w:rPr>
          <w:rFonts w:ascii="Times New Roman" w:hAnsi="Times New Roman"/>
        </w:rPr>
        <w:t>Hlavné činnosti obchodnej spoločnosti sú:</w:t>
      </w: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35818CEF">
        <w:tblPrEx>
          <w:tblCellMar>
            <w:top w:w="15" w:type="dxa"/>
            <w:left w:w="15" w:type="dxa"/>
            <w:bottom w:w="15" w:type="dxa"/>
            <w:right w:w="15" w:type="dxa"/>
          </w:tblCellMar>
        </w:tblPrEx>
        <w:trPr>
          <w:tblCellSpacing w:w="15" w:type="dxa"/>
        </w:trPr>
        <w:tc>
          <w:tcPr>
            <w:tcW w:w="3350" w:type="pct"/>
            <w:vAlign w:val="center"/>
          </w:tcPr>
          <w:p w14:paraId="0AD0073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Stolárstvo </w:t>
            </w:r>
          </w:p>
        </w:tc>
        <w:tc>
          <w:tcPr>
            <w:tcW w:w="1650" w:type="pct"/>
          </w:tcPr>
          <w:p w14:paraId="64986DF8">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33BB41DC">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3D0B0E8C">
        <w:tblPrEx>
          <w:tblCellMar>
            <w:top w:w="15" w:type="dxa"/>
            <w:left w:w="15" w:type="dxa"/>
            <w:bottom w:w="15" w:type="dxa"/>
            <w:right w:w="15" w:type="dxa"/>
          </w:tblCellMar>
        </w:tblPrEx>
        <w:trPr>
          <w:tblCellSpacing w:w="15" w:type="dxa"/>
        </w:trPr>
        <w:tc>
          <w:tcPr>
            <w:tcW w:w="3350" w:type="pct"/>
            <w:vAlign w:val="center"/>
          </w:tcPr>
          <w:p w14:paraId="168B12EC">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Počítačové služby a služby súvisiace s počítačovým spracovaním údajov </w:t>
            </w:r>
          </w:p>
        </w:tc>
        <w:tc>
          <w:tcPr>
            <w:tcW w:w="1650" w:type="pct"/>
          </w:tcPr>
          <w:p w14:paraId="5A5E25B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389301CC">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2F220305">
        <w:tblPrEx>
          <w:tblCellMar>
            <w:top w:w="15" w:type="dxa"/>
            <w:left w:w="15" w:type="dxa"/>
            <w:bottom w:w="15" w:type="dxa"/>
            <w:right w:w="15" w:type="dxa"/>
          </w:tblCellMar>
        </w:tblPrEx>
        <w:trPr>
          <w:tblCellSpacing w:w="15" w:type="dxa"/>
        </w:trPr>
        <w:tc>
          <w:tcPr>
            <w:tcW w:w="3350" w:type="pct"/>
            <w:vAlign w:val="center"/>
          </w:tcPr>
          <w:p w14:paraId="0181753E">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Administratívne služby </w:t>
            </w:r>
          </w:p>
        </w:tc>
        <w:tc>
          <w:tcPr>
            <w:tcW w:w="1650" w:type="pct"/>
          </w:tcPr>
          <w:p w14:paraId="4478919F">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5E24142E">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1728F929">
        <w:tblPrEx>
          <w:tblCellMar>
            <w:top w:w="15" w:type="dxa"/>
            <w:left w:w="15" w:type="dxa"/>
            <w:bottom w:w="15" w:type="dxa"/>
            <w:right w:w="15" w:type="dxa"/>
          </w:tblCellMar>
        </w:tblPrEx>
        <w:trPr>
          <w:tblCellSpacing w:w="15" w:type="dxa"/>
        </w:trPr>
        <w:tc>
          <w:tcPr>
            <w:tcW w:w="3350" w:type="pct"/>
            <w:vAlign w:val="center"/>
          </w:tcPr>
          <w:p w14:paraId="19D1027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Vedenie účtovníctva </w:t>
            </w:r>
          </w:p>
        </w:tc>
        <w:tc>
          <w:tcPr>
            <w:tcW w:w="1650" w:type="pct"/>
          </w:tcPr>
          <w:p w14:paraId="1C04A696">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0B7B2CCC">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18A3FA08">
        <w:tblPrEx>
          <w:tblCellMar>
            <w:top w:w="15" w:type="dxa"/>
            <w:left w:w="15" w:type="dxa"/>
            <w:bottom w:w="15" w:type="dxa"/>
            <w:right w:w="15" w:type="dxa"/>
          </w:tblCellMar>
        </w:tblPrEx>
        <w:trPr>
          <w:tblCellSpacing w:w="15" w:type="dxa"/>
        </w:trPr>
        <w:tc>
          <w:tcPr>
            <w:tcW w:w="3350" w:type="pct"/>
            <w:vAlign w:val="center"/>
          </w:tcPr>
          <w:p w14:paraId="406FA3E6">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Činnosť podnikateľských, organizačných a ekonomických poradcov </w:t>
            </w:r>
          </w:p>
        </w:tc>
        <w:tc>
          <w:tcPr>
            <w:tcW w:w="1650" w:type="pct"/>
          </w:tcPr>
          <w:p w14:paraId="332432A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13CE1D1B">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0345251F">
        <w:tblPrEx>
          <w:tblCellMar>
            <w:top w:w="15" w:type="dxa"/>
            <w:left w:w="15" w:type="dxa"/>
            <w:bottom w:w="15" w:type="dxa"/>
            <w:right w:w="15" w:type="dxa"/>
          </w:tblCellMar>
        </w:tblPrEx>
        <w:trPr>
          <w:tblCellSpacing w:w="15" w:type="dxa"/>
        </w:trPr>
        <w:tc>
          <w:tcPr>
            <w:tcW w:w="3350" w:type="pct"/>
            <w:vAlign w:val="center"/>
          </w:tcPr>
          <w:p w14:paraId="453DCFF5">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Inžinierska činnosť, stavebné cenárstvo, projektovanie a konštruovanie elektrických zariadení </w:t>
            </w:r>
          </w:p>
        </w:tc>
        <w:tc>
          <w:tcPr>
            <w:tcW w:w="1650" w:type="pct"/>
          </w:tcPr>
          <w:p w14:paraId="343C1949">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14DE60D4">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60B1316C">
        <w:tblPrEx>
          <w:tblCellMar>
            <w:top w:w="15" w:type="dxa"/>
            <w:left w:w="15" w:type="dxa"/>
            <w:bottom w:w="15" w:type="dxa"/>
            <w:right w:w="15" w:type="dxa"/>
          </w:tblCellMar>
        </w:tblPrEx>
        <w:trPr>
          <w:tblCellSpacing w:w="15" w:type="dxa"/>
        </w:trPr>
        <w:tc>
          <w:tcPr>
            <w:tcW w:w="3350" w:type="pct"/>
            <w:vAlign w:val="center"/>
          </w:tcPr>
          <w:p w14:paraId="6517BE1E">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Dizajnérske činnosti </w:t>
            </w:r>
          </w:p>
        </w:tc>
        <w:tc>
          <w:tcPr>
            <w:tcW w:w="1650" w:type="pct"/>
          </w:tcPr>
          <w:p w14:paraId="33404D1E">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279E70DC">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035B4D15">
        <w:tblPrEx>
          <w:tblCellMar>
            <w:top w:w="15" w:type="dxa"/>
            <w:left w:w="15" w:type="dxa"/>
            <w:bottom w:w="15" w:type="dxa"/>
            <w:right w:w="15" w:type="dxa"/>
          </w:tblCellMar>
        </w:tblPrEx>
        <w:trPr>
          <w:tblCellSpacing w:w="15" w:type="dxa"/>
        </w:trPr>
        <w:tc>
          <w:tcPr>
            <w:tcW w:w="3350" w:type="pct"/>
            <w:vAlign w:val="center"/>
          </w:tcPr>
          <w:p w14:paraId="18A2CE13">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Prenájom hnuteľných vecí </w:t>
            </w:r>
          </w:p>
        </w:tc>
        <w:tc>
          <w:tcPr>
            <w:tcW w:w="1650" w:type="pct"/>
          </w:tcPr>
          <w:p w14:paraId="017DE05B">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3C2A8E44">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50E78A87">
        <w:tblPrEx>
          <w:tblCellMar>
            <w:top w:w="15" w:type="dxa"/>
            <w:left w:w="15" w:type="dxa"/>
            <w:bottom w:w="15" w:type="dxa"/>
            <w:right w:w="15" w:type="dxa"/>
          </w:tblCellMar>
        </w:tblPrEx>
        <w:trPr>
          <w:tblCellSpacing w:w="15" w:type="dxa"/>
        </w:trPr>
        <w:tc>
          <w:tcPr>
            <w:tcW w:w="3350" w:type="pct"/>
            <w:vAlign w:val="center"/>
          </w:tcPr>
          <w:p w14:paraId="5E218E51">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Kúpa tovaru na účely jeho predaja konečnému spotrebiteľovi (maloobchod) alebo iným prevádzkovateľom živnosti (veľkoobchod) </w:t>
            </w:r>
          </w:p>
        </w:tc>
        <w:tc>
          <w:tcPr>
            <w:tcW w:w="1650" w:type="pct"/>
          </w:tcPr>
          <w:p w14:paraId="0569D9A7">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14661662">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0DA8B061">
        <w:tblPrEx>
          <w:tblCellMar>
            <w:top w:w="15" w:type="dxa"/>
            <w:left w:w="15" w:type="dxa"/>
            <w:bottom w:w="15" w:type="dxa"/>
            <w:right w:w="15" w:type="dxa"/>
          </w:tblCellMar>
        </w:tblPrEx>
        <w:trPr>
          <w:tblCellSpacing w:w="15" w:type="dxa"/>
        </w:trPr>
        <w:tc>
          <w:tcPr>
            <w:tcW w:w="3350" w:type="pct"/>
            <w:vAlign w:val="center"/>
          </w:tcPr>
          <w:p w14:paraId="345EF3FF">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Sprostredkovateľská činnosť v oblasti obchodu, služieb, výroby </w:t>
            </w:r>
          </w:p>
        </w:tc>
        <w:tc>
          <w:tcPr>
            <w:tcW w:w="1650" w:type="pct"/>
          </w:tcPr>
          <w:p w14:paraId="0D860FAB">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414E4436">
      <w:pPr>
        <w:pStyle w:val="4"/>
        <w:numPr>
          <w:ilvl w:val="0"/>
          <w:numId w:val="1"/>
        </w:numPr>
        <w:spacing w:after="0" w:line="240" w:lineRule="auto"/>
        <w:rPr>
          <w:rFonts w:ascii="Times New Roman" w:hAnsi="Times New Roman" w:eastAsia="Times New Roman"/>
          <w:vanish/>
          <w:sz w:val="24"/>
          <w:szCs w:val="24"/>
          <w:lang w:eastAsia="sk-SK"/>
        </w:rPr>
      </w:pPr>
    </w:p>
    <w:tbl>
      <w:tblPr>
        <w:tblStyle w:val="3"/>
        <w:tblW w:w="5000" w:type="pct"/>
        <w:tblCellSpacing w:w="15" w:type="dxa"/>
        <w:tblInd w:w="0" w:type="dxa"/>
        <w:tblLayout w:type="autofit"/>
        <w:tblCellMar>
          <w:top w:w="15" w:type="dxa"/>
          <w:left w:w="15" w:type="dxa"/>
          <w:bottom w:w="15" w:type="dxa"/>
          <w:right w:w="15" w:type="dxa"/>
        </w:tblCellMar>
      </w:tblPr>
      <w:tblGrid>
        <w:gridCol w:w="6123"/>
        <w:gridCol w:w="3039"/>
      </w:tblGrid>
      <w:tr w14:paraId="7A8D8E26">
        <w:tblPrEx>
          <w:tblCellMar>
            <w:top w:w="15" w:type="dxa"/>
            <w:left w:w="15" w:type="dxa"/>
            <w:bottom w:w="15" w:type="dxa"/>
            <w:right w:w="15" w:type="dxa"/>
          </w:tblCellMar>
        </w:tblPrEx>
        <w:trPr>
          <w:tblCellSpacing w:w="15" w:type="dxa"/>
        </w:trPr>
        <w:tc>
          <w:tcPr>
            <w:tcW w:w="3350" w:type="pct"/>
            <w:vAlign w:val="center"/>
          </w:tcPr>
          <w:p w14:paraId="486E1C00">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xml:space="preserve">Reklamné a marketingové služby, prieskum trhu a verejnej mienky </w:t>
            </w:r>
          </w:p>
        </w:tc>
        <w:tc>
          <w:tcPr>
            <w:tcW w:w="1650" w:type="pct"/>
          </w:tcPr>
          <w:p w14:paraId="07E2AE16">
            <w:pPr>
              <w:spacing w:after="0" w:line="240" w:lineRule="auto"/>
              <w:rPr>
                <w:rFonts w:ascii="Times New Roman" w:hAnsi="Times New Roman" w:eastAsia="Times New Roman"/>
                <w:sz w:val="24"/>
                <w:szCs w:val="24"/>
                <w:lang w:eastAsia="sk-SK"/>
              </w:rPr>
            </w:pPr>
            <w:r>
              <w:rPr>
                <w:rFonts w:ascii="Times New Roman" w:hAnsi="Times New Roman" w:eastAsia="Times New Roman"/>
                <w:sz w:val="24"/>
                <w:szCs w:val="24"/>
                <w:lang w:eastAsia="sk-SK"/>
              </w:rPr>
              <w:t>  (od: 31.10.2019)</w:t>
            </w:r>
          </w:p>
        </w:tc>
      </w:tr>
    </w:tbl>
    <w:p w14:paraId="28E2B194">
      <w:pPr>
        <w:ind w:left="360"/>
        <w:jc w:val="both"/>
        <w:rPr>
          <w:rFonts w:ascii="Times New Roman" w:hAnsi="Times New Roman"/>
          <w:b/>
          <w:u w:val="single"/>
        </w:rPr>
      </w:pPr>
      <w:r>
        <w:rPr>
          <w:rFonts w:ascii="Times New Roman" w:hAnsi="Times New Roman"/>
        </w:rPr>
        <w:t>2. Priemerný prepočítaný počet zamestnancov: 5</w:t>
      </w:r>
    </w:p>
    <w:p w14:paraId="1F15CFF2">
      <w:pPr>
        <w:pStyle w:val="4"/>
        <w:jc w:val="both"/>
        <w:rPr>
          <w:rFonts w:ascii="Times New Roman" w:hAnsi="Times New Roman"/>
          <w:b/>
          <w:u w:val="single"/>
        </w:rPr>
      </w:pPr>
    </w:p>
    <w:p w14:paraId="21C78173">
      <w:pPr>
        <w:pStyle w:val="4"/>
        <w:numPr>
          <w:ilvl w:val="0"/>
          <w:numId w:val="2"/>
        </w:numPr>
        <w:jc w:val="both"/>
        <w:rPr>
          <w:rFonts w:ascii="Times New Roman" w:hAnsi="Times New Roman"/>
          <w:b/>
          <w:u w:val="single"/>
        </w:rPr>
      </w:pPr>
      <w:r>
        <w:rPr>
          <w:rFonts w:ascii="Times New Roman" w:hAnsi="Times New Roman"/>
          <w:u w:val="single"/>
        </w:rPr>
        <w:t>Stav zamestnancov ku dňu, ku ktorému sa zostavuje účtovná závierka: 5</w:t>
      </w:r>
    </w:p>
    <w:p w14:paraId="3C2BBDA1">
      <w:pPr>
        <w:pStyle w:val="4"/>
        <w:jc w:val="both"/>
        <w:rPr>
          <w:rFonts w:ascii="Times New Roman" w:hAnsi="Times New Roman"/>
          <w:b/>
          <w:u w:val="single"/>
        </w:rPr>
      </w:pPr>
    </w:p>
    <w:p w14:paraId="1EBC2DE9">
      <w:pPr>
        <w:pStyle w:val="4"/>
        <w:numPr>
          <w:ilvl w:val="0"/>
          <w:numId w:val="2"/>
        </w:numPr>
        <w:jc w:val="both"/>
        <w:rPr>
          <w:rFonts w:ascii="Times New Roman" w:hAnsi="Times New Roman"/>
          <w:b/>
          <w:u w:val="single"/>
        </w:rPr>
      </w:pPr>
      <w:r>
        <w:rPr>
          <w:rFonts w:ascii="Times New Roman" w:hAnsi="Times New Roman"/>
          <w:u w:val="single"/>
        </w:rPr>
        <w:t>Neobmedzene ručiacim spoločníkom v inej účtovnej jednotke</w:t>
      </w:r>
    </w:p>
    <w:p w14:paraId="2E190F9B">
      <w:pPr>
        <w:pStyle w:val="4"/>
        <w:jc w:val="both"/>
        <w:rPr>
          <w:rFonts w:ascii="Times New Roman" w:hAnsi="Times New Roman"/>
        </w:rPr>
      </w:pPr>
      <w:r>
        <w:rPr>
          <w:rFonts w:ascii="Times New Roman" w:hAnsi="Times New Roman"/>
        </w:rPr>
        <w:t>Obchodná spoločnosť nie je neobmedzene ručiacim spoločníkom v žiadnej spoločnosti</w:t>
      </w:r>
    </w:p>
    <w:p w14:paraId="56EC8793">
      <w:pPr>
        <w:pStyle w:val="4"/>
        <w:jc w:val="both"/>
        <w:rPr>
          <w:rFonts w:ascii="Times New Roman" w:hAnsi="Times New Roman"/>
        </w:rPr>
      </w:pPr>
      <w:r>
        <w:rPr>
          <w:rFonts w:ascii="Times New Roman" w:hAnsi="Times New Roman"/>
        </w:rPr>
        <w:t>Podľa § 56 ods. 5 Obchodného zákonníka fyzická osoba alebo právnická osoba môže byť spoločníkom s neobmedzeným ručením iba v jednej spoločnosti</w:t>
      </w:r>
    </w:p>
    <w:p w14:paraId="75B1836B">
      <w:pPr>
        <w:pStyle w:val="4"/>
        <w:jc w:val="both"/>
        <w:rPr>
          <w:rFonts w:ascii="Times New Roman" w:hAnsi="Times New Roman"/>
        </w:rPr>
      </w:pPr>
    </w:p>
    <w:p w14:paraId="57ED439E">
      <w:pPr>
        <w:pStyle w:val="4"/>
        <w:rPr>
          <w:rFonts w:ascii="Times New Roman" w:hAnsi="Times New Roman"/>
        </w:rPr>
      </w:pPr>
    </w:p>
    <w:p w14:paraId="34340B6D">
      <w:pPr>
        <w:pStyle w:val="4"/>
        <w:rPr>
          <w:rFonts w:ascii="Times New Roman" w:hAnsi="Times New Roman"/>
        </w:rPr>
      </w:pPr>
    </w:p>
    <w:p w14:paraId="0E48F86C">
      <w:pPr>
        <w:pStyle w:val="4"/>
        <w:rPr>
          <w:rFonts w:ascii="Times New Roman" w:hAnsi="Times New Roman"/>
        </w:rPr>
      </w:pPr>
    </w:p>
    <w:p w14:paraId="65D2F65B">
      <w:pPr>
        <w:pStyle w:val="4"/>
        <w:rPr>
          <w:rFonts w:ascii="Times New Roman" w:hAnsi="Times New Roman"/>
        </w:rPr>
      </w:pPr>
    </w:p>
    <w:p w14:paraId="7B5FC872">
      <w:pPr>
        <w:pStyle w:val="4"/>
        <w:rPr>
          <w:rFonts w:ascii="Times New Roman" w:hAnsi="Times New Roman"/>
        </w:rPr>
      </w:pPr>
    </w:p>
    <w:p w14:paraId="617E33F1">
      <w:pPr>
        <w:pStyle w:val="4"/>
        <w:rPr>
          <w:rFonts w:ascii="Times New Roman" w:hAnsi="Times New Roman"/>
        </w:rPr>
      </w:pPr>
    </w:p>
    <w:p w14:paraId="08A145C8">
      <w:pPr>
        <w:pStyle w:val="4"/>
        <w:rPr>
          <w:rFonts w:ascii="Times New Roman" w:hAnsi="Times New Roman"/>
        </w:rPr>
      </w:pPr>
    </w:p>
    <w:p w14:paraId="66BDA2DE">
      <w:pPr>
        <w:pStyle w:val="4"/>
        <w:rPr>
          <w:rFonts w:ascii="Times New Roman" w:hAnsi="Times New Roman"/>
        </w:rPr>
      </w:pPr>
    </w:p>
    <w:p w14:paraId="179B9AF3">
      <w:pPr>
        <w:pStyle w:val="4"/>
        <w:numPr>
          <w:ilvl w:val="0"/>
          <w:numId w:val="3"/>
        </w:numPr>
        <w:rPr>
          <w:rFonts w:ascii="Times New Roman" w:hAnsi="Times New Roman"/>
          <w:b/>
          <w:u w:val="single"/>
        </w:rPr>
      </w:pPr>
      <w:r>
        <w:rPr>
          <w:rFonts w:ascii="Times New Roman" w:hAnsi="Times New Roman"/>
          <w:b/>
          <w:u w:val="single"/>
        </w:rPr>
        <w:t>Informácie o počte zamestnancov</w:t>
      </w:r>
    </w:p>
    <w:tbl>
      <w:tblPr>
        <w:tblStyle w:val="3"/>
        <w:tblW w:w="9502" w:type="dxa"/>
        <w:tblInd w:w="0" w:type="dxa"/>
        <w:tblLayout w:type="autofit"/>
        <w:tblCellMar>
          <w:top w:w="0" w:type="dxa"/>
          <w:left w:w="70" w:type="dxa"/>
          <w:bottom w:w="0" w:type="dxa"/>
          <w:right w:w="70" w:type="dxa"/>
        </w:tblCellMar>
      </w:tblPr>
      <w:tblGrid>
        <w:gridCol w:w="3262"/>
        <w:gridCol w:w="3120"/>
        <w:gridCol w:w="3120"/>
      </w:tblGrid>
      <w:tr w14:paraId="46CE9B69">
        <w:tblPrEx>
          <w:tblCellMar>
            <w:top w:w="0" w:type="dxa"/>
            <w:left w:w="70" w:type="dxa"/>
            <w:bottom w:w="0" w:type="dxa"/>
            <w:right w:w="70" w:type="dxa"/>
          </w:tblCellMar>
        </w:tblPrEx>
        <w:trPr>
          <w:trHeight w:val="573" w:hRule="atLeast"/>
        </w:trPr>
        <w:tc>
          <w:tcPr>
            <w:tcW w:w="3262" w:type="dxa"/>
            <w:tcBorders>
              <w:top w:val="single" w:color="auto" w:sz="8" w:space="0"/>
              <w:left w:val="single" w:color="auto" w:sz="8" w:space="0"/>
              <w:bottom w:val="single" w:color="auto" w:sz="8" w:space="0"/>
              <w:right w:val="single" w:color="auto" w:sz="8" w:space="0"/>
            </w:tcBorders>
            <w:shd w:val="clear" w:color="auto" w:fill="auto"/>
            <w:vAlign w:val="center"/>
          </w:tcPr>
          <w:p w14:paraId="2273D66A">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Názov položky</w:t>
            </w:r>
          </w:p>
        </w:tc>
        <w:tc>
          <w:tcPr>
            <w:tcW w:w="3120" w:type="dxa"/>
            <w:tcBorders>
              <w:top w:val="single" w:color="auto" w:sz="8" w:space="0"/>
              <w:left w:val="nil"/>
              <w:bottom w:val="single" w:color="auto" w:sz="8" w:space="0"/>
              <w:right w:val="single" w:color="auto" w:sz="4" w:space="0"/>
            </w:tcBorders>
            <w:shd w:val="clear" w:color="auto" w:fill="auto"/>
            <w:vAlign w:val="center"/>
          </w:tcPr>
          <w:p w14:paraId="0708C722">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Bežné účtovné obdobie</w:t>
            </w:r>
          </w:p>
        </w:tc>
        <w:tc>
          <w:tcPr>
            <w:tcW w:w="3120" w:type="dxa"/>
            <w:tcBorders>
              <w:top w:val="single" w:color="auto" w:sz="8" w:space="0"/>
              <w:left w:val="nil"/>
              <w:bottom w:val="single" w:color="auto" w:sz="8" w:space="0"/>
              <w:right w:val="single" w:color="auto" w:sz="8" w:space="0"/>
            </w:tcBorders>
            <w:shd w:val="clear" w:color="auto" w:fill="auto"/>
            <w:vAlign w:val="center"/>
          </w:tcPr>
          <w:p w14:paraId="726505A6">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Bezprostredne predchádzajúce účtovné obdobie</w:t>
            </w:r>
          </w:p>
        </w:tc>
      </w:tr>
      <w:tr w14:paraId="1452F501">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4" w:space="0"/>
              <w:right w:val="single" w:color="auto" w:sz="8" w:space="0"/>
            </w:tcBorders>
            <w:shd w:val="clear" w:color="auto" w:fill="auto"/>
            <w:vAlign w:val="center"/>
          </w:tcPr>
          <w:p w14:paraId="4D91CA10">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Priemerný prepočítaný počet zamestnancov</w:t>
            </w:r>
          </w:p>
        </w:tc>
        <w:tc>
          <w:tcPr>
            <w:tcW w:w="3120" w:type="dxa"/>
            <w:tcBorders>
              <w:top w:val="nil"/>
              <w:left w:val="nil"/>
              <w:bottom w:val="single" w:color="auto" w:sz="4" w:space="0"/>
              <w:right w:val="single" w:color="auto" w:sz="4" w:space="0"/>
            </w:tcBorders>
            <w:shd w:val="clear" w:color="auto" w:fill="auto"/>
            <w:noWrap/>
            <w:vAlign w:val="bottom"/>
          </w:tcPr>
          <w:p w14:paraId="38FFE047">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5</w:t>
            </w:r>
          </w:p>
        </w:tc>
        <w:tc>
          <w:tcPr>
            <w:tcW w:w="3120" w:type="dxa"/>
            <w:tcBorders>
              <w:top w:val="nil"/>
              <w:left w:val="nil"/>
              <w:bottom w:val="single" w:color="auto" w:sz="4" w:space="0"/>
              <w:right w:val="single" w:color="auto" w:sz="8" w:space="0"/>
            </w:tcBorders>
            <w:shd w:val="clear" w:color="auto" w:fill="auto"/>
            <w:noWrap/>
            <w:vAlign w:val="bottom"/>
          </w:tcPr>
          <w:p w14:paraId="59921EB3">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5</w:t>
            </w:r>
          </w:p>
        </w:tc>
      </w:tr>
      <w:tr w14:paraId="1EFA3F92">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4" w:space="0"/>
              <w:right w:val="single" w:color="auto" w:sz="8" w:space="0"/>
            </w:tcBorders>
            <w:shd w:val="clear" w:color="auto" w:fill="auto"/>
            <w:vAlign w:val="center"/>
          </w:tcPr>
          <w:p w14:paraId="43E16C1E">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Stav zamestnancov ku dňu, ku ktorému sa zostavuje účtovná závierka, z toho:</w:t>
            </w:r>
          </w:p>
        </w:tc>
        <w:tc>
          <w:tcPr>
            <w:tcW w:w="3120" w:type="dxa"/>
            <w:tcBorders>
              <w:top w:val="nil"/>
              <w:left w:val="nil"/>
              <w:bottom w:val="single" w:color="auto" w:sz="4" w:space="0"/>
              <w:right w:val="single" w:color="auto" w:sz="4" w:space="0"/>
            </w:tcBorders>
            <w:shd w:val="clear" w:color="auto" w:fill="auto"/>
            <w:noWrap/>
            <w:vAlign w:val="bottom"/>
          </w:tcPr>
          <w:p w14:paraId="695CB646">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5</w:t>
            </w:r>
          </w:p>
        </w:tc>
        <w:tc>
          <w:tcPr>
            <w:tcW w:w="3120" w:type="dxa"/>
            <w:tcBorders>
              <w:top w:val="nil"/>
              <w:left w:val="nil"/>
              <w:bottom w:val="single" w:color="auto" w:sz="4" w:space="0"/>
              <w:right w:val="single" w:color="auto" w:sz="8" w:space="0"/>
            </w:tcBorders>
            <w:shd w:val="clear" w:color="auto" w:fill="auto"/>
            <w:noWrap/>
            <w:vAlign w:val="bottom"/>
          </w:tcPr>
          <w:p w14:paraId="21922A08">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5</w:t>
            </w:r>
          </w:p>
        </w:tc>
      </w:tr>
      <w:tr w14:paraId="70849D14">
        <w:tblPrEx>
          <w:tblCellMar>
            <w:top w:w="0" w:type="dxa"/>
            <w:left w:w="70" w:type="dxa"/>
            <w:bottom w:w="0" w:type="dxa"/>
            <w:right w:w="70" w:type="dxa"/>
          </w:tblCellMar>
        </w:tblPrEx>
        <w:trPr>
          <w:trHeight w:val="597" w:hRule="atLeast"/>
        </w:trPr>
        <w:tc>
          <w:tcPr>
            <w:tcW w:w="3262" w:type="dxa"/>
            <w:tcBorders>
              <w:top w:val="nil"/>
              <w:left w:val="single" w:color="auto" w:sz="8" w:space="0"/>
              <w:bottom w:val="single" w:color="auto" w:sz="8" w:space="0"/>
              <w:right w:val="single" w:color="auto" w:sz="8" w:space="0"/>
            </w:tcBorders>
            <w:shd w:val="clear" w:color="auto" w:fill="auto"/>
            <w:vAlign w:val="center"/>
          </w:tcPr>
          <w:p w14:paraId="3CDB708B">
            <w:pPr>
              <w:spacing w:after="0" w:line="240" w:lineRule="auto"/>
              <w:rPr>
                <w:rFonts w:ascii="Times New Roman" w:hAnsi="Times New Roman" w:eastAsia="Times New Roman"/>
                <w:color w:val="000000"/>
                <w:lang w:eastAsia="sk-SK"/>
              </w:rPr>
            </w:pPr>
            <w:r>
              <w:rPr>
                <w:rFonts w:ascii="Times New Roman" w:hAnsi="Times New Roman" w:eastAsia="Times New Roman"/>
                <w:color w:val="000000"/>
                <w:lang w:eastAsia="sk-SK"/>
              </w:rPr>
              <w:t>počet vedúcich zamestnancov</w:t>
            </w:r>
          </w:p>
        </w:tc>
        <w:tc>
          <w:tcPr>
            <w:tcW w:w="3120" w:type="dxa"/>
            <w:tcBorders>
              <w:top w:val="nil"/>
              <w:left w:val="nil"/>
              <w:bottom w:val="single" w:color="auto" w:sz="8" w:space="0"/>
              <w:right w:val="single" w:color="auto" w:sz="4" w:space="0"/>
            </w:tcBorders>
            <w:shd w:val="clear" w:color="auto" w:fill="auto"/>
            <w:noWrap/>
            <w:vAlign w:val="bottom"/>
          </w:tcPr>
          <w:p w14:paraId="4FDACFF5">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0</w:t>
            </w:r>
          </w:p>
        </w:tc>
        <w:tc>
          <w:tcPr>
            <w:tcW w:w="3120" w:type="dxa"/>
            <w:tcBorders>
              <w:top w:val="nil"/>
              <w:left w:val="nil"/>
              <w:bottom w:val="single" w:color="auto" w:sz="8" w:space="0"/>
              <w:right w:val="single" w:color="auto" w:sz="8" w:space="0"/>
            </w:tcBorders>
            <w:shd w:val="clear" w:color="auto" w:fill="auto"/>
            <w:noWrap/>
            <w:vAlign w:val="bottom"/>
          </w:tcPr>
          <w:p w14:paraId="370EE4D6">
            <w:pPr>
              <w:spacing w:after="0" w:line="240" w:lineRule="auto"/>
              <w:jc w:val="center"/>
              <w:rPr>
                <w:rFonts w:hint="default" w:ascii="Times New Roman" w:hAnsi="Times New Roman" w:eastAsia="Times New Roman"/>
                <w:color w:val="000000"/>
                <w:lang w:val="en-US" w:eastAsia="sk-SK"/>
              </w:rPr>
            </w:pPr>
            <w:r>
              <w:rPr>
                <w:rFonts w:hint="default" w:ascii="Times New Roman" w:hAnsi="Times New Roman" w:eastAsia="Times New Roman"/>
                <w:color w:val="000000"/>
                <w:lang w:val="en-US" w:eastAsia="sk-SK"/>
              </w:rPr>
              <w:t>0</w:t>
            </w:r>
          </w:p>
        </w:tc>
      </w:tr>
    </w:tbl>
    <w:p w14:paraId="4105423E">
      <w:pPr>
        <w:rPr>
          <w:rFonts w:ascii="Times New Roman" w:hAnsi="Times New Roman"/>
          <w:b/>
          <w:u w:val="single"/>
        </w:rPr>
      </w:pPr>
    </w:p>
    <w:p w14:paraId="4522EC48">
      <w:pPr>
        <w:pStyle w:val="4"/>
        <w:numPr>
          <w:ilvl w:val="0"/>
          <w:numId w:val="3"/>
        </w:numPr>
        <w:rPr>
          <w:rFonts w:ascii="Times New Roman" w:hAnsi="Times New Roman"/>
          <w:b/>
          <w:u w:val="single"/>
        </w:rPr>
      </w:pPr>
      <w:r>
        <w:rPr>
          <w:rFonts w:ascii="Times New Roman" w:hAnsi="Times New Roman"/>
          <w:b/>
          <w:u w:val="single"/>
        </w:rPr>
        <w:t>Poznámky ďalej obsahujú tieto informácie o členoch štatutárnych orgánov, dozorných orgánov a iných orgánov účtovnej jednotky:</w:t>
      </w:r>
    </w:p>
    <w:p w14:paraId="087AFEBA">
      <w:pPr>
        <w:pStyle w:val="4"/>
        <w:rPr>
          <w:rFonts w:ascii="Times New Roman" w:hAnsi="Times New Roman"/>
          <w:b/>
          <w:u w:val="single"/>
        </w:rPr>
      </w:pPr>
    </w:p>
    <w:p w14:paraId="555F5C48">
      <w:pPr>
        <w:pStyle w:val="4"/>
        <w:numPr>
          <w:ilvl w:val="0"/>
          <w:numId w:val="4"/>
        </w:numPr>
        <w:rPr>
          <w:rFonts w:ascii="Times New Roman" w:hAnsi="Times New Roman"/>
          <w:b/>
          <w:u w:val="single"/>
        </w:rPr>
      </w:pPr>
      <w:r>
        <w:rPr>
          <w:rFonts w:ascii="Times New Roman" w:hAnsi="Times New Roman"/>
        </w:rPr>
        <w:t>konateľ</w:t>
      </w:r>
    </w:p>
    <w:p w14:paraId="2CA1C24A">
      <w:pPr>
        <w:pStyle w:val="4"/>
        <w:numPr>
          <w:ilvl w:val="0"/>
          <w:numId w:val="4"/>
        </w:numPr>
        <w:rPr>
          <w:rFonts w:ascii="Times New Roman" w:hAnsi="Times New Roman"/>
          <w:b/>
          <w:u w:val="single"/>
        </w:rPr>
      </w:pPr>
      <w:r>
        <w:rPr>
          <w:rFonts w:ascii="Times New Roman" w:hAnsi="Times New Roman"/>
        </w:rPr>
        <w:t xml:space="preserve">konateľ </w:t>
      </w:r>
    </w:p>
    <w:p w14:paraId="57CF77FD">
      <w:pPr>
        <w:rPr>
          <w:rFonts w:ascii="Times New Roman" w:hAnsi="Times New Roman"/>
        </w:rPr>
      </w:pPr>
      <w:r>
        <w:rPr>
          <w:rFonts w:ascii="Times New Roman" w:hAnsi="Times New Roman"/>
        </w:rPr>
        <w:t>Informácie o štruktúre spoločníkov, akcionárov ku dňu, ku ktorému sa zostavuje účtovná závierka a o štruktúre spoločníkov, akcionárov do dňa jej zmeny vzniknutej v priebehu účtovného obdobia</w:t>
      </w:r>
    </w:p>
    <w:p w14:paraId="2E826418">
      <w:pPr>
        <w:rPr>
          <w:rFonts w:ascii="Times New Roman" w:hAnsi="Times New Roman"/>
          <w:sz w:val="20"/>
        </w:rPr>
      </w:pPr>
      <w:r>
        <w:rPr>
          <w:rFonts w:ascii="Times New Roman" w:hAnsi="Times New Roman"/>
          <w:sz w:val="20"/>
        </w:rPr>
        <w:t>Tabuľka č.1</w:t>
      </w:r>
    </w:p>
    <w:tbl>
      <w:tblPr>
        <w:tblStyle w:val="3"/>
        <w:tblW w:w="9120" w:type="dxa"/>
        <w:tblInd w:w="0" w:type="dxa"/>
        <w:tblLayout w:type="autofit"/>
        <w:tblCellMar>
          <w:top w:w="0" w:type="dxa"/>
          <w:left w:w="70" w:type="dxa"/>
          <w:bottom w:w="0" w:type="dxa"/>
          <w:right w:w="70" w:type="dxa"/>
        </w:tblCellMar>
      </w:tblPr>
      <w:tblGrid>
        <w:gridCol w:w="2680"/>
        <w:gridCol w:w="2403"/>
        <w:gridCol w:w="1037"/>
        <w:gridCol w:w="1500"/>
        <w:gridCol w:w="1500"/>
      </w:tblGrid>
      <w:tr w14:paraId="5DC6A6ED">
        <w:tblPrEx>
          <w:tblCellMar>
            <w:top w:w="0" w:type="dxa"/>
            <w:left w:w="70" w:type="dxa"/>
            <w:bottom w:w="0" w:type="dxa"/>
            <w:right w:w="70" w:type="dxa"/>
          </w:tblCellMar>
        </w:tblPrEx>
        <w:trPr>
          <w:trHeight w:val="345" w:hRule="atLeast"/>
        </w:trPr>
        <w:tc>
          <w:tcPr>
            <w:tcW w:w="2680" w:type="dxa"/>
            <w:vMerge w:val="restart"/>
            <w:tcBorders>
              <w:top w:val="single" w:color="auto" w:sz="8" w:space="0"/>
              <w:left w:val="single" w:color="auto" w:sz="8" w:space="0"/>
              <w:bottom w:val="nil"/>
              <w:right w:val="single" w:color="auto" w:sz="8" w:space="0"/>
            </w:tcBorders>
            <w:shd w:val="clear" w:color="auto" w:fill="auto"/>
            <w:noWrap/>
            <w:vAlign w:val="center"/>
          </w:tcPr>
          <w:p w14:paraId="74C44C8D">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Spoločník, akcionár</w:t>
            </w:r>
          </w:p>
        </w:tc>
        <w:tc>
          <w:tcPr>
            <w:tcW w:w="3440" w:type="dxa"/>
            <w:gridSpan w:val="2"/>
            <w:tcBorders>
              <w:top w:val="single" w:color="auto" w:sz="8" w:space="0"/>
              <w:left w:val="nil"/>
              <w:bottom w:val="single" w:color="auto" w:sz="8" w:space="0"/>
              <w:right w:val="single" w:color="000000" w:sz="8" w:space="0"/>
            </w:tcBorders>
            <w:shd w:val="clear" w:color="auto" w:fill="auto"/>
            <w:noWrap/>
            <w:vAlign w:val="bottom"/>
          </w:tcPr>
          <w:p w14:paraId="72C91D27">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Výška podielu na základnom imaní</w:t>
            </w:r>
          </w:p>
        </w:tc>
        <w:tc>
          <w:tcPr>
            <w:tcW w:w="1500" w:type="dxa"/>
            <w:vMerge w:val="restart"/>
            <w:tcBorders>
              <w:top w:val="single" w:color="auto" w:sz="8" w:space="0"/>
              <w:left w:val="single" w:color="auto" w:sz="8" w:space="0"/>
              <w:bottom w:val="nil"/>
              <w:right w:val="single" w:color="auto" w:sz="8" w:space="0"/>
            </w:tcBorders>
            <w:shd w:val="clear" w:color="auto" w:fill="auto"/>
            <w:vAlign w:val="bottom"/>
          </w:tcPr>
          <w:p w14:paraId="50C9EFD8">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Podiel na hlasovacích právach v %</w:t>
            </w:r>
          </w:p>
        </w:tc>
        <w:tc>
          <w:tcPr>
            <w:tcW w:w="1500" w:type="dxa"/>
            <w:vMerge w:val="restart"/>
            <w:tcBorders>
              <w:top w:val="single" w:color="auto" w:sz="8" w:space="0"/>
              <w:left w:val="single" w:color="auto" w:sz="8" w:space="0"/>
              <w:bottom w:val="nil"/>
              <w:right w:val="single" w:color="auto" w:sz="8" w:space="0"/>
            </w:tcBorders>
            <w:shd w:val="clear" w:color="auto" w:fill="auto"/>
            <w:vAlign w:val="bottom"/>
          </w:tcPr>
          <w:p w14:paraId="68157F84">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Iný podiel na ostatných Vl ako na ZI v %</w:t>
            </w:r>
          </w:p>
        </w:tc>
      </w:tr>
      <w:tr w14:paraId="2FA0C3B4">
        <w:tblPrEx>
          <w:tblCellMar>
            <w:top w:w="0" w:type="dxa"/>
            <w:left w:w="70" w:type="dxa"/>
            <w:bottom w:w="0" w:type="dxa"/>
            <w:right w:w="70" w:type="dxa"/>
          </w:tblCellMar>
        </w:tblPrEx>
        <w:trPr>
          <w:trHeight w:val="424" w:hRule="atLeast"/>
        </w:trPr>
        <w:tc>
          <w:tcPr>
            <w:tcW w:w="2680" w:type="dxa"/>
            <w:vMerge w:val="continue"/>
            <w:tcBorders>
              <w:top w:val="single" w:color="auto" w:sz="8" w:space="0"/>
              <w:left w:val="single" w:color="auto" w:sz="8" w:space="0"/>
              <w:bottom w:val="nil"/>
              <w:right w:val="single" w:color="auto" w:sz="8" w:space="0"/>
            </w:tcBorders>
            <w:vAlign w:val="center"/>
          </w:tcPr>
          <w:p w14:paraId="2615ECA1">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nil"/>
              <w:right w:val="single" w:color="auto" w:sz="8" w:space="0"/>
            </w:tcBorders>
            <w:shd w:val="clear" w:color="auto" w:fill="auto"/>
            <w:noWrap/>
            <w:vAlign w:val="center"/>
          </w:tcPr>
          <w:p w14:paraId="1C8E7756">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absolútne</w:t>
            </w:r>
          </w:p>
        </w:tc>
        <w:tc>
          <w:tcPr>
            <w:tcW w:w="1037" w:type="dxa"/>
            <w:tcBorders>
              <w:top w:val="nil"/>
              <w:left w:val="nil"/>
              <w:bottom w:val="nil"/>
              <w:right w:val="single" w:color="auto" w:sz="8" w:space="0"/>
            </w:tcBorders>
            <w:shd w:val="clear" w:color="auto" w:fill="auto"/>
            <w:noWrap/>
            <w:vAlign w:val="center"/>
          </w:tcPr>
          <w:p w14:paraId="189E2B07">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v %</w:t>
            </w:r>
          </w:p>
        </w:tc>
        <w:tc>
          <w:tcPr>
            <w:tcW w:w="1500" w:type="dxa"/>
            <w:vMerge w:val="continue"/>
            <w:tcBorders>
              <w:top w:val="single" w:color="auto" w:sz="8" w:space="0"/>
              <w:left w:val="single" w:color="auto" w:sz="8" w:space="0"/>
              <w:bottom w:val="nil"/>
              <w:right w:val="single" w:color="auto" w:sz="8" w:space="0"/>
            </w:tcBorders>
            <w:vAlign w:val="center"/>
          </w:tcPr>
          <w:p w14:paraId="5F64DCC4">
            <w:pPr>
              <w:spacing w:after="0" w:line="240" w:lineRule="auto"/>
              <w:rPr>
                <w:rFonts w:ascii="Times New Roman" w:hAnsi="Times New Roman" w:eastAsia="Times New Roman"/>
                <w:color w:val="000000"/>
                <w:sz w:val="24"/>
                <w:szCs w:val="24"/>
                <w:lang w:eastAsia="sk-SK"/>
              </w:rPr>
            </w:pPr>
          </w:p>
        </w:tc>
        <w:tc>
          <w:tcPr>
            <w:tcW w:w="1500" w:type="dxa"/>
            <w:vMerge w:val="continue"/>
            <w:tcBorders>
              <w:top w:val="single" w:color="auto" w:sz="8" w:space="0"/>
              <w:left w:val="single" w:color="auto" w:sz="8" w:space="0"/>
              <w:bottom w:val="nil"/>
              <w:right w:val="single" w:color="auto" w:sz="8" w:space="0"/>
            </w:tcBorders>
            <w:vAlign w:val="center"/>
          </w:tcPr>
          <w:p w14:paraId="4989082A">
            <w:pPr>
              <w:spacing w:after="0" w:line="240" w:lineRule="auto"/>
              <w:rPr>
                <w:rFonts w:ascii="Times New Roman" w:hAnsi="Times New Roman" w:eastAsia="Times New Roman"/>
                <w:color w:val="000000"/>
                <w:sz w:val="24"/>
                <w:szCs w:val="24"/>
                <w:lang w:eastAsia="sk-SK"/>
              </w:rPr>
            </w:pPr>
          </w:p>
        </w:tc>
      </w:tr>
      <w:tr w14:paraId="047A00F3">
        <w:tblPrEx>
          <w:tblCellMar>
            <w:top w:w="0" w:type="dxa"/>
            <w:left w:w="70" w:type="dxa"/>
            <w:bottom w:w="0" w:type="dxa"/>
            <w:right w:w="70" w:type="dxa"/>
          </w:tblCellMar>
        </w:tblPrEx>
        <w:trPr>
          <w:trHeight w:val="330" w:hRule="atLeast"/>
        </w:trPr>
        <w:tc>
          <w:tcPr>
            <w:tcW w:w="2680" w:type="dxa"/>
            <w:tcBorders>
              <w:top w:val="nil"/>
              <w:left w:val="single" w:color="auto" w:sz="8" w:space="0"/>
              <w:bottom w:val="nil"/>
              <w:right w:val="single" w:color="auto" w:sz="8" w:space="0"/>
            </w:tcBorders>
            <w:shd w:val="clear" w:color="auto" w:fill="auto"/>
            <w:noWrap/>
            <w:vAlign w:val="bottom"/>
          </w:tcPr>
          <w:p w14:paraId="6143ACAF">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a</w:t>
            </w:r>
          </w:p>
        </w:tc>
        <w:tc>
          <w:tcPr>
            <w:tcW w:w="2403" w:type="dxa"/>
            <w:tcBorders>
              <w:top w:val="nil"/>
              <w:left w:val="nil"/>
              <w:bottom w:val="nil"/>
              <w:right w:val="single" w:color="auto" w:sz="8" w:space="0"/>
            </w:tcBorders>
            <w:shd w:val="clear" w:color="auto" w:fill="auto"/>
            <w:noWrap/>
            <w:vAlign w:val="bottom"/>
          </w:tcPr>
          <w:p w14:paraId="1A9D0B51">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B</w:t>
            </w:r>
          </w:p>
        </w:tc>
        <w:tc>
          <w:tcPr>
            <w:tcW w:w="1037" w:type="dxa"/>
            <w:tcBorders>
              <w:top w:val="nil"/>
              <w:left w:val="nil"/>
              <w:bottom w:val="nil"/>
              <w:right w:val="single" w:color="auto" w:sz="8" w:space="0"/>
            </w:tcBorders>
            <w:shd w:val="clear" w:color="auto" w:fill="auto"/>
            <w:noWrap/>
            <w:vAlign w:val="bottom"/>
          </w:tcPr>
          <w:p w14:paraId="3ABD41E5">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C</w:t>
            </w:r>
          </w:p>
        </w:tc>
        <w:tc>
          <w:tcPr>
            <w:tcW w:w="1500" w:type="dxa"/>
            <w:tcBorders>
              <w:top w:val="nil"/>
              <w:left w:val="nil"/>
              <w:bottom w:val="nil"/>
              <w:right w:val="single" w:color="auto" w:sz="8" w:space="0"/>
            </w:tcBorders>
            <w:shd w:val="clear" w:color="auto" w:fill="auto"/>
            <w:noWrap/>
            <w:vAlign w:val="bottom"/>
          </w:tcPr>
          <w:p w14:paraId="5C005820">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d</w:t>
            </w:r>
          </w:p>
        </w:tc>
        <w:tc>
          <w:tcPr>
            <w:tcW w:w="1500" w:type="dxa"/>
            <w:tcBorders>
              <w:top w:val="nil"/>
              <w:left w:val="nil"/>
              <w:bottom w:val="nil"/>
              <w:right w:val="single" w:color="auto" w:sz="8" w:space="0"/>
            </w:tcBorders>
            <w:shd w:val="clear" w:color="auto" w:fill="auto"/>
            <w:noWrap/>
            <w:vAlign w:val="bottom"/>
          </w:tcPr>
          <w:p w14:paraId="55E3EDF3">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e</w:t>
            </w:r>
          </w:p>
        </w:tc>
      </w:tr>
      <w:tr w14:paraId="0AF168D0">
        <w:tblPrEx>
          <w:tblCellMar>
            <w:top w:w="0" w:type="dxa"/>
            <w:left w:w="70" w:type="dxa"/>
            <w:bottom w:w="0" w:type="dxa"/>
            <w:right w:w="70" w:type="dxa"/>
          </w:tblCellMar>
        </w:tblPrEx>
        <w:trPr>
          <w:trHeight w:val="315" w:hRule="atLeast"/>
        </w:trPr>
        <w:tc>
          <w:tcPr>
            <w:tcW w:w="2680" w:type="dxa"/>
            <w:tcBorders>
              <w:top w:val="single" w:color="auto" w:sz="8" w:space="0"/>
              <w:left w:val="single" w:color="auto" w:sz="8" w:space="0"/>
              <w:bottom w:val="single" w:color="auto" w:sz="4" w:space="0"/>
              <w:right w:val="single" w:color="auto" w:sz="8" w:space="0"/>
            </w:tcBorders>
            <w:shd w:val="clear" w:color="auto" w:fill="auto"/>
            <w:noWrap/>
            <w:vAlign w:val="bottom"/>
          </w:tcPr>
          <w:p w14:paraId="623D23DA">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Ing. Miroslav Lukáč</w:t>
            </w:r>
          </w:p>
        </w:tc>
        <w:tc>
          <w:tcPr>
            <w:tcW w:w="2403" w:type="dxa"/>
            <w:tcBorders>
              <w:top w:val="single" w:color="auto" w:sz="8" w:space="0"/>
              <w:left w:val="nil"/>
              <w:bottom w:val="single" w:color="auto" w:sz="4" w:space="0"/>
              <w:right w:val="single" w:color="auto" w:sz="8" w:space="0"/>
            </w:tcBorders>
            <w:shd w:val="clear" w:color="auto" w:fill="auto"/>
            <w:noWrap/>
            <w:vAlign w:val="bottom"/>
          </w:tcPr>
          <w:p w14:paraId="561027F8">
            <w:pPr>
              <w:spacing w:after="0" w:line="240" w:lineRule="auto"/>
              <w:rPr>
                <w:rFonts w:ascii="Times New Roman" w:hAnsi="Times New Roman" w:eastAsia="Times New Roman"/>
                <w:color w:val="000000"/>
                <w:sz w:val="24"/>
                <w:szCs w:val="24"/>
                <w:lang w:eastAsia="sk-SK"/>
              </w:rPr>
            </w:pPr>
          </w:p>
        </w:tc>
        <w:tc>
          <w:tcPr>
            <w:tcW w:w="1037" w:type="dxa"/>
            <w:tcBorders>
              <w:top w:val="single" w:color="auto" w:sz="8" w:space="0"/>
              <w:left w:val="nil"/>
              <w:bottom w:val="single" w:color="auto" w:sz="4" w:space="0"/>
              <w:right w:val="single" w:color="auto" w:sz="8" w:space="0"/>
            </w:tcBorders>
            <w:shd w:val="clear" w:color="auto" w:fill="auto"/>
            <w:noWrap/>
            <w:vAlign w:val="bottom"/>
          </w:tcPr>
          <w:p w14:paraId="3764785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50</w:t>
            </w:r>
          </w:p>
        </w:tc>
        <w:tc>
          <w:tcPr>
            <w:tcW w:w="1500" w:type="dxa"/>
            <w:tcBorders>
              <w:top w:val="single" w:color="auto" w:sz="8" w:space="0"/>
              <w:left w:val="nil"/>
              <w:bottom w:val="single" w:color="auto" w:sz="4" w:space="0"/>
              <w:right w:val="single" w:color="auto" w:sz="8" w:space="0"/>
            </w:tcBorders>
            <w:shd w:val="clear" w:color="auto" w:fill="auto"/>
            <w:noWrap/>
            <w:vAlign w:val="bottom"/>
          </w:tcPr>
          <w:p w14:paraId="1B41AB5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50</w:t>
            </w:r>
          </w:p>
        </w:tc>
        <w:tc>
          <w:tcPr>
            <w:tcW w:w="1500" w:type="dxa"/>
            <w:tcBorders>
              <w:top w:val="single" w:color="auto" w:sz="8" w:space="0"/>
              <w:left w:val="nil"/>
              <w:bottom w:val="single" w:color="auto" w:sz="4" w:space="0"/>
              <w:right w:val="single" w:color="auto" w:sz="8" w:space="0"/>
            </w:tcBorders>
            <w:shd w:val="clear" w:color="auto" w:fill="auto"/>
            <w:noWrap/>
            <w:vAlign w:val="bottom"/>
          </w:tcPr>
          <w:p w14:paraId="207EAA89">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2096F5EA">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3D697BF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Ing. Katarína Lukáčová</w:t>
            </w:r>
          </w:p>
        </w:tc>
        <w:tc>
          <w:tcPr>
            <w:tcW w:w="2403" w:type="dxa"/>
            <w:tcBorders>
              <w:top w:val="nil"/>
              <w:left w:val="nil"/>
              <w:bottom w:val="single" w:color="auto" w:sz="4" w:space="0"/>
              <w:right w:val="single" w:color="auto" w:sz="8" w:space="0"/>
            </w:tcBorders>
            <w:shd w:val="clear" w:color="auto" w:fill="auto"/>
            <w:noWrap/>
            <w:vAlign w:val="bottom"/>
          </w:tcPr>
          <w:p w14:paraId="13E84539">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37" w:type="dxa"/>
            <w:tcBorders>
              <w:top w:val="nil"/>
              <w:left w:val="nil"/>
              <w:bottom w:val="single" w:color="auto" w:sz="4" w:space="0"/>
              <w:right w:val="single" w:color="auto" w:sz="8" w:space="0"/>
            </w:tcBorders>
            <w:shd w:val="clear" w:color="auto" w:fill="auto"/>
            <w:noWrap/>
            <w:vAlign w:val="bottom"/>
          </w:tcPr>
          <w:p w14:paraId="302FF04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50</w:t>
            </w:r>
          </w:p>
        </w:tc>
        <w:tc>
          <w:tcPr>
            <w:tcW w:w="1500" w:type="dxa"/>
            <w:tcBorders>
              <w:top w:val="nil"/>
              <w:left w:val="nil"/>
              <w:bottom w:val="single" w:color="auto" w:sz="4" w:space="0"/>
              <w:right w:val="single" w:color="auto" w:sz="8" w:space="0"/>
            </w:tcBorders>
            <w:shd w:val="clear" w:color="auto" w:fill="auto"/>
            <w:noWrap/>
            <w:vAlign w:val="bottom"/>
          </w:tcPr>
          <w:p w14:paraId="3BC4605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50</w:t>
            </w:r>
          </w:p>
        </w:tc>
        <w:tc>
          <w:tcPr>
            <w:tcW w:w="1500" w:type="dxa"/>
            <w:tcBorders>
              <w:top w:val="nil"/>
              <w:left w:val="nil"/>
              <w:bottom w:val="single" w:color="auto" w:sz="4" w:space="0"/>
              <w:right w:val="single" w:color="auto" w:sz="8" w:space="0"/>
            </w:tcBorders>
            <w:shd w:val="clear" w:color="auto" w:fill="auto"/>
            <w:noWrap/>
            <w:vAlign w:val="bottom"/>
          </w:tcPr>
          <w:p w14:paraId="215DECC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6A6B30D1">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0A1490EF">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single" w:color="auto" w:sz="4" w:space="0"/>
              <w:right w:val="single" w:color="auto" w:sz="8" w:space="0"/>
            </w:tcBorders>
            <w:shd w:val="clear" w:color="auto" w:fill="auto"/>
            <w:noWrap/>
            <w:vAlign w:val="bottom"/>
          </w:tcPr>
          <w:p w14:paraId="0E8BB52C">
            <w:pPr>
              <w:spacing w:after="0" w:line="240" w:lineRule="auto"/>
              <w:rPr>
                <w:rFonts w:ascii="Times New Roman" w:hAnsi="Times New Roman" w:eastAsia="Times New Roman"/>
                <w:color w:val="000000"/>
                <w:sz w:val="24"/>
                <w:szCs w:val="24"/>
                <w:lang w:eastAsia="sk-SK"/>
              </w:rPr>
            </w:pPr>
          </w:p>
        </w:tc>
        <w:tc>
          <w:tcPr>
            <w:tcW w:w="1037" w:type="dxa"/>
            <w:tcBorders>
              <w:top w:val="nil"/>
              <w:left w:val="nil"/>
              <w:bottom w:val="single" w:color="auto" w:sz="4" w:space="0"/>
              <w:right w:val="single" w:color="auto" w:sz="8" w:space="0"/>
            </w:tcBorders>
            <w:shd w:val="clear" w:color="auto" w:fill="auto"/>
            <w:noWrap/>
            <w:vAlign w:val="bottom"/>
          </w:tcPr>
          <w:p w14:paraId="32A64A6E">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651C63FA">
            <w:pPr>
              <w:spacing w:after="0" w:line="240" w:lineRule="auto"/>
              <w:rPr>
                <w:rFonts w:ascii="Times New Roman" w:hAnsi="Times New Roman" w:eastAsia="Times New Roman"/>
                <w:color w:val="000000"/>
                <w:sz w:val="24"/>
                <w:szCs w:val="24"/>
                <w:lang w:eastAsia="sk-SK"/>
              </w:rPr>
            </w:pPr>
          </w:p>
        </w:tc>
        <w:tc>
          <w:tcPr>
            <w:tcW w:w="1500" w:type="dxa"/>
            <w:tcBorders>
              <w:top w:val="nil"/>
              <w:left w:val="nil"/>
              <w:bottom w:val="single" w:color="auto" w:sz="4" w:space="0"/>
              <w:right w:val="single" w:color="auto" w:sz="8" w:space="0"/>
            </w:tcBorders>
            <w:shd w:val="clear" w:color="auto" w:fill="auto"/>
            <w:noWrap/>
            <w:vAlign w:val="bottom"/>
          </w:tcPr>
          <w:p w14:paraId="61224364">
            <w:pPr>
              <w:spacing w:after="0" w:line="240" w:lineRule="auto"/>
              <w:rPr>
                <w:rFonts w:ascii="Times New Roman" w:hAnsi="Times New Roman" w:eastAsia="Times New Roman"/>
                <w:color w:val="000000"/>
                <w:sz w:val="24"/>
                <w:szCs w:val="24"/>
                <w:lang w:eastAsia="sk-SK"/>
              </w:rPr>
            </w:pPr>
          </w:p>
        </w:tc>
      </w:tr>
      <w:tr w14:paraId="2C6E79CE">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134484A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403" w:type="dxa"/>
            <w:tcBorders>
              <w:top w:val="nil"/>
              <w:left w:val="nil"/>
              <w:bottom w:val="single" w:color="auto" w:sz="4" w:space="0"/>
              <w:right w:val="single" w:color="auto" w:sz="8" w:space="0"/>
            </w:tcBorders>
            <w:shd w:val="clear" w:color="auto" w:fill="auto"/>
            <w:noWrap/>
            <w:vAlign w:val="bottom"/>
          </w:tcPr>
          <w:p w14:paraId="5DDC572E">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37" w:type="dxa"/>
            <w:tcBorders>
              <w:top w:val="nil"/>
              <w:left w:val="nil"/>
              <w:bottom w:val="single" w:color="auto" w:sz="4" w:space="0"/>
              <w:right w:val="single" w:color="auto" w:sz="8" w:space="0"/>
            </w:tcBorders>
            <w:shd w:val="clear" w:color="auto" w:fill="auto"/>
            <w:noWrap/>
            <w:vAlign w:val="bottom"/>
          </w:tcPr>
          <w:p w14:paraId="473949E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204CD371">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2147146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2C0A1EBA">
        <w:tblPrEx>
          <w:tblCellMar>
            <w:top w:w="0" w:type="dxa"/>
            <w:left w:w="70" w:type="dxa"/>
            <w:bottom w:w="0" w:type="dxa"/>
            <w:right w:w="70" w:type="dxa"/>
          </w:tblCellMar>
        </w:tblPrEx>
        <w:trPr>
          <w:trHeight w:val="315" w:hRule="atLeast"/>
        </w:trPr>
        <w:tc>
          <w:tcPr>
            <w:tcW w:w="2680" w:type="dxa"/>
            <w:tcBorders>
              <w:top w:val="nil"/>
              <w:left w:val="single" w:color="auto" w:sz="8" w:space="0"/>
              <w:bottom w:val="single" w:color="auto" w:sz="4" w:space="0"/>
              <w:right w:val="single" w:color="auto" w:sz="8" w:space="0"/>
            </w:tcBorders>
            <w:shd w:val="clear" w:color="auto" w:fill="auto"/>
            <w:noWrap/>
            <w:vAlign w:val="bottom"/>
          </w:tcPr>
          <w:p w14:paraId="5ECA3FB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403" w:type="dxa"/>
            <w:tcBorders>
              <w:top w:val="nil"/>
              <w:left w:val="nil"/>
              <w:bottom w:val="single" w:color="auto" w:sz="4" w:space="0"/>
              <w:right w:val="single" w:color="auto" w:sz="8" w:space="0"/>
            </w:tcBorders>
            <w:shd w:val="clear" w:color="auto" w:fill="auto"/>
            <w:noWrap/>
            <w:vAlign w:val="bottom"/>
          </w:tcPr>
          <w:p w14:paraId="2057650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37" w:type="dxa"/>
            <w:tcBorders>
              <w:top w:val="nil"/>
              <w:left w:val="nil"/>
              <w:bottom w:val="single" w:color="auto" w:sz="4" w:space="0"/>
              <w:right w:val="single" w:color="auto" w:sz="8" w:space="0"/>
            </w:tcBorders>
            <w:shd w:val="clear" w:color="auto" w:fill="auto"/>
            <w:noWrap/>
            <w:vAlign w:val="bottom"/>
          </w:tcPr>
          <w:p w14:paraId="546C2B5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520C67A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00" w:type="dxa"/>
            <w:tcBorders>
              <w:top w:val="nil"/>
              <w:left w:val="nil"/>
              <w:bottom w:val="single" w:color="auto" w:sz="4" w:space="0"/>
              <w:right w:val="single" w:color="auto" w:sz="8" w:space="0"/>
            </w:tcBorders>
            <w:shd w:val="clear" w:color="auto" w:fill="auto"/>
            <w:noWrap/>
            <w:vAlign w:val="bottom"/>
          </w:tcPr>
          <w:p w14:paraId="39B85FD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4C2B7337">
        <w:tblPrEx>
          <w:tblCellMar>
            <w:top w:w="0" w:type="dxa"/>
            <w:left w:w="70" w:type="dxa"/>
            <w:bottom w:w="0" w:type="dxa"/>
            <w:right w:w="70" w:type="dxa"/>
          </w:tblCellMar>
        </w:tblPrEx>
        <w:trPr>
          <w:trHeight w:val="330" w:hRule="atLeast"/>
        </w:trPr>
        <w:tc>
          <w:tcPr>
            <w:tcW w:w="2680" w:type="dxa"/>
            <w:tcBorders>
              <w:top w:val="nil"/>
              <w:left w:val="single" w:color="auto" w:sz="8" w:space="0"/>
              <w:bottom w:val="single" w:color="auto" w:sz="8" w:space="0"/>
              <w:right w:val="single" w:color="auto" w:sz="8" w:space="0"/>
            </w:tcBorders>
            <w:shd w:val="clear" w:color="auto" w:fill="auto"/>
            <w:noWrap/>
            <w:vAlign w:val="bottom"/>
          </w:tcPr>
          <w:p w14:paraId="247D0341">
            <w:pPr>
              <w:spacing w:after="0" w:line="240" w:lineRule="auto"/>
              <w:rPr>
                <w:rFonts w:ascii="Times New Roman" w:hAnsi="Times New Roman" w:eastAsia="Times New Roman"/>
                <w:color w:val="000000"/>
                <w:sz w:val="24"/>
                <w:szCs w:val="24"/>
                <w:lang w:eastAsia="sk-SK"/>
              </w:rPr>
            </w:pPr>
          </w:p>
        </w:tc>
        <w:tc>
          <w:tcPr>
            <w:tcW w:w="2403" w:type="dxa"/>
            <w:tcBorders>
              <w:top w:val="nil"/>
              <w:left w:val="nil"/>
              <w:bottom w:val="single" w:color="auto" w:sz="8" w:space="0"/>
              <w:right w:val="single" w:color="auto" w:sz="8" w:space="0"/>
            </w:tcBorders>
            <w:shd w:val="clear" w:color="auto" w:fill="auto"/>
            <w:noWrap/>
            <w:vAlign w:val="bottom"/>
          </w:tcPr>
          <w:p w14:paraId="3C4DB7F1">
            <w:pPr>
              <w:spacing w:after="0" w:line="240" w:lineRule="auto"/>
              <w:rPr>
                <w:rFonts w:ascii="Times New Roman" w:hAnsi="Times New Roman" w:eastAsia="Times New Roman"/>
                <w:color w:val="000000"/>
                <w:sz w:val="24"/>
                <w:szCs w:val="24"/>
                <w:lang w:eastAsia="sk-SK"/>
              </w:rPr>
            </w:pPr>
          </w:p>
        </w:tc>
        <w:tc>
          <w:tcPr>
            <w:tcW w:w="1037" w:type="dxa"/>
            <w:tcBorders>
              <w:top w:val="nil"/>
              <w:left w:val="nil"/>
              <w:bottom w:val="single" w:color="auto" w:sz="8" w:space="0"/>
              <w:right w:val="single" w:color="auto" w:sz="8" w:space="0"/>
            </w:tcBorders>
            <w:shd w:val="clear" w:color="auto" w:fill="auto"/>
            <w:noWrap/>
            <w:vAlign w:val="bottom"/>
          </w:tcPr>
          <w:p w14:paraId="7CA9A03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nil"/>
              <w:left w:val="nil"/>
              <w:bottom w:val="single" w:color="auto" w:sz="8" w:space="0"/>
              <w:right w:val="single" w:color="auto" w:sz="8" w:space="0"/>
            </w:tcBorders>
            <w:shd w:val="clear" w:color="auto" w:fill="auto"/>
            <w:noWrap/>
            <w:vAlign w:val="bottom"/>
          </w:tcPr>
          <w:p w14:paraId="15A4BC76">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100</w:t>
            </w:r>
          </w:p>
        </w:tc>
        <w:tc>
          <w:tcPr>
            <w:tcW w:w="1500" w:type="dxa"/>
            <w:tcBorders>
              <w:top w:val="nil"/>
              <w:left w:val="nil"/>
              <w:bottom w:val="single" w:color="auto" w:sz="8" w:space="0"/>
              <w:right w:val="single" w:color="auto" w:sz="8" w:space="0"/>
            </w:tcBorders>
            <w:shd w:val="clear" w:color="auto" w:fill="auto"/>
            <w:noWrap/>
            <w:vAlign w:val="bottom"/>
          </w:tcPr>
          <w:p w14:paraId="55D446B5">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bl>
    <w:p w14:paraId="599963F3">
      <w:pPr>
        <w:rPr>
          <w:rFonts w:ascii="Times New Roman" w:hAnsi="Times New Roman"/>
          <w:sz w:val="24"/>
        </w:rPr>
      </w:pPr>
    </w:p>
    <w:p w14:paraId="685598A6">
      <w:pPr>
        <w:pStyle w:val="4"/>
        <w:numPr>
          <w:ilvl w:val="0"/>
          <w:numId w:val="3"/>
        </w:numPr>
        <w:rPr>
          <w:rFonts w:ascii="Times New Roman" w:hAnsi="Times New Roman"/>
          <w:b/>
          <w:u w:val="single"/>
        </w:rPr>
      </w:pPr>
      <w:r>
        <w:rPr>
          <w:rFonts w:ascii="Times New Roman" w:hAnsi="Times New Roman"/>
          <w:b/>
          <w:u w:val="single"/>
        </w:rPr>
        <w:t>Informácie o použitých účtovných zásadách účtovných metódach</w:t>
      </w:r>
    </w:p>
    <w:p w14:paraId="478328F9">
      <w:pPr>
        <w:jc w:val="both"/>
        <w:rPr>
          <w:rFonts w:ascii="Times New Roman" w:hAnsi="Times New Roman"/>
        </w:rPr>
      </w:pPr>
      <w:r>
        <w:rPr>
          <w:rFonts w:ascii="Times New Roman" w:hAnsi="Times New Roman"/>
        </w:rPr>
        <w:t>Základné účtovné metódy použité pri zostavení tejto individuálnej účtovnej závierky sú opísané nižšie. Tieto metódy sa uplatňujú konzistentne počas všetkých účtovných období, ak nie je uvedené inak.</w:t>
      </w:r>
    </w:p>
    <w:p w14:paraId="1AD287FC">
      <w:pPr>
        <w:jc w:val="both"/>
        <w:rPr>
          <w:rFonts w:ascii="Times New Roman" w:hAnsi="Times New Roman"/>
          <w:b/>
        </w:rPr>
      </w:pPr>
      <w:r>
        <w:rPr>
          <w:rFonts w:ascii="Times New Roman" w:hAnsi="Times New Roman"/>
          <w:b/>
        </w:rPr>
        <w:t>Použité účtovné zásady a účtovné metódy</w:t>
      </w:r>
    </w:p>
    <w:p w14:paraId="4650A3BA">
      <w:pPr>
        <w:jc w:val="both"/>
        <w:rPr>
          <w:rFonts w:ascii="Times New Roman" w:hAnsi="Times New Roman"/>
        </w:rPr>
      </w:pPr>
      <w:r>
        <w:rPr>
          <w:rFonts w:ascii="Times New Roman" w:hAnsi="Times New Roman"/>
        </w:rPr>
        <w:t>Účtovná závierka bola zostavená za predpokladu nepretržitého trvania.</w:t>
      </w:r>
    </w:p>
    <w:p w14:paraId="50BC3B23">
      <w:pPr>
        <w:jc w:val="both"/>
        <w:rPr>
          <w:rFonts w:ascii="Times New Roman" w:hAnsi="Times New Roman"/>
          <w:b/>
        </w:rPr>
      </w:pPr>
      <w:r>
        <w:rPr>
          <w:rFonts w:ascii="Times New Roman" w:hAnsi="Times New Roman"/>
          <w:b/>
        </w:rPr>
        <w:t>Dlhodobý nehmotný majetok</w:t>
      </w:r>
    </w:p>
    <w:p w14:paraId="136A34B1">
      <w:pPr>
        <w:pStyle w:val="4"/>
        <w:numPr>
          <w:ilvl w:val="0"/>
          <w:numId w:val="5"/>
        </w:numPr>
        <w:jc w:val="both"/>
        <w:rPr>
          <w:rFonts w:ascii="Times New Roman" w:hAnsi="Times New Roman"/>
        </w:rPr>
      </w:pPr>
      <w:r>
        <w:rPr>
          <w:rFonts w:ascii="Times New Roman" w:hAnsi="Times New Roman"/>
        </w:rPr>
        <w:t>Dlhodobý nehmotný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p>
    <w:p w14:paraId="71C214DC">
      <w:pPr>
        <w:pStyle w:val="4"/>
        <w:numPr>
          <w:ilvl w:val="0"/>
          <w:numId w:val="5"/>
        </w:numPr>
        <w:jc w:val="both"/>
        <w:rPr>
          <w:rFonts w:ascii="Times New Roman" w:hAnsi="Times New Roman"/>
        </w:rPr>
      </w:pPr>
      <w:r>
        <w:rPr>
          <w:rFonts w:ascii="Times New Roman" w:hAnsi="Times New Roman"/>
        </w:rPr>
        <w:t>Dlhodobý nehmotný majetok vytvorený vlastnou činnosťou sa oceňuje vlastnými nákladmi. Vlastnými nákladmi sú všetky priame náklady vynaložené na výrobu alebo inú činnosť a nepriame náklady, ktoré sa vzťahujú na výrobu a činnosť.</w:t>
      </w:r>
    </w:p>
    <w:p w14:paraId="4C7FCB0C">
      <w:pPr>
        <w:pStyle w:val="4"/>
        <w:numPr>
          <w:ilvl w:val="0"/>
          <w:numId w:val="5"/>
        </w:numPr>
        <w:jc w:val="both"/>
        <w:rPr>
          <w:rFonts w:ascii="Times New Roman" w:hAnsi="Times New Roman"/>
        </w:rPr>
      </w:pPr>
      <w:r>
        <w:rPr>
          <w:rFonts w:ascii="Times New Roman" w:hAnsi="Times New Roman"/>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77730D68">
      <w:pPr>
        <w:pStyle w:val="4"/>
        <w:numPr>
          <w:ilvl w:val="0"/>
          <w:numId w:val="5"/>
        </w:numPr>
        <w:jc w:val="both"/>
        <w:rPr>
          <w:rFonts w:ascii="Times New Roman" w:hAnsi="Times New Roman"/>
        </w:rPr>
      </w:pPr>
      <w:r>
        <w:rPr>
          <w:rFonts w:ascii="Times New Roman" w:hAnsi="Times New Roman"/>
        </w:rPr>
        <w:t>Odpisy dlhodobého nehmotného majetku sú stanovené podľa predpokladanej doby používania a predpokladaného priebehu opotrebenia. Odpisovať sa začína v mesiaci zaradenia dlhodobo nehmotného majetku do používania. Nehmotný majetok, ktorého obstarávacia cena je 1660 eur a od 1. marca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14:paraId="472684F5">
      <w:pPr>
        <w:pStyle w:val="4"/>
        <w:numPr>
          <w:ilvl w:val="0"/>
          <w:numId w:val="5"/>
        </w:numPr>
        <w:jc w:val="both"/>
        <w:rPr>
          <w:rFonts w:ascii="Times New Roman" w:hAnsi="Times New Roman"/>
        </w:rPr>
      </w:pPr>
      <w:r>
        <w:rPr>
          <w:rFonts w:ascii="Times New Roman" w:hAnsi="Times New Roman"/>
        </w:rPr>
        <w:t>Vypracuje sa tabuľka podľa jednotlivého dlhodobého nehmotného majetku, so stanovenou metódou odpisovania, ročnou odpisovou sadzbou.</w:t>
      </w:r>
    </w:p>
    <w:p w14:paraId="6D16975D">
      <w:pPr>
        <w:spacing w:after="0"/>
        <w:jc w:val="both"/>
        <w:rPr>
          <w:rFonts w:ascii="Times New Roman" w:hAnsi="Times New Roman"/>
          <w:b/>
        </w:rPr>
      </w:pPr>
      <w:r>
        <w:rPr>
          <w:rFonts w:ascii="Times New Roman" w:hAnsi="Times New Roman"/>
          <w:b/>
        </w:rPr>
        <w:t>Dlhodobý hmotný majetok</w:t>
      </w:r>
    </w:p>
    <w:p w14:paraId="59D6552B">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Dlhodobý 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 </w:t>
      </w:r>
    </w:p>
    <w:p w14:paraId="11979339">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Do dlhodobého hmotného majetku patrí majetok, ku ktorému má účtovná jednotka vlastnícke právo. Ďalej do dlhodobého hmotného majetku v roku 2011 bol zaradený nehnuteľný majetok, ktorý účtovná jednotka užíva, ale vlastnícke právo nadobudne až povolením vkladu do katastra nehnuteľnosti. </w:t>
      </w:r>
    </w:p>
    <w:p w14:paraId="506F1A94">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 </w:t>
      </w:r>
    </w:p>
    <w:p w14:paraId="17338026">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Vypracuje sa tabuľka podľa jednotlivého dlhodobého hmotného majetku, so stanovenou metódou odpisovania, ročnou odpisovou sadzbou. </w:t>
      </w:r>
    </w:p>
    <w:p w14:paraId="065013AA">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Odhadovaná doba životnosti a odpisový plán sú prehodnotené na konci každého účtovného obdobia. </w:t>
      </w:r>
    </w:p>
    <w:p w14:paraId="08D6A6BC">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 </w:t>
      </w:r>
    </w:p>
    <w:p w14:paraId="0FACDE7B">
      <w:pPr>
        <w:pStyle w:val="5"/>
        <w:numPr>
          <w:ilvl w:val="0"/>
          <w:numId w:val="6"/>
        </w:numPr>
        <w:jc w:val="both"/>
        <w:rPr>
          <w:rFonts w:ascii="Times New Roman" w:hAnsi="Times New Roman" w:cs="Times New Roman"/>
          <w:sz w:val="22"/>
          <w:szCs w:val="20"/>
        </w:rPr>
      </w:pPr>
      <w:r>
        <w:rPr>
          <w:rFonts w:ascii="Times New Roman" w:hAnsi="Times New Roman" w:cs="Times New Roman"/>
          <w:sz w:val="22"/>
          <w:szCs w:val="20"/>
        </w:rPr>
        <w:t xml:space="preserve">Technické zhodnotenie dlhodobého hmotného majetku nie je technickým zhodnotením, ak neprevyšuje úhrne za účtovné obdobie sumu 1700 eur. </w:t>
      </w:r>
    </w:p>
    <w:p w14:paraId="1B8708FC">
      <w:pPr>
        <w:jc w:val="both"/>
        <w:rPr>
          <w:rFonts w:ascii="Times New Roman" w:hAnsi="Times New Roman"/>
          <w:b/>
        </w:rPr>
      </w:pPr>
      <w:r>
        <w:rPr>
          <w:rFonts w:ascii="Times New Roman" w:hAnsi="Times New Roman"/>
          <w:b/>
        </w:rPr>
        <w:t>Cenné papiere a podiely</w:t>
      </w:r>
    </w:p>
    <w:p w14:paraId="1C113571">
      <w:pPr>
        <w:jc w:val="both"/>
        <w:rPr>
          <w:rFonts w:ascii="Times New Roman" w:hAnsi="Times New Roman"/>
        </w:rPr>
      </w:pPr>
      <w:r>
        <w:rPr>
          <w:rFonts w:ascii="Times New Roman" w:hAnsi="Times New Roman"/>
        </w:rPr>
        <w:t>Spoločnosť v súčasnej dobe neúčtuje o cenných papieroch a podieloch</w:t>
      </w:r>
    </w:p>
    <w:p w14:paraId="79197DE3">
      <w:pPr>
        <w:jc w:val="both"/>
        <w:rPr>
          <w:rFonts w:ascii="Times New Roman" w:hAnsi="Times New Roman"/>
          <w:b/>
        </w:rPr>
      </w:pPr>
      <w:r>
        <w:rPr>
          <w:rFonts w:ascii="Times New Roman" w:hAnsi="Times New Roman"/>
          <w:b/>
        </w:rPr>
        <w:t>Zásoby</w:t>
      </w:r>
    </w:p>
    <w:p w14:paraId="2F4E764F">
      <w:pPr>
        <w:pStyle w:val="5"/>
        <w:numPr>
          <w:ilvl w:val="0"/>
          <w:numId w:val="7"/>
        </w:numPr>
        <w:spacing w:after="13"/>
        <w:jc w:val="both"/>
        <w:rPr>
          <w:rFonts w:ascii="Times New Roman" w:hAnsi="Times New Roman" w:cs="Times New Roman"/>
          <w:sz w:val="22"/>
          <w:szCs w:val="20"/>
        </w:rPr>
      </w:pPr>
      <w:r>
        <w:rPr>
          <w:rFonts w:ascii="Times New Roman" w:hAnsi="Times New Roman" w:cs="Times New Roman"/>
          <w:sz w:val="22"/>
          <w:szCs w:val="20"/>
        </w:rPr>
        <w:t xml:space="preserve">Do zásob účtovnej jednotky patrí skladovaný materiál a skladovaný tovar </w:t>
      </w:r>
    </w:p>
    <w:p w14:paraId="4370B30E">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Materiál a tovar sa prvotne oceňujú obstarávacou cenou, ktorú tvorí cena obstarania a náklady súvisiace s obstaraním (prepravné, poistné, provízie, skonto). Úroky z úverov nie sú súčasťou obstarávacej ceny. </w:t>
      </w:r>
    </w:p>
    <w:p w14:paraId="6B189E3D">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Nakupované zásoby sa </w:t>
      </w:r>
    </w:p>
    <w:p w14:paraId="3CB5EB64">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vyskladňujú váženým aritmetickým priemerom z obstarávacích cien alebo </w:t>
      </w:r>
    </w:p>
    <w:p w14:paraId="6795B753">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Zásoby sa v účtovnej závierke vykazujú ocenením nižšou z nasledujúcich hodnôt: obstarávacou cenou (nakupované zásoby) alebo vlastnými nákladmi (zásoby vytvorené vlastnou činnosťou) alebo čistou realizačnou hodnotou. </w:t>
      </w:r>
    </w:p>
    <w:p w14:paraId="5CC60AB2">
      <w:pPr>
        <w:pStyle w:val="5"/>
        <w:numPr>
          <w:ilvl w:val="0"/>
          <w:numId w:val="7"/>
        </w:numPr>
        <w:jc w:val="both"/>
        <w:rPr>
          <w:rFonts w:ascii="Times New Roman" w:hAnsi="Times New Roman" w:cs="Times New Roman"/>
          <w:sz w:val="22"/>
          <w:szCs w:val="20"/>
        </w:rPr>
      </w:pPr>
      <w:r>
        <w:rPr>
          <w:rFonts w:ascii="Times New Roman" w:hAnsi="Times New Roman" w:cs="Times New Roman"/>
          <w:sz w:val="22"/>
          <w:szCs w:val="20"/>
        </w:rPr>
        <w:t xml:space="preserve">Neskladovateľnými zásobami (účtujú sa priamo do spotreby) sú: </w:t>
      </w:r>
    </w:p>
    <w:p w14:paraId="6BE120BE">
      <w:pPr>
        <w:pStyle w:val="5"/>
        <w:jc w:val="both"/>
        <w:rPr>
          <w:rFonts w:ascii="Times New Roman" w:hAnsi="Times New Roman" w:cs="Times New Roman"/>
          <w:sz w:val="22"/>
          <w:szCs w:val="20"/>
        </w:rPr>
      </w:pPr>
    </w:p>
    <w:p w14:paraId="4E33C610">
      <w:pPr>
        <w:pStyle w:val="5"/>
        <w:numPr>
          <w:ilvl w:val="0"/>
          <w:numId w:val="8"/>
        </w:numPr>
        <w:spacing w:after="13"/>
        <w:jc w:val="both"/>
        <w:rPr>
          <w:rFonts w:ascii="Times New Roman" w:hAnsi="Times New Roman" w:cs="Times New Roman"/>
          <w:sz w:val="22"/>
          <w:szCs w:val="20"/>
        </w:rPr>
      </w:pPr>
      <w:r>
        <w:rPr>
          <w:rFonts w:ascii="Times New Roman" w:hAnsi="Times New Roman" w:cs="Times New Roman"/>
          <w:sz w:val="22"/>
          <w:szCs w:val="20"/>
        </w:rPr>
        <w:t xml:space="preserve">náhradné diely na stroje, prístroje, zariadenia alebo na dopravné prostriedky, pracovné náradia a to za podmienky, že inými dokladmi je preukazateľná montáž alebo inštalácia takéhoto materiálu a že jeho spotreba priamo alebo nepriamo vyplýva zo servisných záznamov, </w:t>
      </w:r>
    </w:p>
    <w:p w14:paraId="7E39A0F6">
      <w:pPr>
        <w:pStyle w:val="5"/>
        <w:numPr>
          <w:ilvl w:val="0"/>
          <w:numId w:val="8"/>
        </w:numPr>
        <w:spacing w:after="13"/>
        <w:jc w:val="both"/>
        <w:rPr>
          <w:rFonts w:ascii="Times New Roman" w:hAnsi="Times New Roman" w:cs="Times New Roman"/>
          <w:sz w:val="22"/>
          <w:szCs w:val="20"/>
        </w:rPr>
      </w:pPr>
      <w:r>
        <w:rPr>
          <w:rFonts w:ascii="Times New Roman" w:hAnsi="Times New Roman" w:cs="Times New Roman"/>
          <w:sz w:val="22"/>
          <w:szCs w:val="20"/>
        </w:rPr>
        <w:t xml:space="preserve">kancelárske potreby, hygienické čistiaci materiál, knihy, odborné časopisy, noviny a iné publikácie vrátane novín a periodík </w:t>
      </w:r>
    </w:p>
    <w:p w14:paraId="004C777F">
      <w:pPr>
        <w:pStyle w:val="5"/>
        <w:numPr>
          <w:ilvl w:val="0"/>
          <w:numId w:val="8"/>
        </w:numPr>
        <w:spacing w:after="13"/>
        <w:jc w:val="both"/>
        <w:rPr>
          <w:rFonts w:ascii="Times New Roman" w:hAnsi="Times New Roman" w:cs="Times New Roman"/>
          <w:sz w:val="22"/>
          <w:szCs w:val="20"/>
        </w:rPr>
      </w:pPr>
      <w:r>
        <w:rPr>
          <w:rFonts w:ascii="Times New Roman" w:hAnsi="Times New Roman" w:cs="Times New Roman"/>
          <w:sz w:val="22"/>
          <w:szCs w:val="20"/>
        </w:rPr>
        <w:t xml:space="preserve">ochranné pracovné pomôcky ( ochranný odev, obuv a iné pomôcky), </w:t>
      </w:r>
    </w:p>
    <w:p w14:paraId="174A0A5E">
      <w:pPr>
        <w:pStyle w:val="5"/>
        <w:numPr>
          <w:ilvl w:val="0"/>
          <w:numId w:val="8"/>
        </w:numPr>
        <w:jc w:val="both"/>
        <w:rPr>
          <w:rFonts w:ascii="Times New Roman" w:hAnsi="Times New Roman" w:cs="Times New Roman"/>
          <w:sz w:val="22"/>
          <w:szCs w:val="20"/>
        </w:rPr>
      </w:pPr>
      <w:r>
        <w:rPr>
          <w:rFonts w:ascii="Times New Roman" w:hAnsi="Times New Roman" w:cs="Times New Roman"/>
          <w:sz w:val="22"/>
          <w:szCs w:val="20"/>
        </w:rPr>
        <w:t xml:space="preserve">ochranné prospekty, plagáty, samolepky, obalové štítky a podobne </w:t>
      </w:r>
    </w:p>
    <w:p w14:paraId="7179D744">
      <w:pPr>
        <w:pStyle w:val="5"/>
        <w:rPr>
          <w:rFonts w:ascii="Times New Roman" w:hAnsi="Times New Roman" w:cs="Times New Roman"/>
          <w:sz w:val="20"/>
          <w:szCs w:val="20"/>
        </w:rPr>
      </w:pPr>
    </w:p>
    <w:p w14:paraId="7C3146E6">
      <w:pPr>
        <w:rPr>
          <w:rFonts w:ascii="Times New Roman" w:hAnsi="Times New Roman"/>
          <w:b/>
        </w:rPr>
      </w:pPr>
    </w:p>
    <w:p w14:paraId="0E1D51C3">
      <w:pPr>
        <w:jc w:val="both"/>
        <w:rPr>
          <w:rFonts w:ascii="Times New Roman" w:hAnsi="Times New Roman"/>
          <w:b/>
        </w:rPr>
      </w:pPr>
      <w:r>
        <w:rPr>
          <w:rFonts w:ascii="Times New Roman" w:hAnsi="Times New Roman"/>
          <w:b/>
        </w:rPr>
        <w:t>Pohľadávky</w:t>
      </w:r>
    </w:p>
    <w:p w14:paraId="4D9A3FB9">
      <w:pPr>
        <w:pStyle w:val="5"/>
        <w:numPr>
          <w:ilvl w:val="0"/>
          <w:numId w:val="9"/>
        </w:numPr>
        <w:spacing w:after="11"/>
        <w:jc w:val="both"/>
        <w:rPr>
          <w:rFonts w:ascii="Times New Roman" w:hAnsi="Times New Roman" w:cs="Times New Roman"/>
          <w:sz w:val="22"/>
          <w:szCs w:val="20"/>
        </w:rPr>
      </w:pPr>
      <w:r>
        <w:rPr>
          <w:rFonts w:ascii="Times New Roman" w:hAnsi="Times New Roman" w:cs="Times New Roman"/>
          <w:sz w:val="22"/>
          <w:szCs w:val="20"/>
        </w:rP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 </w:t>
      </w:r>
    </w:p>
    <w:p w14:paraId="43184F35">
      <w:pPr>
        <w:pStyle w:val="5"/>
        <w:numPr>
          <w:ilvl w:val="0"/>
          <w:numId w:val="9"/>
        </w:numPr>
        <w:spacing w:after="11"/>
        <w:jc w:val="both"/>
        <w:rPr>
          <w:rFonts w:ascii="Times New Roman" w:hAnsi="Times New Roman" w:cs="Times New Roman"/>
          <w:sz w:val="22"/>
          <w:szCs w:val="20"/>
        </w:rPr>
      </w:pPr>
      <w:r>
        <w:rPr>
          <w:rFonts w:ascii="Times New Roman" w:hAnsi="Times New Roman" w:cs="Times New Roman"/>
          <w:sz w:val="22"/>
          <w:szCs w:val="20"/>
        </w:rPr>
        <w:t xml:space="preserve">Pohľadávky s dobou splatnosti od dňa, ktorému sa zostavuje účtovná závierka viac ako 12 mesiacov sú dlhodobé a pohľadávky s dobou splatnosti odo dňa ku ktorému sa zostavuje účtovná závierka menej ako 12 mesiacov sa vykazujú ako krátkodobé. </w:t>
      </w:r>
    </w:p>
    <w:p w14:paraId="70531441">
      <w:pPr>
        <w:pStyle w:val="5"/>
        <w:numPr>
          <w:ilvl w:val="0"/>
          <w:numId w:val="9"/>
        </w:numPr>
        <w:spacing w:after="11"/>
        <w:jc w:val="both"/>
        <w:rPr>
          <w:rFonts w:ascii="Times New Roman" w:hAnsi="Times New Roman" w:cs="Times New Roman"/>
          <w:sz w:val="22"/>
          <w:szCs w:val="20"/>
        </w:rPr>
      </w:pPr>
      <w:r>
        <w:rPr>
          <w:rFonts w:ascii="Times New Roman" w:hAnsi="Times New Roman" w:cs="Times New Roman"/>
          <w:sz w:val="22"/>
          <w:szCs w:val="20"/>
        </w:rPr>
        <w:t xml:space="preserve">Ak je zostatková doba splatnosti pohľadávky dlhšia ako jeden rok, vytvára sa opravná položka, ktorá predstavuje rozdiel medzi menovitou a súčasnou hodnotou pohľadávky. </w:t>
      </w:r>
    </w:p>
    <w:p w14:paraId="45DAB854">
      <w:pPr>
        <w:pStyle w:val="5"/>
        <w:numPr>
          <w:ilvl w:val="0"/>
          <w:numId w:val="9"/>
        </w:numPr>
        <w:jc w:val="both"/>
        <w:rPr>
          <w:rFonts w:ascii="Times New Roman" w:hAnsi="Times New Roman" w:cs="Times New Roman"/>
          <w:sz w:val="22"/>
          <w:szCs w:val="20"/>
        </w:rPr>
      </w:pPr>
      <w:r>
        <w:rPr>
          <w:rFonts w:ascii="Times New Roman" w:hAnsi="Times New Roman" w:cs="Times New Roman"/>
          <w:sz w:val="22"/>
          <w:szCs w:val="20"/>
        </w:rPr>
        <w:t xml:space="preserve">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 </w:t>
      </w:r>
    </w:p>
    <w:p w14:paraId="3246D233">
      <w:pPr>
        <w:jc w:val="both"/>
        <w:rPr>
          <w:rFonts w:ascii="Times New Roman" w:hAnsi="Times New Roman"/>
          <w:b/>
          <w:sz w:val="24"/>
        </w:rPr>
      </w:pPr>
    </w:p>
    <w:p w14:paraId="5E4A8AD3">
      <w:pPr>
        <w:jc w:val="both"/>
        <w:rPr>
          <w:rFonts w:ascii="Times New Roman" w:hAnsi="Times New Roman"/>
          <w:b/>
        </w:rPr>
      </w:pPr>
      <w:r>
        <w:rPr>
          <w:rFonts w:ascii="Times New Roman" w:hAnsi="Times New Roman"/>
          <w:b/>
        </w:rPr>
        <w:t>Peňažné prostriedky, ekvivalenty peňažných prostriedkov a peňažné ekvivalenty</w:t>
      </w:r>
    </w:p>
    <w:p w14:paraId="596CD5F4">
      <w:pPr>
        <w:ind w:left="709"/>
        <w:jc w:val="both"/>
        <w:rPr>
          <w:rFonts w:ascii="Times New Roman" w:hAnsi="Times New Roman"/>
        </w:rPr>
      </w:pPr>
      <w:r>
        <w:rPr>
          <w:rFonts w:ascii="Times New Roman" w:hAnsi="Times New Roman"/>
        </w:rPr>
        <w:t>Peňažné prostriedky a ceniny sa oceňujú ich menovitou hodnotou. Zníženie ich hodnoty sa vyjadruje opravnou položkou.</w:t>
      </w:r>
    </w:p>
    <w:p w14:paraId="7102DED3">
      <w:pPr>
        <w:ind w:left="709"/>
        <w:jc w:val="both"/>
        <w:rPr>
          <w:rFonts w:ascii="Times New Roman" w:hAnsi="Times New Roman"/>
        </w:rPr>
      </w:pPr>
      <w:r>
        <w:rPr>
          <w:rFonts w:ascii="Times New Roman" w:hAnsi="Times New Roman"/>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7AA24248">
      <w:pPr>
        <w:ind w:left="709"/>
        <w:jc w:val="both"/>
        <w:rPr>
          <w:rFonts w:ascii="Times New Roman" w:hAnsi="Times New Roman"/>
          <w:b/>
        </w:rPr>
      </w:pPr>
      <w:r>
        <w:rPr>
          <w:rFonts w:ascii="Times New Roman" w:hAnsi="Times New Roman"/>
          <w:b/>
        </w:rPr>
        <w:t>Náklady budúcich období a príjmy budúcich období</w:t>
      </w:r>
    </w:p>
    <w:p w14:paraId="2B967A1A">
      <w:pPr>
        <w:ind w:left="709"/>
        <w:jc w:val="both"/>
        <w:rPr>
          <w:rFonts w:ascii="Times New Roman" w:hAnsi="Times New Roman"/>
        </w:rPr>
      </w:pPr>
      <w:r>
        <w:rPr>
          <w:rFonts w:ascii="Times New Roman" w:hAnsi="Times New Roman"/>
        </w:rPr>
        <w:t>Náklady budúcich období a príjmy budúcich období sa vykazujú vo výške, ktorá je potrebná na dodržanie zásady vecnej a časovej súvislosti s účtovným obdobím.</w:t>
      </w:r>
    </w:p>
    <w:p w14:paraId="1EAA0D8E">
      <w:pPr>
        <w:ind w:left="709"/>
        <w:jc w:val="both"/>
        <w:rPr>
          <w:rFonts w:ascii="Times New Roman" w:hAnsi="Times New Roman"/>
          <w:b/>
        </w:rPr>
      </w:pPr>
      <w:r>
        <w:rPr>
          <w:rFonts w:ascii="Times New Roman" w:hAnsi="Times New Roman"/>
          <w:b/>
        </w:rPr>
        <w:t>Rezervy</w:t>
      </w:r>
    </w:p>
    <w:p w14:paraId="41535202">
      <w:pPr>
        <w:ind w:left="709"/>
        <w:jc w:val="both"/>
        <w:rPr>
          <w:rFonts w:ascii="Times New Roman" w:hAnsi="Times New Roman"/>
        </w:rPr>
      </w:pPr>
      <w:r>
        <w:rPr>
          <w:rFonts w:ascii="Times New Roman" w:hAnsi="Times New Roman"/>
        </w:rPr>
        <w:t>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w:t>
      </w:r>
    </w:p>
    <w:p w14:paraId="211932EF">
      <w:pPr>
        <w:ind w:left="709"/>
        <w:jc w:val="both"/>
        <w:rPr>
          <w:rFonts w:ascii="Times New Roman" w:hAnsi="Times New Roman"/>
        </w:rPr>
      </w:pPr>
      <w:r>
        <w:rPr>
          <w:rFonts w:ascii="Times New Roman" w:hAnsi="Times New Roman"/>
        </w:rPr>
        <w:t>Rezervy sú záväzky s neurčitým časovým vymedzením alebo výškou, tvoria sa na krytie známych rizík alebo strát z podnikania. Oceňujú sa v očakávanej výške záväzku.</w:t>
      </w:r>
    </w:p>
    <w:p w14:paraId="1CBC3C3C">
      <w:pPr>
        <w:ind w:left="709"/>
        <w:jc w:val="both"/>
        <w:rPr>
          <w:rFonts w:ascii="Times New Roman" w:hAnsi="Times New Roman"/>
        </w:rPr>
      </w:pPr>
      <w:r>
        <w:rPr>
          <w:rFonts w:ascii="Times New Roman" w:hAnsi="Times New Roman"/>
        </w:rPr>
        <w:t>Rezervy sa oceňujú odhadom v sume dostatočnej na splnenie existujúcej povinnosti ku dňu, ku ktorému sa zostavuje účtovná závierka pri zohľadnení rizík a neistôt.</w:t>
      </w:r>
    </w:p>
    <w:p w14:paraId="6AC758D8">
      <w:pPr>
        <w:spacing w:after="0"/>
        <w:ind w:left="709"/>
        <w:jc w:val="both"/>
        <w:rPr>
          <w:rFonts w:ascii="Times New Roman" w:hAnsi="Times New Roman"/>
          <w:u w:val="single"/>
        </w:rPr>
      </w:pPr>
      <w:r>
        <w:rPr>
          <w:rFonts w:ascii="Times New Roman" w:hAnsi="Times New Roman"/>
          <w:u w:val="single"/>
        </w:rPr>
        <w:t>Rezerva na nevyčerpané dovolenky vrátane sociálneho poistenia</w:t>
      </w:r>
    </w:p>
    <w:p w14:paraId="42E87B96">
      <w:pPr>
        <w:spacing w:after="0"/>
        <w:ind w:left="709"/>
        <w:jc w:val="both"/>
        <w:rPr>
          <w:rFonts w:ascii="Times New Roman" w:hAnsi="Times New Roman"/>
        </w:rPr>
      </w:pPr>
      <w:r>
        <w:rPr>
          <w:rFonts w:ascii="Times New Roman" w:hAnsi="Times New Roman"/>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30E56110">
      <w:pPr>
        <w:spacing w:after="0"/>
        <w:ind w:left="709"/>
        <w:jc w:val="both"/>
        <w:rPr>
          <w:rFonts w:ascii="Times New Roman" w:hAnsi="Times New Roman"/>
          <w:u w:val="single"/>
        </w:rPr>
      </w:pPr>
      <w:r>
        <w:rPr>
          <w:rFonts w:ascii="Times New Roman" w:hAnsi="Times New Roman"/>
          <w:u w:val="single"/>
        </w:rPr>
        <w:t>Rezerva na účtovnú závierku</w:t>
      </w:r>
    </w:p>
    <w:p w14:paraId="2BEA549B">
      <w:pPr>
        <w:spacing w:after="0"/>
        <w:ind w:left="709"/>
        <w:jc w:val="both"/>
        <w:rPr>
          <w:rFonts w:ascii="Times New Roman" w:hAnsi="Times New Roman"/>
        </w:rPr>
      </w:pPr>
      <w:r>
        <w:rPr>
          <w:rFonts w:ascii="Times New Roman" w:hAnsi="Times New Roman"/>
        </w:rPr>
        <w:t>Obchodná spoločnosť sa rozhodla na predpokladané nevyúčtované výdavky na účtovnú závierku ku dňu, ku ktorému sa zostavuje účtovná závierka vytvárať rezervu.</w:t>
      </w:r>
    </w:p>
    <w:p w14:paraId="59DC3929">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Záväzky </w:t>
      </w:r>
    </w:p>
    <w:p w14:paraId="1D669CD1">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FA20C81">
      <w:pPr>
        <w:pStyle w:val="5"/>
        <w:ind w:left="709"/>
        <w:jc w:val="both"/>
        <w:rPr>
          <w:rFonts w:ascii="Times New Roman" w:hAnsi="Times New Roman" w:cs="Times New Roman"/>
          <w:b/>
          <w:bCs/>
          <w:sz w:val="22"/>
          <w:szCs w:val="20"/>
        </w:rPr>
      </w:pPr>
    </w:p>
    <w:p w14:paraId="74AD45F6">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Odložené dane </w:t>
      </w:r>
    </w:p>
    <w:p w14:paraId="53A475CF">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Odložené dane sa vzťahujú na: </w:t>
      </w:r>
    </w:p>
    <w:p w14:paraId="7E3BCA91">
      <w:pPr>
        <w:pStyle w:val="5"/>
        <w:numPr>
          <w:ilvl w:val="0"/>
          <w:numId w:val="10"/>
        </w:numPr>
        <w:jc w:val="both"/>
        <w:rPr>
          <w:rFonts w:ascii="Times New Roman" w:hAnsi="Times New Roman" w:cs="Times New Roman"/>
          <w:sz w:val="22"/>
          <w:szCs w:val="20"/>
        </w:rPr>
      </w:pPr>
      <w:r>
        <w:rPr>
          <w:rFonts w:ascii="Times New Roman" w:hAnsi="Times New Roman" w:cs="Times New Roman"/>
          <w:sz w:val="22"/>
          <w:szCs w:val="20"/>
        </w:rPr>
        <w:t xml:space="preserve">dočasné rozdiely medzi účtovnou hodnotou majetku a účtovnou hodnotou záväzkov vykázanou v súvahe a ich daňovou základňou, </w:t>
      </w:r>
    </w:p>
    <w:p w14:paraId="61927638">
      <w:pPr>
        <w:pStyle w:val="5"/>
        <w:numPr>
          <w:ilvl w:val="0"/>
          <w:numId w:val="10"/>
        </w:numPr>
        <w:jc w:val="both"/>
        <w:rPr>
          <w:rFonts w:ascii="Times New Roman" w:hAnsi="Times New Roman" w:cs="Times New Roman"/>
          <w:sz w:val="22"/>
          <w:szCs w:val="20"/>
        </w:rPr>
      </w:pPr>
      <w:r>
        <w:rPr>
          <w:rFonts w:ascii="Times New Roman" w:hAnsi="Times New Roman" w:cs="Times New Roman"/>
          <w:sz w:val="22"/>
          <w:szCs w:val="20"/>
        </w:rPr>
        <w:t xml:space="preserve">možnosť umorovať daňovú stratu v budúcnosti, ktorou sa rozumie možnosť odpočítať daňovú stratu od základu dane v budúcnosti, </w:t>
      </w:r>
    </w:p>
    <w:p w14:paraId="76D65621">
      <w:pPr>
        <w:pStyle w:val="5"/>
        <w:numPr>
          <w:ilvl w:val="0"/>
          <w:numId w:val="10"/>
        </w:numPr>
        <w:jc w:val="both"/>
        <w:rPr>
          <w:rFonts w:ascii="Times New Roman" w:hAnsi="Times New Roman" w:cs="Times New Roman"/>
          <w:sz w:val="22"/>
          <w:szCs w:val="20"/>
        </w:rPr>
      </w:pPr>
      <w:r>
        <w:rPr>
          <w:rFonts w:ascii="Times New Roman" w:hAnsi="Times New Roman" w:cs="Times New Roman"/>
          <w:sz w:val="22"/>
          <w:szCs w:val="20"/>
        </w:rPr>
        <w:t xml:space="preserve">možnosť previesť nevyužité daňové odpočty a iné daňové nároky do budúcich období. </w:t>
      </w:r>
    </w:p>
    <w:p w14:paraId="49E1E785">
      <w:pPr>
        <w:pStyle w:val="5"/>
        <w:ind w:left="709"/>
        <w:jc w:val="both"/>
        <w:rPr>
          <w:rFonts w:ascii="Times New Roman" w:hAnsi="Times New Roman" w:cs="Times New Roman"/>
          <w:sz w:val="22"/>
          <w:szCs w:val="20"/>
        </w:rPr>
      </w:pPr>
    </w:p>
    <w:p w14:paraId="303FE727">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Odložená daň z príjmov sa účtuje použitím záväzkovej metódy. </w:t>
      </w:r>
    </w:p>
    <w:p w14:paraId="6121CEEB">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w:t>
      </w:r>
    </w:p>
    <w:p w14:paraId="28FC6926">
      <w:pPr>
        <w:pStyle w:val="5"/>
        <w:ind w:left="709"/>
        <w:jc w:val="both"/>
        <w:rPr>
          <w:rFonts w:ascii="Times New Roman" w:hAnsi="Times New Roman" w:cs="Times New Roman"/>
          <w:sz w:val="22"/>
          <w:szCs w:val="20"/>
        </w:rPr>
      </w:pPr>
    </w:p>
    <w:p w14:paraId="5840042A">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Odložená daň z príjmov sa stanovuje pomocou daňovovej sadzby, ktoré boli známe ku dňu, ku ktorému sa zostavuje účtovná závierka a očakáva sa ich platnosť v čase realizácie príslušnej odloženej daňovej pohľadávky alebo vyrovnania odloženého daňového záväzku. </w:t>
      </w:r>
    </w:p>
    <w:p w14:paraId="4565C71D">
      <w:pPr>
        <w:pStyle w:val="5"/>
        <w:ind w:left="709"/>
        <w:jc w:val="both"/>
        <w:rPr>
          <w:rFonts w:ascii="Times New Roman" w:hAnsi="Times New Roman" w:cs="Times New Roman"/>
          <w:sz w:val="22"/>
          <w:szCs w:val="20"/>
        </w:rPr>
      </w:pPr>
    </w:p>
    <w:p w14:paraId="528B5178">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Odložené daňové pohľadávky sa účtujú, ak je pravdepodobné, že v budúcnosti bude generovaný zdaniteľný zisk, voči ktorému sa budú môcť dočasné rozdiely zrealizovať. </w:t>
      </w:r>
    </w:p>
    <w:p w14:paraId="78294BAC">
      <w:pPr>
        <w:pStyle w:val="5"/>
        <w:ind w:left="709"/>
        <w:jc w:val="both"/>
        <w:rPr>
          <w:rFonts w:ascii="Times New Roman" w:hAnsi="Times New Roman" w:cs="Times New Roman"/>
          <w:b/>
          <w:bCs/>
          <w:sz w:val="22"/>
          <w:szCs w:val="20"/>
        </w:rPr>
      </w:pPr>
    </w:p>
    <w:p w14:paraId="7CAE5476">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Výdavky budúcich období a výnosy budúcich období </w:t>
      </w:r>
    </w:p>
    <w:p w14:paraId="29777517">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Výdavky budúcich období a výnosy budúcich období sa vykazujú vo výške, ktorá je potrebná na dodržanie zásady vecnej a časovej súvislosti v účtovným obdobím. </w:t>
      </w:r>
    </w:p>
    <w:p w14:paraId="71754F84">
      <w:pPr>
        <w:pStyle w:val="5"/>
        <w:ind w:left="709"/>
        <w:jc w:val="both"/>
        <w:rPr>
          <w:rFonts w:ascii="Times New Roman" w:hAnsi="Times New Roman" w:cs="Times New Roman"/>
          <w:b/>
          <w:bCs/>
          <w:sz w:val="22"/>
          <w:szCs w:val="20"/>
        </w:rPr>
      </w:pPr>
    </w:p>
    <w:p w14:paraId="7055C359">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Prenájom </w:t>
      </w:r>
    </w:p>
    <w:p w14:paraId="1A64EF2F">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prenajatý na základe operatívneho prenájmu sa uvádza len v poznámkach účtovnej závierky. Majetok obstaraný na základe zmluvy o finančnom prenájme sa účtuje na vecne príslušných účtoch majetku. </w:t>
      </w:r>
    </w:p>
    <w:p w14:paraId="7113885F">
      <w:pPr>
        <w:pStyle w:val="5"/>
        <w:ind w:left="709"/>
        <w:jc w:val="both"/>
        <w:rPr>
          <w:rFonts w:ascii="Times New Roman" w:hAnsi="Times New Roman" w:cs="Times New Roman"/>
          <w:b/>
          <w:bCs/>
          <w:sz w:val="22"/>
          <w:szCs w:val="20"/>
        </w:rPr>
      </w:pPr>
    </w:p>
    <w:p w14:paraId="73237072">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Cudzia mena </w:t>
      </w:r>
    </w:p>
    <w:p w14:paraId="46A7E05A">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32437F8">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 </w:t>
      </w:r>
    </w:p>
    <w:p w14:paraId="1FF6FBDB">
      <w:pPr>
        <w:pStyle w:val="5"/>
        <w:ind w:left="709"/>
        <w:jc w:val="both"/>
        <w:rPr>
          <w:rFonts w:ascii="Times New Roman" w:hAnsi="Times New Roman" w:cs="Times New Roman"/>
          <w:sz w:val="22"/>
          <w:szCs w:val="20"/>
        </w:rPr>
      </w:pPr>
      <w:r>
        <w:rPr>
          <w:rFonts w:ascii="Times New Roman" w:hAnsi="Times New Roman" w:cs="Times New Roman"/>
          <w:sz w:val="22"/>
          <w:szCs w:val="20"/>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 </w:t>
      </w:r>
    </w:p>
    <w:p w14:paraId="2FDC1DEB">
      <w:pPr>
        <w:pStyle w:val="5"/>
        <w:ind w:left="709"/>
        <w:jc w:val="both"/>
        <w:rPr>
          <w:rFonts w:ascii="Times New Roman" w:hAnsi="Times New Roman" w:cs="Times New Roman"/>
          <w:b/>
          <w:bCs/>
          <w:sz w:val="22"/>
          <w:szCs w:val="20"/>
        </w:rPr>
      </w:pPr>
    </w:p>
    <w:p w14:paraId="0C180174">
      <w:pPr>
        <w:pStyle w:val="5"/>
        <w:ind w:left="709"/>
        <w:jc w:val="both"/>
        <w:rPr>
          <w:rFonts w:ascii="Times New Roman" w:hAnsi="Times New Roman" w:cs="Times New Roman"/>
          <w:sz w:val="22"/>
          <w:szCs w:val="20"/>
        </w:rPr>
      </w:pPr>
      <w:r>
        <w:rPr>
          <w:rFonts w:ascii="Times New Roman" w:hAnsi="Times New Roman" w:cs="Times New Roman"/>
          <w:b/>
          <w:bCs/>
          <w:sz w:val="22"/>
          <w:szCs w:val="20"/>
        </w:rPr>
        <w:t xml:space="preserve">Výnosy </w:t>
      </w:r>
    </w:p>
    <w:p w14:paraId="7E594819">
      <w:pPr>
        <w:spacing w:after="0"/>
        <w:ind w:left="709"/>
        <w:jc w:val="both"/>
        <w:rPr>
          <w:rFonts w:ascii="Times New Roman" w:hAnsi="Times New Roman"/>
          <w:szCs w:val="20"/>
        </w:rPr>
      </w:pPr>
      <w:r>
        <w:rPr>
          <w:rFonts w:ascii="Times New Roman" w:hAnsi="Times New Roman"/>
          <w:szCs w:val="20"/>
        </w:rPr>
        <w:t>Tržba za služby a tovar neobsahuje daň z pridanej hodnoty. Sú tiež znížené o zľavy a zrážky (rabaty, bonusy, skontá, dobropisy a pod.) bez ohľadu na to, či zákazník mal vopred nárok, alebo či ide o dodatočne uznanú zľavu.</w:t>
      </w:r>
    </w:p>
    <w:p w14:paraId="080949AE">
      <w:pPr>
        <w:pStyle w:val="4"/>
        <w:numPr>
          <w:ilvl w:val="0"/>
          <w:numId w:val="9"/>
        </w:numPr>
        <w:rPr>
          <w:rFonts w:ascii="Times New Roman" w:hAnsi="Times New Roman"/>
          <w:b/>
          <w:u w:val="single"/>
        </w:rPr>
      </w:pPr>
      <w:r>
        <w:rPr>
          <w:rFonts w:ascii="Times New Roman" w:hAnsi="Times New Roman"/>
          <w:b/>
          <w:u w:val="single"/>
        </w:rPr>
        <w:t>Informácie o použitých účtovných zásadách účtovných metódach</w:t>
      </w:r>
    </w:p>
    <w:tbl>
      <w:tblPr>
        <w:tblStyle w:val="3"/>
        <w:tblW w:w="9160" w:type="dxa"/>
        <w:tblInd w:w="0" w:type="dxa"/>
        <w:tblLayout w:type="autofit"/>
        <w:tblCellMar>
          <w:top w:w="0" w:type="dxa"/>
          <w:left w:w="70" w:type="dxa"/>
          <w:bottom w:w="0" w:type="dxa"/>
          <w:right w:w="70" w:type="dxa"/>
        </w:tblCellMar>
      </w:tblPr>
      <w:tblGrid>
        <w:gridCol w:w="3580"/>
        <w:gridCol w:w="2640"/>
        <w:gridCol w:w="2940"/>
      </w:tblGrid>
      <w:tr w14:paraId="001E8DED">
        <w:tblPrEx>
          <w:tblCellMar>
            <w:top w:w="0" w:type="dxa"/>
            <w:left w:w="70" w:type="dxa"/>
            <w:bottom w:w="0" w:type="dxa"/>
            <w:right w:w="70" w:type="dxa"/>
          </w:tblCellMar>
        </w:tblPrEx>
        <w:trPr>
          <w:trHeight w:val="915" w:hRule="atLeast"/>
        </w:trPr>
        <w:tc>
          <w:tcPr>
            <w:tcW w:w="3580" w:type="dxa"/>
            <w:tcBorders>
              <w:top w:val="single" w:color="auto" w:sz="8" w:space="0"/>
              <w:left w:val="single" w:color="auto" w:sz="8" w:space="0"/>
              <w:bottom w:val="single" w:color="auto" w:sz="8" w:space="0"/>
              <w:right w:val="single" w:color="auto" w:sz="8" w:space="0"/>
            </w:tcBorders>
            <w:shd w:val="clear" w:color="auto" w:fill="auto"/>
            <w:vAlign w:val="center"/>
          </w:tcPr>
          <w:p w14:paraId="1A8C49DA">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Názov položky</w:t>
            </w:r>
          </w:p>
        </w:tc>
        <w:tc>
          <w:tcPr>
            <w:tcW w:w="2640" w:type="dxa"/>
            <w:tcBorders>
              <w:top w:val="single" w:color="auto" w:sz="8" w:space="0"/>
              <w:left w:val="nil"/>
              <w:bottom w:val="single" w:color="auto" w:sz="8" w:space="0"/>
              <w:right w:val="single" w:color="auto" w:sz="8" w:space="0"/>
            </w:tcBorders>
            <w:shd w:val="clear" w:color="auto" w:fill="auto"/>
            <w:vAlign w:val="center"/>
          </w:tcPr>
          <w:p w14:paraId="734615DB">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Bežné účtovné obdobie</w:t>
            </w:r>
          </w:p>
        </w:tc>
        <w:tc>
          <w:tcPr>
            <w:tcW w:w="2940" w:type="dxa"/>
            <w:tcBorders>
              <w:top w:val="single" w:color="auto" w:sz="8" w:space="0"/>
              <w:left w:val="nil"/>
              <w:bottom w:val="single" w:color="auto" w:sz="8" w:space="0"/>
              <w:right w:val="single" w:color="auto" w:sz="8" w:space="0"/>
            </w:tcBorders>
            <w:shd w:val="clear" w:color="auto" w:fill="auto"/>
            <w:vAlign w:val="center"/>
          </w:tcPr>
          <w:p w14:paraId="06AE0B96">
            <w:pPr>
              <w:spacing w:after="0" w:line="240" w:lineRule="auto"/>
              <w:jc w:val="center"/>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Bezprostredne predchádzajúce účtovné obdobie</w:t>
            </w:r>
          </w:p>
        </w:tc>
      </w:tr>
      <w:tr w14:paraId="68BC4011">
        <w:tblPrEx>
          <w:tblCellMar>
            <w:top w:w="0" w:type="dxa"/>
            <w:left w:w="70" w:type="dxa"/>
            <w:bottom w:w="0" w:type="dxa"/>
            <w:right w:w="70" w:type="dxa"/>
          </w:tblCellMar>
        </w:tblPrEx>
        <w:trPr>
          <w:trHeight w:val="315" w:hRule="atLeast"/>
        </w:trPr>
        <w:tc>
          <w:tcPr>
            <w:tcW w:w="3580" w:type="dxa"/>
            <w:tcBorders>
              <w:top w:val="nil"/>
              <w:left w:val="single" w:color="auto" w:sz="8" w:space="0"/>
              <w:bottom w:val="single" w:color="auto" w:sz="4" w:space="0"/>
              <w:right w:val="single" w:color="auto" w:sz="8" w:space="0"/>
            </w:tcBorders>
            <w:shd w:val="clear" w:color="auto" w:fill="auto"/>
            <w:noWrap/>
            <w:vAlign w:val="center"/>
          </w:tcPr>
          <w:p w14:paraId="418E87D7">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po lehote splatnosti</w:t>
            </w:r>
          </w:p>
        </w:tc>
        <w:tc>
          <w:tcPr>
            <w:tcW w:w="2640" w:type="dxa"/>
            <w:tcBorders>
              <w:top w:val="nil"/>
              <w:left w:val="nil"/>
              <w:bottom w:val="single" w:color="auto" w:sz="4" w:space="0"/>
              <w:right w:val="single" w:color="auto" w:sz="8" w:space="0"/>
            </w:tcBorders>
            <w:shd w:val="clear" w:color="auto" w:fill="auto"/>
            <w:noWrap/>
            <w:vAlign w:val="bottom"/>
          </w:tcPr>
          <w:p w14:paraId="15D6B097">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5E0E75C5">
            <w:pPr>
              <w:spacing w:after="0" w:line="240" w:lineRule="auto"/>
              <w:jc w:val="center"/>
              <w:rPr>
                <w:rFonts w:ascii="Times New Roman" w:hAnsi="Times New Roman" w:eastAsia="Times New Roman"/>
                <w:color w:val="000000"/>
                <w:sz w:val="24"/>
                <w:szCs w:val="24"/>
                <w:lang w:eastAsia="sk-SK"/>
              </w:rPr>
            </w:pPr>
          </w:p>
        </w:tc>
      </w:tr>
      <w:tr w14:paraId="6DFE28AD">
        <w:tblPrEx>
          <w:tblCellMar>
            <w:top w:w="0" w:type="dxa"/>
            <w:left w:w="70" w:type="dxa"/>
            <w:bottom w:w="0" w:type="dxa"/>
            <w:right w:w="70" w:type="dxa"/>
          </w:tblCellMar>
        </w:tblPrEx>
        <w:trPr>
          <w:trHeight w:val="855"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1FA0EB5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do jedného roka vrátane</w:t>
            </w:r>
          </w:p>
        </w:tc>
        <w:tc>
          <w:tcPr>
            <w:tcW w:w="2640" w:type="dxa"/>
            <w:tcBorders>
              <w:top w:val="nil"/>
              <w:left w:val="nil"/>
              <w:bottom w:val="single" w:color="auto" w:sz="4" w:space="0"/>
              <w:right w:val="single" w:color="auto" w:sz="8" w:space="0"/>
            </w:tcBorders>
            <w:shd w:val="clear" w:color="auto" w:fill="auto"/>
            <w:noWrap/>
            <w:vAlign w:val="bottom"/>
          </w:tcPr>
          <w:p w14:paraId="561B4EF1">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28FB4D38">
            <w:pPr>
              <w:spacing w:after="0" w:line="240" w:lineRule="auto"/>
              <w:jc w:val="center"/>
              <w:rPr>
                <w:rFonts w:ascii="Times New Roman" w:hAnsi="Times New Roman" w:eastAsia="Times New Roman"/>
                <w:color w:val="000000"/>
                <w:sz w:val="24"/>
                <w:szCs w:val="24"/>
                <w:lang w:eastAsia="sk-SK"/>
              </w:rPr>
            </w:pPr>
          </w:p>
        </w:tc>
      </w:tr>
      <w:tr w14:paraId="5908CF55">
        <w:tblPrEx>
          <w:tblCellMar>
            <w:top w:w="0" w:type="dxa"/>
            <w:left w:w="70" w:type="dxa"/>
            <w:bottom w:w="0" w:type="dxa"/>
            <w:right w:w="70" w:type="dxa"/>
          </w:tblCellMar>
        </w:tblPrEx>
        <w:trPr>
          <w:trHeight w:val="315" w:hRule="atLeast"/>
        </w:trPr>
        <w:tc>
          <w:tcPr>
            <w:tcW w:w="3580" w:type="dxa"/>
            <w:tcBorders>
              <w:top w:val="nil"/>
              <w:left w:val="single" w:color="auto" w:sz="8" w:space="0"/>
              <w:bottom w:val="single" w:color="auto" w:sz="4" w:space="0"/>
              <w:right w:val="single" w:color="auto" w:sz="8" w:space="0"/>
            </w:tcBorders>
            <w:shd w:val="clear" w:color="auto" w:fill="auto"/>
            <w:noWrap/>
            <w:vAlign w:val="bottom"/>
          </w:tcPr>
          <w:p w14:paraId="16BB4384">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Krátkodobé záväzky spolu</w:t>
            </w:r>
          </w:p>
        </w:tc>
        <w:tc>
          <w:tcPr>
            <w:tcW w:w="2640" w:type="dxa"/>
            <w:tcBorders>
              <w:top w:val="nil"/>
              <w:left w:val="nil"/>
              <w:bottom w:val="single" w:color="auto" w:sz="4" w:space="0"/>
              <w:right w:val="single" w:color="auto" w:sz="8" w:space="0"/>
            </w:tcBorders>
            <w:shd w:val="clear" w:color="auto" w:fill="auto"/>
            <w:noWrap/>
            <w:vAlign w:val="bottom"/>
          </w:tcPr>
          <w:p w14:paraId="3AE1406F">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12A5BE6E">
            <w:pPr>
              <w:spacing w:after="0" w:line="240" w:lineRule="auto"/>
              <w:jc w:val="center"/>
              <w:rPr>
                <w:rFonts w:ascii="Times New Roman" w:hAnsi="Times New Roman" w:eastAsia="Times New Roman"/>
                <w:color w:val="000000"/>
                <w:sz w:val="24"/>
                <w:szCs w:val="24"/>
                <w:lang w:eastAsia="sk-SK"/>
              </w:rPr>
            </w:pPr>
          </w:p>
        </w:tc>
      </w:tr>
      <w:tr w14:paraId="4BDE7C98">
        <w:tblPrEx>
          <w:tblCellMar>
            <w:top w:w="0" w:type="dxa"/>
            <w:left w:w="70" w:type="dxa"/>
            <w:bottom w:w="0" w:type="dxa"/>
            <w:right w:w="70" w:type="dxa"/>
          </w:tblCellMar>
        </w:tblPrEx>
        <w:trPr>
          <w:trHeight w:val="630"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68F90B9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jeden rok až päť rokov</w:t>
            </w:r>
          </w:p>
        </w:tc>
        <w:tc>
          <w:tcPr>
            <w:tcW w:w="2640" w:type="dxa"/>
            <w:tcBorders>
              <w:top w:val="nil"/>
              <w:left w:val="nil"/>
              <w:bottom w:val="single" w:color="auto" w:sz="4" w:space="0"/>
              <w:right w:val="single" w:color="auto" w:sz="8" w:space="0"/>
            </w:tcBorders>
            <w:shd w:val="clear" w:color="auto" w:fill="auto"/>
            <w:noWrap/>
            <w:vAlign w:val="bottom"/>
          </w:tcPr>
          <w:p w14:paraId="08EF9435">
            <w:pPr>
              <w:spacing w:after="0" w:line="240" w:lineRule="auto"/>
              <w:jc w:val="center"/>
              <w:rPr>
                <w:rFonts w:ascii="Times New Roman" w:hAnsi="Times New Roman" w:eastAsia="Times New Roman"/>
                <w:color w:val="000000"/>
                <w:sz w:val="24"/>
                <w:szCs w:val="24"/>
                <w:lang w:eastAsia="sk-SK"/>
              </w:rPr>
            </w:pPr>
          </w:p>
        </w:tc>
        <w:tc>
          <w:tcPr>
            <w:tcW w:w="2940" w:type="dxa"/>
            <w:tcBorders>
              <w:top w:val="nil"/>
              <w:left w:val="nil"/>
              <w:bottom w:val="single" w:color="auto" w:sz="4" w:space="0"/>
              <w:right w:val="single" w:color="auto" w:sz="8" w:space="0"/>
            </w:tcBorders>
            <w:shd w:val="clear" w:color="auto" w:fill="auto"/>
            <w:noWrap/>
            <w:vAlign w:val="bottom"/>
          </w:tcPr>
          <w:p w14:paraId="78C45035">
            <w:pPr>
              <w:spacing w:after="0" w:line="240" w:lineRule="auto"/>
              <w:jc w:val="center"/>
              <w:rPr>
                <w:rFonts w:ascii="Times New Roman" w:hAnsi="Times New Roman" w:eastAsia="Times New Roman"/>
                <w:color w:val="000000"/>
                <w:sz w:val="24"/>
                <w:szCs w:val="24"/>
                <w:lang w:eastAsia="sk-SK"/>
              </w:rPr>
            </w:pPr>
          </w:p>
        </w:tc>
      </w:tr>
      <w:tr w14:paraId="4C305B4C">
        <w:tblPrEx>
          <w:tblCellMar>
            <w:top w:w="0" w:type="dxa"/>
            <w:left w:w="70" w:type="dxa"/>
            <w:bottom w:w="0" w:type="dxa"/>
            <w:right w:w="70" w:type="dxa"/>
          </w:tblCellMar>
        </w:tblPrEx>
        <w:trPr>
          <w:trHeight w:val="630" w:hRule="atLeast"/>
        </w:trPr>
        <w:tc>
          <w:tcPr>
            <w:tcW w:w="3580" w:type="dxa"/>
            <w:tcBorders>
              <w:top w:val="nil"/>
              <w:left w:val="single" w:color="auto" w:sz="8" w:space="0"/>
              <w:bottom w:val="single" w:color="auto" w:sz="4" w:space="0"/>
              <w:right w:val="single" w:color="auto" w:sz="8" w:space="0"/>
            </w:tcBorders>
            <w:shd w:val="clear" w:color="auto" w:fill="auto"/>
            <w:vAlign w:val="center"/>
          </w:tcPr>
          <w:p w14:paraId="137A3E5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Záväzky so zostatkovou dobou splatnosti nad päť rokov</w:t>
            </w:r>
          </w:p>
        </w:tc>
        <w:tc>
          <w:tcPr>
            <w:tcW w:w="2640" w:type="dxa"/>
            <w:tcBorders>
              <w:top w:val="nil"/>
              <w:left w:val="nil"/>
              <w:bottom w:val="single" w:color="auto" w:sz="4" w:space="0"/>
              <w:right w:val="single" w:color="auto" w:sz="8" w:space="0"/>
            </w:tcBorders>
            <w:shd w:val="clear" w:color="auto" w:fill="auto"/>
            <w:noWrap/>
            <w:vAlign w:val="bottom"/>
          </w:tcPr>
          <w:p w14:paraId="0FDBD1BE">
            <w:pPr>
              <w:spacing w:after="0" w:line="240" w:lineRule="auto"/>
              <w:jc w:val="center"/>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2940" w:type="dxa"/>
            <w:tcBorders>
              <w:top w:val="nil"/>
              <w:left w:val="nil"/>
              <w:bottom w:val="single" w:color="auto" w:sz="4" w:space="0"/>
              <w:right w:val="single" w:color="auto" w:sz="8" w:space="0"/>
            </w:tcBorders>
            <w:shd w:val="clear" w:color="auto" w:fill="auto"/>
            <w:noWrap/>
            <w:vAlign w:val="bottom"/>
          </w:tcPr>
          <w:p w14:paraId="56AD1212">
            <w:pPr>
              <w:spacing w:after="0" w:line="240" w:lineRule="auto"/>
              <w:jc w:val="center"/>
              <w:rPr>
                <w:rFonts w:ascii="Times New Roman" w:hAnsi="Times New Roman" w:eastAsia="Times New Roman"/>
                <w:color w:val="000000"/>
                <w:sz w:val="24"/>
                <w:szCs w:val="24"/>
                <w:lang w:eastAsia="sk-SK"/>
              </w:rPr>
            </w:pPr>
          </w:p>
        </w:tc>
      </w:tr>
    </w:tbl>
    <w:p w14:paraId="0176493C">
      <w:pPr>
        <w:spacing w:after="0"/>
        <w:jc w:val="both"/>
        <w:rPr>
          <w:rFonts w:ascii="Times New Roman" w:hAnsi="Times New Roman"/>
        </w:rPr>
      </w:pPr>
      <w:r>
        <w:rPr>
          <w:rFonts w:ascii="Times New Roman" w:hAnsi="Times New Roman"/>
        </w:rPr>
        <w:t>Súčasťou krátkodobých aj dlhodobých záväzkov sú aj záväzky vyplývajúce z finančného prenájmu</w:t>
      </w:r>
    </w:p>
    <w:p w14:paraId="10D8ADED">
      <w:pPr>
        <w:spacing w:after="0"/>
        <w:jc w:val="both"/>
        <w:rPr>
          <w:rFonts w:ascii="Times New Roman" w:hAnsi="Times New Roman"/>
        </w:rPr>
      </w:pPr>
    </w:p>
    <w:p w14:paraId="0864C57D">
      <w:pPr>
        <w:spacing w:after="0"/>
        <w:jc w:val="both"/>
        <w:rPr>
          <w:rFonts w:ascii="Times New Roman" w:hAnsi="Times New Roman"/>
        </w:rPr>
      </w:pPr>
    </w:p>
    <w:p w14:paraId="0A3D1678">
      <w:pPr>
        <w:spacing w:after="0"/>
        <w:jc w:val="both"/>
        <w:rPr>
          <w:rFonts w:ascii="Times New Roman" w:hAnsi="Times New Roman"/>
          <w:b/>
        </w:rPr>
      </w:pPr>
    </w:p>
    <w:p w14:paraId="69F09CE7">
      <w:pPr>
        <w:spacing w:after="0"/>
        <w:jc w:val="both"/>
        <w:rPr>
          <w:rFonts w:ascii="Times New Roman" w:hAnsi="Times New Roman"/>
          <w:b/>
        </w:rPr>
      </w:pPr>
    </w:p>
    <w:p w14:paraId="3BD3FC91">
      <w:pPr>
        <w:spacing w:after="0"/>
        <w:jc w:val="both"/>
        <w:rPr>
          <w:rFonts w:ascii="Times New Roman" w:hAnsi="Times New Roman"/>
          <w:b/>
        </w:rPr>
      </w:pPr>
      <w:bookmarkStart w:id="0" w:name="_GoBack"/>
      <w:bookmarkEnd w:id="0"/>
      <w:r>
        <w:rPr>
          <w:rFonts w:ascii="Times New Roman" w:hAnsi="Times New Roman"/>
          <w:b/>
        </w:rPr>
        <w:t>Informácie o bankových úveroch, pôžičkách a krátkodobých finančným výpomociach</w:t>
      </w:r>
    </w:p>
    <w:p w14:paraId="41DB6ED3">
      <w:pPr>
        <w:spacing w:after="0"/>
        <w:jc w:val="both"/>
        <w:rPr>
          <w:rFonts w:ascii="Times New Roman" w:hAnsi="Times New Roman"/>
          <w:b/>
        </w:rPr>
      </w:pPr>
    </w:p>
    <w:tbl>
      <w:tblPr>
        <w:tblStyle w:val="3"/>
        <w:tblW w:w="8354" w:type="dxa"/>
        <w:tblInd w:w="0" w:type="dxa"/>
        <w:tblLayout w:type="autofit"/>
        <w:tblCellMar>
          <w:top w:w="0" w:type="dxa"/>
          <w:left w:w="70" w:type="dxa"/>
          <w:bottom w:w="0" w:type="dxa"/>
          <w:right w:w="70" w:type="dxa"/>
        </w:tblCellMar>
      </w:tblPr>
      <w:tblGrid>
        <w:gridCol w:w="2258"/>
        <w:gridCol w:w="629"/>
        <w:gridCol w:w="1098"/>
        <w:gridCol w:w="1134"/>
        <w:gridCol w:w="1559"/>
        <w:gridCol w:w="1843"/>
      </w:tblGrid>
      <w:tr w14:paraId="066CC3F1">
        <w:trPr>
          <w:trHeight w:val="1425" w:hRule="atLeast"/>
        </w:trPr>
        <w:tc>
          <w:tcPr>
            <w:tcW w:w="2258" w:type="dxa"/>
            <w:tcBorders>
              <w:top w:val="single" w:color="auto" w:sz="8" w:space="0"/>
              <w:left w:val="single" w:color="auto" w:sz="8" w:space="0"/>
              <w:bottom w:val="nil"/>
              <w:right w:val="single" w:color="auto" w:sz="8" w:space="0"/>
            </w:tcBorders>
            <w:shd w:val="clear" w:color="auto" w:fill="auto"/>
            <w:vAlign w:val="center"/>
          </w:tcPr>
          <w:p w14:paraId="761D7547">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Názov položky</w:t>
            </w:r>
          </w:p>
        </w:tc>
        <w:tc>
          <w:tcPr>
            <w:tcW w:w="462" w:type="dxa"/>
            <w:tcBorders>
              <w:top w:val="single" w:color="auto" w:sz="8" w:space="0"/>
              <w:left w:val="nil"/>
              <w:bottom w:val="nil"/>
              <w:right w:val="single" w:color="auto" w:sz="8" w:space="0"/>
            </w:tcBorders>
            <w:shd w:val="clear" w:color="auto" w:fill="auto"/>
            <w:vAlign w:val="center"/>
          </w:tcPr>
          <w:p w14:paraId="353CB87D">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Mena</w:t>
            </w:r>
          </w:p>
        </w:tc>
        <w:tc>
          <w:tcPr>
            <w:tcW w:w="1098" w:type="dxa"/>
            <w:tcBorders>
              <w:top w:val="single" w:color="auto" w:sz="8" w:space="0"/>
              <w:left w:val="nil"/>
              <w:bottom w:val="nil"/>
              <w:right w:val="single" w:color="auto" w:sz="8" w:space="0"/>
            </w:tcBorders>
            <w:shd w:val="clear" w:color="auto" w:fill="auto"/>
            <w:vAlign w:val="center"/>
          </w:tcPr>
          <w:p w14:paraId="7ED7F992">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Úrok p. a. v %</w:t>
            </w:r>
          </w:p>
        </w:tc>
        <w:tc>
          <w:tcPr>
            <w:tcW w:w="1134" w:type="dxa"/>
            <w:tcBorders>
              <w:top w:val="single" w:color="auto" w:sz="8" w:space="0"/>
              <w:left w:val="nil"/>
              <w:bottom w:val="nil"/>
              <w:right w:val="single" w:color="auto" w:sz="8" w:space="0"/>
            </w:tcBorders>
            <w:shd w:val="clear" w:color="auto" w:fill="auto"/>
            <w:vAlign w:val="center"/>
          </w:tcPr>
          <w:p w14:paraId="5F7AF63C">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Dátum splatnosti</w:t>
            </w:r>
          </w:p>
        </w:tc>
        <w:tc>
          <w:tcPr>
            <w:tcW w:w="1559" w:type="dxa"/>
            <w:tcBorders>
              <w:top w:val="single" w:color="auto" w:sz="8" w:space="0"/>
              <w:left w:val="nil"/>
              <w:bottom w:val="nil"/>
              <w:right w:val="single" w:color="auto" w:sz="8" w:space="0"/>
            </w:tcBorders>
            <w:shd w:val="clear" w:color="auto" w:fill="auto"/>
            <w:vAlign w:val="center"/>
          </w:tcPr>
          <w:p w14:paraId="297289F6">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Suma istiny v príslušnej mene za bežné účtovné obdobie</w:t>
            </w:r>
          </w:p>
        </w:tc>
        <w:tc>
          <w:tcPr>
            <w:tcW w:w="1843" w:type="dxa"/>
            <w:tcBorders>
              <w:top w:val="single" w:color="auto" w:sz="8" w:space="0"/>
              <w:left w:val="nil"/>
              <w:bottom w:val="nil"/>
              <w:right w:val="single" w:color="auto" w:sz="8" w:space="0"/>
            </w:tcBorders>
            <w:shd w:val="clear" w:color="auto" w:fill="auto"/>
            <w:vAlign w:val="center"/>
          </w:tcPr>
          <w:p w14:paraId="72E9F3E6">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Suma istiny v príslušnej mene za bezprostredne predchádzajúce účtovné obdobie</w:t>
            </w:r>
          </w:p>
        </w:tc>
      </w:tr>
      <w:tr w14:paraId="0B03076E">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8" w:space="0"/>
              <w:right w:val="single" w:color="auto" w:sz="8" w:space="0"/>
            </w:tcBorders>
            <w:shd w:val="clear" w:color="auto" w:fill="auto"/>
            <w:vAlign w:val="center"/>
          </w:tcPr>
          <w:p w14:paraId="4AFFBFD4">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a</w:t>
            </w:r>
          </w:p>
        </w:tc>
        <w:tc>
          <w:tcPr>
            <w:tcW w:w="462" w:type="dxa"/>
            <w:tcBorders>
              <w:top w:val="nil"/>
              <w:left w:val="nil"/>
              <w:bottom w:val="single" w:color="auto" w:sz="8" w:space="0"/>
              <w:right w:val="single" w:color="auto" w:sz="8" w:space="0"/>
            </w:tcBorders>
            <w:shd w:val="clear" w:color="auto" w:fill="auto"/>
            <w:vAlign w:val="center"/>
          </w:tcPr>
          <w:p w14:paraId="3BD30AB9">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b</w:t>
            </w:r>
          </w:p>
        </w:tc>
        <w:tc>
          <w:tcPr>
            <w:tcW w:w="1098" w:type="dxa"/>
            <w:tcBorders>
              <w:top w:val="nil"/>
              <w:left w:val="nil"/>
              <w:bottom w:val="single" w:color="auto" w:sz="8" w:space="0"/>
              <w:right w:val="single" w:color="auto" w:sz="8" w:space="0"/>
            </w:tcBorders>
            <w:shd w:val="clear" w:color="auto" w:fill="auto"/>
            <w:vAlign w:val="center"/>
          </w:tcPr>
          <w:p w14:paraId="30293E2B">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c</w:t>
            </w:r>
          </w:p>
        </w:tc>
        <w:tc>
          <w:tcPr>
            <w:tcW w:w="1134" w:type="dxa"/>
            <w:tcBorders>
              <w:top w:val="nil"/>
              <w:left w:val="nil"/>
              <w:bottom w:val="single" w:color="auto" w:sz="8" w:space="0"/>
              <w:right w:val="single" w:color="auto" w:sz="8" w:space="0"/>
            </w:tcBorders>
            <w:shd w:val="clear" w:color="auto" w:fill="auto"/>
            <w:vAlign w:val="center"/>
          </w:tcPr>
          <w:p w14:paraId="74FF88D9">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xml:space="preserve">d </w:t>
            </w:r>
          </w:p>
        </w:tc>
        <w:tc>
          <w:tcPr>
            <w:tcW w:w="1559" w:type="dxa"/>
            <w:tcBorders>
              <w:top w:val="nil"/>
              <w:left w:val="nil"/>
              <w:bottom w:val="single" w:color="auto" w:sz="8" w:space="0"/>
              <w:right w:val="single" w:color="auto" w:sz="8" w:space="0"/>
            </w:tcBorders>
            <w:shd w:val="clear" w:color="auto" w:fill="auto"/>
            <w:vAlign w:val="center"/>
          </w:tcPr>
          <w:p w14:paraId="54A7F996">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E</w:t>
            </w:r>
          </w:p>
        </w:tc>
        <w:tc>
          <w:tcPr>
            <w:tcW w:w="1843" w:type="dxa"/>
            <w:tcBorders>
              <w:top w:val="nil"/>
              <w:left w:val="nil"/>
              <w:bottom w:val="single" w:color="auto" w:sz="8" w:space="0"/>
              <w:right w:val="single" w:color="auto" w:sz="8" w:space="0"/>
            </w:tcBorders>
            <w:shd w:val="clear" w:color="auto" w:fill="auto"/>
            <w:vAlign w:val="center"/>
          </w:tcPr>
          <w:p w14:paraId="56516808">
            <w:pPr>
              <w:spacing w:after="0" w:line="240" w:lineRule="auto"/>
              <w:jc w:val="center"/>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f</w:t>
            </w:r>
          </w:p>
        </w:tc>
      </w:tr>
      <w:tr w14:paraId="6E29469E">
        <w:tblPrEx>
          <w:tblCellMar>
            <w:top w:w="0" w:type="dxa"/>
            <w:left w:w="70" w:type="dxa"/>
            <w:bottom w:w="0" w:type="dxa"/>
            <w:right w:w="70" w:type="dxa"/>
          </w:tblCellMar>
        </w:tblPrEx>
        <w:trPr>
          <w:trHeight w:val="330" w:hRule="atLeast"/>
        </w:trPr>
        <w:tc>
          <w:tcPr>
            <w:tcW w:w="8354" w:type="dxa"/>
            <w:gridSpan w:val="6"/>
            <w:tcBorders>
              <w:top w:val="single" w:color="auto" w:sz="8" w:space="0"/>
              <w:left w:val="single" w:color="auto" w:sz="8" w:space="0"/>
              <w:bottom w:val="nil"/>
              <w:right w:val="single" w:color="000000" w:sz="8" w:space="0"/>
            </w:tcBorders>
            <w:shd w:val="clear" w:color="auto" w:fill="auto"/>
            <w:noWrap/>
            <w:vAlign w:val="bottom"/>
          </w:tcPr>
          <w:p w14:paraId="64437CA8">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Dlhodobé bankové úvery</w:t>
            </w:r>
          </w:p>
        </w:tc>
      </w:tr>
      <w:tr w14:paraId="283C4256">
        <w:tblPrEx>
          <w:tblCellMar>
            <w:top w:w="0" w:type="dxa"/>
            <w:left w:w="70" w:type="dxa"/>
            <w:bottom w:w="0" w:type="dxa"/>
            <w:right w:w="70" w:type="dxa"/>
          </w:tblCellMar>
        </w:tblPrEx>
        <w:trPr>
          <w:trHeight w:val="765" w:hRule="atLeast"/>
        </w:trPr>
        <w:tc>
          <w:tcPr>
            <w:tcW w:w="2258" w:type="dxa"/>
            <w:tcBorders>
              <w:top w:val="single" w:color="auto" w:sz="8" w:space="0"/>
              <w:left w:val="single" w:color="auto" w:sz="8" w:space="0"/>
              <w:bottom w:val="single" w:color="auto" w:sz="4" w:space="0"/>
              <w:right w:val="single" w:color="auto" w:sz="4" w:space="0"/>
            </w:tcBorders>
            <w:shd w:val="clear" w:color="auto" w:fill="auto"/>
            <w:noWrap/>
            <w:vAlign w:val="center"/>
          </w:tcPr>
          <w:p w14:paraId="5E93BF12">
            <w:pPr>
              <w:spacing w:after="0" w:line="240" w:lineRule="auto"/>
              <w:rPr>
                <w:rFonts w:ascii="Times New Roman" w:hAnsi="Times New Roman" w:eastAsia="Times New Roman"/>
                <w:color w:val="000000"/>
                <w:sz w:val="20"/>
                <w:szCs w:val="20"/>
                <w:lang w:eastAsia="sk-SK"/>
              </w:rPr>
            </w:pPr>
          </w:p>
        </w:tc>
        <w:tc>
          <w:tcPr>
            <w:tcW w:w="462" w:type="dxa"/>
            <w:tcBorders>
              <w:top w:val="single" w:color="auto" w:sz="8" w:space="0"/>
              <w:left w:val="nil"/>
              <w:bottom w:val="single" w:color="auto" w:sz="4" w:space="0"/>
              <w:right w:val="single" w:color="auto" w:sz="4" w:space="0"/>
            </w:tcBorders>
            <w:shd w:val="clear" w:color="auto" w:fill="auto"/>
            <w:noWrap/>
            <w:vAlign w:val="center"/>
          </w:tcPr>
          <w:p w14:paraId="7CFBFADF">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EUR</w:t>
            </w:r>
          </w:p>
        </w:tc>
        <w:tc>
          <w:tcPr>
            <w:tcW w:w="1098" w:type="dxa"/>
            <w:tcBorders>
              <w:top w:val="single" w:color="auto" w:sz="8" w:space="0"/>
              <w:left w:val="nil"/>
              <w:bottom w:val="single" w:color="auto" w:sz="4" w:space="0"/>
              <w:right w:val="single" w:color="auto" w:sz="4" w:space="0"/>
            </w:tcBorders>
            <w:shd w:val="clear" w:color="auto" w:fill="auto"/>
            <w:vAlign w:val="center"/>
          </w:tcPr>
          <w:p w14:paraId="28AE7E37">
            <w:pPr>
              <w:spacing w:after="0" w:line="240" w:lineRule="auto"/>
              <w:jc w:val="center"/>
              <w:rPr>
                <w:rFonts w:ascii="Times New Roman" w:hAnsi="Times New Roman" w:eastAsia="Times New Roman"/>
                <w:color w:val="000000"/>
                <w:sz w:val="20"/>
                <w:szCs w:val="20"/>
                <w:lang w:eastAsia="sk-SK"/>
              </w:rPr>
            </w:pPr>
          </w:p>
        </w:tc>
        <w:tc>
          <w:tcPr>
            <w:tcW w:w="1134" w:type="dxa"/>
            <w:tcBorders>
              <w:top w:val="single" w:color="auto" w:sz="8" w:space="0"/>
              <w:left w:val="nil"/>
              <w:bottom w:val="single" w:color="auto" w:sz="4" w:space="0"/>
              <w:right w:val="single" w:color="auto" w:sz="4" w:space="0"/>
            </w:tcBorders>
            <w:shd w:val="clear" w:color="auto" w:fill="auto"/>
            <w:noWrap/>
            <w:vAlign w:val="center"/>
          </w:tcPr>
          <w:p w14:paraId="68038F01">
            <w:pPr>
              <w:spacing w:after="0" w:line="240" w:lineRule="auto"/>
              <w:jc w:val="right"/>
              <w:rPr>
                <w:rFonts w:ascii="Times New Roman" w:hAnsi="Times New Roman" w:eastAsia="Times New Roman"/>
                <w:color w:val="000000"/>
                <w:sz w:val="20"/>
                <w:szCs w:val="20"/>
                <w:lang w:eastAsia="sk-SK"/>
              </w:rPr>
            </w:pPr>
          </w:p>
        </w:tc>
        <w:tc>
          <w:tcPr>
            <w:tcW w:w="1559" w:type="dxa"/>
            <w:tcBorders>
              <w:top w:val="single" w:color="auto" w:sz="8" w:space="0"/>
              <w:left w:val="nil"/>
              <w:bottom w:val="single" w:color="auto" w:sz="4" w:space="0"/>
              <w:right w:val="single" w:color="auto" w:sz="4" w:space="0"/>
            </w:tcBorders>
            <w:shd w:val="clear" w:color="auto" w:fill="auto"/>
            <w:noWrap/>
            <w:vAlign w:val="center"/>
          </w:tcPr>
          <w:p w14:paraId="49A16E5E">
            <w:pPr>
              <w:spacing w:after="0" w:line="240" w:lineRule="auto"/>
              <w:jc w:val="center"/>
              <w:rPr>
                <w:rFonts w:ascii="Times New Roman" w:hAnsi="Times New Roman" w:eastAsia="Times New Roman"/>
                <w:color w:val="000000"/>
                <w:sz w:val="20"/>
                <w:szCs w:val="20"/>
                <w:lang w:eastAsia="sk-SK"/>
              </w:rPr>
            </w:pPr>
          </w:p>
        </w:tc>
        <w:tc>
          <w:tcPr>
            <w:tcW w:w="1843" w:type="dxa"/>
            <w:tcBorders>
              <w:top w:val="single" w:color="auto" w:sz="8" w:space="0"/>
              <w:left w:val="nil"/>
              <w:bottom w:val="single" w:color="auto" w:sz="4" w:space="0"/>
              <w:right w:val="single" w:color="auto" w:sz="8" w:space="0"/>
            </w:tcBorders>
            <w:shd w:val="clear" w:color="auto" w:fill="auto"/>
            <w:noWrap/>
            <w:vAlign w:val="bottom"/>
          </w:tcPr>
          <w:p w14:paraId="1CD32B46">
            <w:pPr>
              <w:spacing w:after="0" w:line="240" w:lineRule="auto"/>
              <w:rPr>
                <w:rFonts w:ascii="Times New Roman" w:hAnsi="Times New Roman" w:eastAsia="Times New Roman"/>
                <w:color w:val="000000"/>
                <w:szCs w:val="24"/>
                <w:lang w:eastAsia="sk-SK"/>
              </w:rPr>
            </w:pPr>
          </w:p>
        </w:tc>
      </w:tr>
      <w:tr w14:paraId="67CA0F3E">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4" w:space="0"/>
              <w:right w:val="single" w:color="auto" w:sz="4" w:space="0"/>
            </w:tcBorders>
            <w:shd w:val="clear" w:color="auto" w:fill="auto"/>
            <w:noWrap/>
            <w:vAlign w:val="bottom"/>
          </w:tcPr>
          <w:p w14:paraId="55B8E39F">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462" w:type="dxa"/>
            <w:tcBorders>
              <w:top w:val="nil"/>
              <w:left w:val="nil"/>
              <w:bottom w:val="single" w:color="auto" w:sz="4" w:space="0"/>
              <w:right w:val="single" w:color="auto" w:sz="4" w:space="0"/>
            </w:tcBorders>
            <w:shd w:val="clear" w:color="auto" w:fill="auto"/>
            <w:noWrap/>
            <w:vAlign w:val="bottom"/>
          </w:tcPr>
          <w:p w14:paraId="4F0E89BE">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098" w:type="dxa"/>
            <w:tcBorders>
              <w:top w:val="nil"/>
              <w:left w:val="nil"/>
              <w:bottom w:val="single" w:color="auto" w:sz="4" w:space="0"/>
              <w:right w:val="single" w:color="auto" w:sz="4" w:space="0"/>
            </w:tcBorders>
            <w:shd w:val="clear" w:color="auto" w:fill="auto"/>
            <w:noWrap/>
            <w:vAlign w:val="bottom"/>
          </w:tcPr>
          <w:p w14:paraId="2B0C2682">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134" w:type="dxa"/>
            <w:tcBorders>
              <w:top w:val="nil"/>
              <w:left w:val="nil"/>
              <w:bottom w:val="single" w:color="auto" w:sz="4" w:space="0"/>
              <w:right w:val="single" w:color="auto" w:sz="4" w:space="0"/>
            </w:tcBorders>
            <w:shd w:val="clear" w:color="auto" w:fill="auto"/>
            <w:noWrap/>
            <w:vAlign w:val="bottom"/>
          </w:tcPr>
          <w:p w14:paraId="71F771E0">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559" w:type="dxa"/>
            <w:tcBorders>
              <w:top w:val="nil"/>
              <w:left w:val="nil"/>
              <w:bottom w:val="single" w:color="auto" w:sz="4" w:space="0"/>
              <w:right w:val="single" w:color="auto" w:sz="4" w:space="0"/>
            </w:tcBorders>
            <w:shd w:val="clear" w:color="auto" w:fill="auto"/>
            <w:noWrap/>
            <w:vAlign w:val="bottom"/>
          </w:tcPr>
          <w:p w14:paraId="4048D9A0">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843" w:type="dxa"/>
            <w:tcBorders>
              <w:top w:val="nil"/>
              <w:left w:val="nil"/>
              <w:bottom w:val="single" w:color="auto" w:sz="4" w:space="0"/>
              <w:right w:val="single" w:color="auto" w:sz="8" w:space="0"/>
            </w:tcBorders>
            <w:shd w:val="clear" w:color="auto" w:fill="auto"/>
            <w:noWrap/>
            <w:vAlign w:val="bottom"/>
          </w:tcPr>
          <w:p w14:paraId="11909FBC">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7C2B6F46">
        <w:tblPrEx>
          <w:tblCellMar>
            <w:top w:w="0" w:type="dxa"/>
            <w:left w:w="70" w:type="dxa"/>
            <w:bottom w:w="0" w:type="dxa"/>
            <w:right w:w="70" w:type="dxa"/>
          </w:tblCellMar>
        </w:tblPrEx>
        <w:trPr>
          <w:trHeight w:val="330" w:hRule="atLeast"/>
        </w:trPr>
        <w:tc>
          <w:tcPr>
            <w:tcW w:w="2258" w:type="dxa"/>
            <w:tcBorders>
              <w:top w:val="nil"/>
              <w:left w:val="single" w:color="auto" w:sz="8" w:space="0"/>
              <w:bottom w:val="single" w:color="auto" w:sz="8" w:space="0"/>
              <w:right w:val="single" w:color="auto" w:sz="4" w:space="0"/>
            </w:tcBorders>
            <w:shd w:val="clear" w:color="auto" w:fill="auto"/>
            <w:noWrap/>
            <w:vAlign w:val="bottom"/>
          </w:tcPr>
          <w:p w14:paraId="7F944351">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462" w:type="dxa"/>
            <w:tcBorders>
              <w:top w:val="nil"/>
              <w:left w:val="nil"/>
              <w:bottom w:val="single" w:color="auto" w:sz="8" w:space="0"/>
              <w:right w:val="single" w:color="auto" w:sz="4" w:space="0"/>
            </w:tcBorders>
            <w:shd w:val="clear" w:color="auto" w:fill="auto"/>
            <w:noWrap/>
            <w:vAlign w:val="bottom"/>
          </w:tcPr>
          <w:p w14:paraId="6F43F4BB">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098" w:type="dxa"/>
            <w:tcBorders>
              <w:top w:val="nil"/>
              <w:left w:val="nil"/>
              <w:bottom w:val="single" w:color="auto" w:sz="8" w:space="0"/>
              <w:right w:val="single" w:color="auto" w:sz="4" w:space="0"/>
            </w:tcBorders>
            <w:shd w:val="clear" w:color="auto" w:fill="auto"/>
            <w:noWrap/>
            <w:vAlign w:val="bottom"/>
          </w:tcPr>
          <w:p w14:paraId="1A957C7B">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134" w:type="dxa"/>
            <w:tcBorders>
              <w:top w:val="nil"/>
              <w:left w:val="nil"/>
              <w:bottom w:val="single" w:color="auto" w:sz="8" w:space="0"/>
              <w:right w:val="single" w:color="auto" w:sz="4" w:space="0"/>
            </w:tcBorders>
            <w:shd w:val="clear" w:color="auto" w:fill="auto"/>
            <w:noWrap/>
            <w:vAlign w:val="bottom"/>
          </w:tcPr>
          <w:p w14:paraId="797E2134">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559" w:type="dxa"/>
            <w:tcBorders>
              <w:top w:val="nil"/>
              <w:left w:val="nil"/>
              <w:bottom w:val="single" w:color="auto" w:sz="8" w:space="0"/>
              <w:right w:val="single" w:color="auto" w:sz="4" w:space="0"/>
            </w:tcBorders>
            <w:shd w:val="clear" w:color="auto" w:fill="auto"/>
            <w:noWrap/>
            <w:vAlign w:val="bottom"/>
          </w:tcPr>
          <w:p w14:paraId="402BC496">
            <w:pPr>
              <w:spacing w:after="0" w:line="240" w:lineRule="auto"/>
              <w:rPr>
                <w:rFonts w:ascii="Times New Roman" w:hAnsi="Times New Roman" w:eastAsia="Times New Roman"/>
                <w:color w:val="000000"/>
                <w:sz w:val="20"/>
                <w:szCs w:val="20"/>
                <w:lang w:eastAsia="sk-SK"/>
              </w:rPr>
            </w:pPr>
            <w:r>
              <w:rPr>
                <w:rFonts w:ascii="Times New Roman" w:hAnsi="Times New Roman" w:eastAsia="Times New Roman"/>
                <w:color w:val="000000"/>
                <w:sz w:val="20"/>
                <w:szCs w:val="20"/>
                <w:lang w:eastAsia="sk-SK"/>
              </w:rPr>
              <w:t> </w:t>
            </w:r>
          </w:p>
        </w:tc>
        <w:tc>
          <w:tcPr>
            <w:tcW w:w="1843" w:type="dxa"/>
            <w:tcBorders>
              <w:top w:val="nil"/>
              <w:left w:val="nil"/>
              <w:bottom w:val="single" w:color="auto" w:sz="8" w:space="0"/>
              <w:right w:val="single" w:color="auto" w:sz="8" w:space="0"/>
            </w:tcBorders>
            <w:shd w:val="clear" w:color="auto" w:fill="auto"/>
            <w:noWrap/>
            <w:vAlign w:val="bottom"/>
          </w:tcPr>
          <w:p w14:paraId="4543C2A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7454378B">
        <w:tblPrEx>
          <w:tblCellMar>
            <w:top w:w="0" w:type="dxa"/>
            <w:left w:w="70" w:type="dxa"/>
            <w:bottom w:w="0" w:type="dxa"/>
            <w:right w:w="70" w:type="dxa"/>
          </w:tblCellMar>
        </w:tblPrEx>
        <w:trPr>
          <w:trHeight w:val="330" w:hRule="atLeast"/>
        </w:trPr>
        <w:tc>
          <w:tcPr>
            <w:tcW w:w="8354" w:type="dxa"/>
            <w:gridSpan w:val="6"/>
            <w:tcBorders>
              <w:top w:val="single" w:color="auto" w:sz="8" w:space="0"/>
              <w:left w:val="single" w:color="auto" w:sz="8" w:space="0"/>
              <w:bottom w:val="nil"/>
              <w:right w:val="single" w:color="000000" w:sz="8" w:space="0"/>
            </w:tcBorders>
            <w:shd w:val="clear" w:color="auto" w:fill="auto"/>
            <w:noWrap/>
            <w:vAlign w:val="bottom"/>
          </w:tcPr>
          <w:p w14:paraId="50994F4D">
            <w:pPr>
              <w:spacing w:after="0" w:line="240" w:lineRule="auto"/>
              <w:rPr>
                <w:rFonts w:ascii="Times New Roman" w:hAnsi="Times New Roman" w:eastAsia="Times New Roman"/>
                <w:b/>
                <w:bCs/>
                <w:color w:val="000000"/>
                <w:sz w:val="24"/>
                <w:szCs w:val="24"/>
                <w:lang w:eastAsia="sk-SK"/>
              </w:rPr>
            </w:pPr>
            <w:r>
              <w:rPr>
                <w:rFonts w:ascii="Times New Roman" w:hAnsi="Times New Roman" w:eastAsia="Times New Roman"/>
                <w:b/>
                <w:bCs/>
                <w:color w:val="000000"/>
                <w:sz w:val="24"/>
                <w:szCs w:val="24"/>
                <w:lang w:eastAsia="sk-SK"/>
              </w:rPr>
              <w:t>Krátkodobé bankové úvery</w:t>
            </w:r>
          </w:p>
        </w:tc>
      </w:tr>
      <w:tr w14:paraId="7041E5DD">
        <w:tblPrEx>
          <w:tblCellMar>
            <w:top w:w="0" w:type="dxa"/>
            <w:left w:w="70" w:type="dxa"/>
            <w:bottom w:w="0" w:type="dxa"/>
            <w:right w:w="70" w:type="dxa"/>
          </w:tblCellMar>
        </w:tblPrEx>
        <w:trPr>
          <w:trHeight w:val="765" w:hRule="atLeast"/>
        </w:trPr>
        <w:tc>
          <w:tcPr>
            <w:tcW w:w="2258" w:type="dxa"/>
            <w:tcBorders>
              <w:top w:val="single" w:color="auto" w:sz="8" w:space="0"/>
              <w:left w:val="single" w:color="auto" w:sz="8" w:space="0"/>
              <w:bottom w:val="single" w:color="auto" w:sz="4" w:space="0"/>
              <w:right w:val="single" w:color="auto" w:sz="4" w:space="0"/>
            </w:tcBorders>
            <w:shd w:val="clear" w:color="auto" w:fill="auto"/>
            <w:vAlign w:val="center"/>
          </w:tcPr>
          <w:p w14:paraId="4695C1F4">
            <w:pPr>
              <w:spacing w:after="0" w:line="240" w:lineRule="auto"/>
              <w:rPr>
                <w:rFonts w:ascii="Times New Roman" w:hAnsi="Times New Roman" w:eastAsia="Times New Roman"/>
                <w:color w:val="000000"/>
                <w:sz w:val="20"/>
                <w:szCs w:val="20"/>
                <w:lang w:eastAsia="sk-SK"/>
              </w:rPr>
            </w:pPr>
          </w:p>
        </w:tc>
        <w:tc>
          <w:tcPr>
            <w:tcW w:w="462" w:type="dxa"/>
            <w:tcBorders>
              <w:top w:val="single" w:color="auto" w:sz="8" w:space="0"/>
              <w:left w:val="nil"/>
              <w:bottom w:val="single" w:color="auto" w:sz="4" w:space="0"/>
              <w:right w:val="single" w:color="auto" w:sz="4" w:space="0"/>
            </w:tcBorders>
            <w:shd w:val="clear" w:color="auto" w:fill="auto"/>
            <w:noWrap/>
            <w:vAlign w:val="center"/>
          </w:tcPr>
          <w:p w14:paraId="0883B3D1">
            <w:pPr>
              <w:spacing w:after="0" w:line="240" w:lineRule="auto"/>
              <w:rPr>
                <w:rFonts w:ascii="Times New Roman" w:hAnsi="Times New Roman" w:eastAsia="Times New Roman"/>
                <w:color w:val="000000"/>
                <w:sz w:val="20"/>
                <w:szCs w:val="20"/>
                <w:lang w:eastAsia="sk-SK"/>
              </w:rPr>
            </w:pPr>
          </w:p>
        </w:tc>
        <w:tc>
          <w:tcPr>
            <w:tcW w:w="1098" w:type="dxa"/>
            <w:tcBorders>
              <w:top w:val="single" w:color="auto" w:sz="8" w:space="0"/>
              <w:left w:val="nil"/>
              <w:bottom w:val="single" w:color="auto" w:sz="4" w:space="0"/>
              <w:right w:val="single" w:color="auto" w:sz="4" w:space="0"/>
            </w:tcBorders>
            <w:shd w:val="clear" w:color="auto" w:fill="auto"/>
            <w:vAlign w:val="center"/>
          </w:tcPr>
          <w:p w14:paraId="59BA5570">
            <w:pPr>
              <w:spacing w:after="0" w:line="240" w:lineRule="auto"/>
              <w:jc w:val="center"/>
              <w:rPr>
                <w:rFonts w:ascii="Times New Roman" w:hAnsi="Times New Roman" w:eastAsia="Times New Roman"/>
                <w:color w:val="000000"/>
                <w:sz w:val="20"/>
                <w:szCs w:val="20"/>
                <w:lang w:eastAsia="sk-SK"/>
              </w:rPr>
            </w:pPr>
          </w:p>
        </w:tc>
        <w:tc>
          <w:tcPr>
            <w:tcW w:w="1134" w:type="dxa"/>
            <w:tcBorders>
              <w:top w:val="single" w:color="auto" w:sz="8" w:space="0"/>
              <w:left w:val="nil"/>
              <w:bottom w:val="single" w:color="auto" w:sz="4" w:space="0"/>
              <w:right w:val="single" w:color="auto" w:sz="4" w:space="0"/>
            </w:tcBorders>
            <w:shd w:val="clear" w:color="auto" w:fill="auto"/>
            <w:noWrap/>
            <w:vAlign w:val="center"/>
          </w:tcPr>
          <w:p w14:paraId="55603CFF">
            <w:pPr>
              <w:spacing w:after="0" w:line="240" w:lineRule="auto"/>
              <w:rPr>
                <w:rFonts w:ascii="Times New Roman" w:hAnsi="Times New Roman" w:eastAsia="Times New Roman"/>
                <w:color w:val="000000"/>
                <w:sz w:val="20"/>
                <w:szCs w:val="20"/>
                <w:lang w:eastAsia="sk-SK"/>
              </w:rPr>
            </w:pPr>
          </w:p>
        </w:tc>
        <w:tc>
          <w:tcPr>
            <w:tcW w:w="1559" w:type="dxa"/>
            <w:tcBorders>
              <w:top w:val="single" w:color="auto" w:sz="8" w:space="0"/>
              <w:left w:val="nil"/>
              <w:bottom w:val="single" w:color="auto" w:sz="4" w:space="0"/>
              <w:right w:val="single" w:color="auto" w:sz="4" w:space="0"/>
            </w:tcBorders>
            <w:shd w:val="clear" w:color="auto" w:fill="auto"/>
            <w:noWrap/>
            <w:vAlign w:val="center"/>
          </w:tcPr>
          <w:p w14:paraId="78A3DBCC">
            <w:pPr>
              <w:spacing w:after="0" w:line="240" w:lineRule="auto"/>
              <w:jc w:val="center"/>
              <w:rPr>
                <w:rFonts w:ascii="Times New Roman" w:hAnsi="Times New Roman" w:eastAsia="Times New Roman"/>
                <w:color w:val="000000"/>
                <w:sz w:val="20"/>
                <w:szCs w:val="20"/>
                <w:lang w:eastAsia="sk-SK"/>
              </w:rPr>
            </w:pPr>
          </w:p>
        </w:tc>
        <w:tc>
          <w:tcPr>
            <w:tcW w:w="1843" w:type="dxa"/>
            <w:tcBorders>
              <w:top w:val="single" w:color="auto" w:sz="8" w:space="0"/>
              <w:left w:val="nil"/>
              <w:bottom w:val="single" w:color="auto" w:sz="4" w:space="0"/>
              <w:right w:val="single" w:color="auto" w:sz="8" w:space="0"/>
            </w:tcBorders>
            <w:shd w:val="clear" w:color="auto" w:fill="auto"/>
            <w:noWrap/>
            <w:vAlign w:val="bottom"/>
          </w:tcPr>
          <w:p w14:paraId="452D668F">
            <w:pPr>
              <w:spacing w:after="0" w:line="240" w:lineRule="auto"/>
              <w:jc w:val="center"/>
              <w:rPr>
                <w:rFonts w:ascii="Times New Roman" w:hAnsi="Times New Roman" w:eastAsia="Times New Roman"/>
                <w:color w:val="000000"/>
                <w:sz w:val="24"/>
                <w:szCs w:val="24"/>
                <w:lang w:eastAsia="sk-SK"/>
              </w:rPr>
            </w:pPr>
          </w:p>
        </w:tc>
      </w:tr>
      <w:tr w14:paraId="6212A744">
        <w:tblPrEx>
          <w:tblCellMar>
            <w:top w:w="0" w:type="dxa"/>
            <w:left w:w="70" w:type="dxa"/>
            <w:bottom w:w="0" w:type="dxa"/>
            <w:right w:w="70" w:type="dxa"/>
          </w:tblCellMar>
        </w:tblPrEx>
        <w:trPr>
          <w:trHeight w:val="315" w:hRule="atLeast"/>
        </w:trPr>
        <w:tc>
          <w:tcPr>
            <w:tcW w:w="2258" w:type="dxa"/>
            <w:tcBorders>
              <w:top w:val="nil"/>
              <w:left w:val="single" w:color="auto" w:sz="8" w:space="0"/>
              <w:bottom w:val="single" w:color="auto" w:sz="4" w:space="0"/>
              <w:right w:val="single" w:color="auto" w:sz="4" w:space="0"/>
            </w:tcBorders>
            <w:shd w:val="clear" w:color="auto" w:fill="auto"/>
            <w:noWrap/>
            <w:vAlign w:val="bottom"/>
          </w:tcPr>
          <w:p w14:paraId="35CD880D">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462" w:type="dxa"/>
            <w:tcBorders>
              <w:top w:val="nil"/>
              <w:left w:val="nil"/>
              <w:bottom w:val="single" w:color="auto" w:sz="4" w:space="0"/>
              <w:right w:val="single" w:color="auto" w:sz="4" w:space="0"/>
            </w:tcBorders>
            <w:shd w:val="clear" w:color="auto" w:fill="auto"/>
            <w:noWrap/>
            <w:vAlign w:val="bottom"/>
          </w:tcPr>
          <w:p w14:paraId="41EB3BE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98" w:type="dxa"/>
            <w:tcBorders>
              <w:top w:val="nil"/>
              <w:left w:val="nil"/>
              <w:bottom w:val="single" w:color="auto" w:sz="4" w:space="0"/>
              <w:right w:val="single" w:color="auto" w:sz="4" w:space="0"/>
            </w:tcBorders>
            <w:shd w:val="clear" w:color="auto" w:fill="auto"/>
            <w:noWrap/>
            <w:vAlign w:val="bottom"/>
          </w:tcPr>
          <w:p w14:paraId="74918E64">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134" w:type="dxa"/>
            <w:tcBorders>
              <w:top w:val="nil"/>
              <w:left w:val="nil"/>
              <w:bottom w:val="single" w:color="auto" w:sz="4" w:space="0"/>
              <w:right w:val="single" w:color="auto" w:sz="4" w:space="0"/>
            </w:tcBorders>
            <w:shd w:val="clear" w:color="auto" w:fill="auto"/>
            <w:noWrap/>
            <w:vAlign w:val="bottom"/>
          </w:tcPr>
          <w:p w14:paraId="723688CD">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59" w:type="dxa"/>
            <w:tcBorders>
              <w:top w:val="nil"/>
              <w:left w:val="nil"/>
              <w:bottom w:val="single" w:color="auto" w:sz="4" w:space="0"/>
              <w:right w:val="single" w:color="auto" w:sz="4" w:space="0"/>
            </w:tcBorders>
            <w:shd w:val="clear" w:color="auto" w:fill="auto"/>
            <w:noWrap/>
            <w:vAlign w:val="bottom"/>
          </w:tcPr>
          <w:p w14:paraId="2CF8A0B2">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843" w:type="dxa"/>
            <w:tcBorders>
              <w:top w:val="nil"/>
              <w:left w:val="nil"/>
              <w:bottom w:val="single" w:color="auto" w:sz="4" w:space="0"/>
              <w:right w:val="single" w:color="auto" w:sz="8" w:space="0"/>
            </w:tcBorders>
            <w:shd w:val="clear" w:color="auto" w:fill="auto"/>
            <w:noWrap/>
            <w:vAlign w:val="bottom"/>
          </w:tcPr>
          <w:p w14:paraId="239CECDE">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r w14:paraId="67AF5704">
        <w:tblPrEx>
          <w:tblCellMar>
            <w:top w:w="0" w:type="dxa"/>
            <w:left w:w="70" w:type="dxa"/>
            <w:bottom w:w="0" w:type="dxa"/>
            <w:right w:w="70" w:type="dxa"/>
          </w:tblCellMar>
        </w:tblPrEx>
        <w:trPr>
          <w:trHeight w:val="330" w:hRule="atLeast"/>
        </w:trPr>
        <w:tc>
          <w:tcPr>
            <w:tcW w:w="2258" w:type="dxa"/>
            <w:tcBorders>
              <w:top w:val="nil"/>
              <w:left w:val="single" w:color="auto" w:sz="8" w:space="0"/>
              <w:bottom w:val="single" w:color="auto" w:sz="8" w:space="0"/>
              <w:right w:val="single" w:color="auto" w:sz="4" w:space="0"/>
            </w:tcBorders>
            <w:shd w:val="clear" w:color="auto" w:fill="auto"/>
            <w:noWrap/>
            <w:vAlign w:val="bottom"/>
          </w:tcPr>
          <w:p w14:paraId="56828271">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462" w:type="dxa"/>
            <w:tcBorders>
              <w:top w:val="nil"/>
              <w:left w:val="nil"/>
              <w:bottom w:val="single" w:color="auto" w:sz="8" w:space="0"/>
              <w:right w:val="single" w:color="auto" w:sz="4" w:space="0"/>
            </w:tcBorders>
            <w:shd w:val="clear" w:color="auto" w:fill="auto"/>
            <w:noWrap/>
            <w:vAlign w:val="bottom"/>
          </w:tcPr>
          <w:p w14:paraId="5D78FF72">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098" w:type="dxa"/>
            <w:tcBorders>
              <w:top w:val="nil"/>
              <w:left w:val="nil"/>
              <w:bottom w:val="single" w:color="auto" w:sz="8" w:space="0"/>
              <w:right w:val="single" w:color="auto" w:sz="4" w:space="0"/>
            </w:tcBorders>
            <w:shd w:val="clear" w:color="auto" w:fill="auto"/>
            <w:noWrap/>
            <w:vAlign w:val="bottom"/>
          </w:tcPr>
          <w:p w14:paraId="65B04FD0">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134" w:type="dxa"/>
            <w:tcBorders>
              <w:top w:val="nil"/>
              <w:left w:val="nil"/>
              <w:bottom w:val="single" w:color="auto" w:sz="8" w:space="0"/>
              <w:right w:val="single" w:color="auto" w:sz="4" w:space="0"/>
            </w:tcBorders>
            <w:shd w:val="clear" w:color="auto" w:fill="auto"/>
            <w:noWrap/>
            <w:vAlign w:val="bottom"/>
          </w:tcPr>
          <w:p w14:paraId="36EEDB38">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559" w:type="dxa"/>
            <w:tcBorders>
              <w:top w:val="nil"/>
              <w:left w:val="nil"/>
              <w:bottom w:val="single" w:color="auto" w:sz="8" w:space="0"/>
              <w:right w:val="single" w:color="auto" w:sz="4" w:space="0"/>
            </w:tcBorders>
            <w:shd w:val="clear" w:color="auto" w:fill="auto"/>
            <w:noWrap/>
            <w:vAlign w:val="bottom"/>
          </w:tcPr>
          <w:p w14:paraId="3B5CF1D5">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c>
          <w:tcPr>
            <w:tcW w:w="1843" w:type="dxa"/>
            <w:tcBorders>
              <w:top w:val="nil"/>
              <w:left w:val="nil"/>
              <w:bottom w:val="single" w:color="auto" w:sz="8" w:space="0"/>
              <w:right w:val="single" w:color="auto" w:sz="8" w:space="0"/>
            </w:tcBorders>
            <w:shd w:val="clear" w:color="auto" w:fill="auto"/>
            <w:noWrap/>
            <w:vAlign w:val="bottom"/>
          </w:tcPr>
          <w:p w14:paraId="612D45FB">
            <w:pPr>
              <w:spacing w:after="0" w:line="240" w:lineRule="auto"/>
              <w:rPr>
                <w:rFonts w:ascii="Times New Roman" w:hAnsi="Times New Roman" w:eastAsia="Times New Roman"/>
                <w:color w:val="000000"/>
                <w:sz w:val="24"/>
                <w:szCs w:val="24"/>
                <w:lang w:eastAsia="sk-SK"/>
              </w:rPr>
            </w:pPr>
            <w:r>
              <w:rPr>
                <w:rFonts w:ascii="Times New Roman" w:hAnsi="Times New Roman" w:eastAsia="Times New Roman"/>
                <w:color w:val="000000"/>
                <w:sz w:val="24"/>
                <w:szCs w:val="24"/>
                <w:lang w:eastAsia="sk-SK"/>
              </w:rPr>
              <w:t> </w:t>
            </w:r>
          </w:p>
        </w:tc>
      </w:tr>
    </w:tbl>
    <w:p w14:paraId="25749C51">
      <w:pPr>
        <w:spacing w:after="0"/>
        <w:jc w:val="both"/>
        <w:rPr>
          <w:rFonts w:ascii="Times New Roman" w:hAnsi="Times New Roman"/>
          <w:b/>
        </w:rPr>
      </w:pPr>
    </w:p>
    <w:p w14:paraId="2E4DB0C2">
      <w:pPr>
        <w:rPr>
          <w:rFonts w:ascii="Times New Roman" w:hAnsi="Times New Roman"/>
        </w:rPr>
      </w:pPr>
      <w:r>
        <w:rPr>
          <w:rFonts w:ascii="Times New Roman" w:hAnsi="Times New Roman"/>
          <w:b/>
        </w:rPr>
        <w:t>Informácie o majetku prenajatom formou finančného prenájmu</w:t>
      </w:r>
    </w:p>
    <w:tbl>
      <w:tblPr>
        <w:tblStyle w:val="3"/>
        <w:tblW w:w="9771" w:type="dxa"/>
        <w:tblInd w:w="0" w:type="dxa"/>
        <w:tblLayout w:type="autofit"/>
        <w:tblCellMar>
          <w:top w:w="0" w:type="dxa"/>
          <w:left w:w="70" w:type="dxa"/>
          <w:bottom w:w="0" w:type="dxa"/>
          <w:right w:w="70" w:type="dxa"/>
        </w:tblCellMar>
      </w:tblPr>
      <w:tblGrid>
        <w:gridCol w:w="1623"/>
        <w:gridCol w:w="1380"/>
        <w:gridCol w:w="1380"/>
        <w:gridCol w:w="1380"/>
        <w:gridCol w:w="1373"/>
        <w:gridCol w:w="1373"/>
        <w:gridCol w:w="1262"/>
      </w:tblGrid>
      <w:tr w14:paraId="40436DE4">
        <w:tblPrEx>
          <w:tblCellMar>
            <w:top w:w="0" w:type="dxa"/>
            <w:left w:w="70" w:type="dxa"/>
            <w:bottom w:w="0" w:type="dxa"/>
            <w:right w:w="70" w:type="dxa"/>
          </w:tblCellMar>
        </w:tblPrEx>
        <w:trPr>
          <w:trHeight w:val="630" w:hRule="atLeast"/>
        </w:trPr>
        <w:tc>
          <w:tcPr>
            <w:tcW w:w="1623" w:type="dxa"/>
            <w:vMerge w:val="restart"/>
            <w:tcBorders>
              <w:top w:val="single" w:color="auto" w:sz="8" w:space="0"/>
              <w:left w:val="single" w:color="auto" w:sz="8" w:space="0"/>
              <w:bottom w:val="nil"/>
              <w:right w:val="single" w:color="auto" w:sz="8" w:space="0"/>
            </w:tcBorders>
            <w:shd w:val="clear" w:color="auto" w:fill="auto"/>
            <w:vAlign w:val="center"/>
          </w:tcPr>
          <w:p w14:paraId="465AFD3D">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Názov položky</w:t>
            </w:r>
          </w:p>
        </w:tc>
        <w:tc>
          <w:tcPr>
            <w:tcW w:w="4140" w:type="dxa"/>
            <w:gridSpan w:val="3"/>
            <w:tcBorders>
              <w:top w:val="single" w:color="auto" w:sz="8" w:space="0"/>
              <w:left w:val="nil"/>
              <w:bottom w:val="single" w:color="auto" w:sz="8" w:space="0"/>
              <w:right w:val="single" w:color="000000" w:sz="8" w:space="0"/>
            </w:tcBorders>
            <w:shd w:val="clear" w:color="auto" w:fill="auto"/>
            <w:noWrap/>
            <w:vAlign w:val="center"/>
          </w:tcPr>
          <w:p w14:paraId="04F79311">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Bežné účtovné obdobie</w:t>
            </w:r>
          </w:p>
        </w:tc>
        <w:tc>
          <w:tcPr>
            <w:tcW w:w="4008" w:type="dxa"/>
            <w:gridSpan w:val="3"/>
            <w:tcBorders>
              <w:top w:val="single" w:color="auto" w:sz="8" w:space="0"/>
              <w:left w:val="nil"/>
              <w:bottom w:val="single" w:color="auto" w:sz="8" w:space="0"/>
              <w:right w:val="single" w:color="000000" w:sz="8" w:space="0"/>
            </w:tcBorders>
            <w:shd w:val="clear" w:color="auto" w:fill="auto"/>
            <w:vAlign w:val="center"/>
          </w:tcPr>
          <w:p w14:paraId="766120B8">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Bezprostredne predchádzajúce účtovné obdobie</w:t>
            </w:r>
          </w:p>
        </w:tc>
      </w:tr>
      <w:tr w14:paraId="59179C63">
        <w:tblPrEx>
          <w:tblCellMar>
            <w:top w:w="0" w:type="dxa"/>
            <w:left w:w="70" w:type="dxa"/>
            <w:bottom w:w="0" w:type="dxa"/>
            <w:right w:w="70" w:type="dxa"/>
          </w:tblCellMar>
        </w:tblPrEx>
        <w:trPr>
          <w:trHeight w:val="315" w:hRule="atLeast"/>
        </w:trPr>
        <w:tc>
          <w:tcPr>
            <w:tcW w:w="1623" w:type="dxa"/>
            <w:vMerge w:val="continue"/>
            <w:tcBorders>
              <w:top w:val="single" w:color="auto" w:sz="8" w:space="0"/>
              <w:left w:val="single" w:color="auto" w:sz="8" w:space="0"/>
              <w:bottom w:val="nil"/>
              <w:right w:val="single" w:color="auto" w:sz="8" w:space="0"/>
            </w:tcBorders>
            <w:vAlign w:val="center"/>
          </w:tcPr>
          <w:p w14:paraId="2111F370">
            <w:pPr>
              <w:spacing w:after="0" w:line="240" w:lineRule="auto"/>
              <w:rPr>
                <w:rFonts w:ascii="Times New Roman" w:hAnsi="Times New Roman" w:eastAsia="Times New Roman"/>
                <w:b/>
                <w:bCs/>
                <w:color w:val="000000"/>
                <w:sz w:val="20"/>
                <w:szCs w:val="20"/>
                <w:lang w:eastAsia="sk-SK"/>
              </w:rPr>
            </w:pPr>
          </w:p>
        </w:tc>
        <w:tc>
          <w:tcPr>
            <w:tcW w:w="4140" w:type="dxa"/>
            <w:gridSpan w:val="3"/>
            <w:tcBorders>
              <w:top w:val="single" w:color="auto" w:sz="8" w:space="0"/>
              <w:left w:val="nil"/>
              <w:bottom w:val="single" w:color="auto" w:sz="8" w:space="0"/>
              <w:right w:val="single" w:color="000000" w:sz="8" w:space="0"/>
            </w:tcBorders>
            <w:shd w:val="clear" w:color="auto" w:fill="auto"/>
            <w:noWrap/>
            <w:vAlign w:val="bottom"/>
          </w:tcPr>
          <w:p w14:paraId="78ED56CC">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Splatnosť</w:t>
            </w:r>
          </w:p>
        </w:tc>
        <w:tc>
          <w:tcPr>
            <w:tcW w:w="4008" w:type="dxa"/>
            <w:gridSpan w:val="3"/>
            <w:tcBorders>
              <w:top w:val="single" w:color="auto" w:sz="8" w:space="0"/>
              <w:left w:val="nil"/>
              <w:bottom w:val="single" w:color="auto" w:sz="8" w:space="0"/>
              <w:right w:val="single" w:color="000000" w:sz="8" w:space="0"/>
            </w:tcBorders>
            <w:shd w:val="clear" w:color="auto" w:fill="auto"/>
            <w:noWrap/>
            <w:vAlign w:val="bottom"/>
          </w:tcPr>
          <w:p w14:paraId="16B16917">
            <w:pPr>
              <w:spacing w:after="0" w:line="240" w:lineRule="auto"/>
              <w:jc w:val="center"/>
              <w:rPr>
                <w:rFonts w:ascii="Times New Roman" w:hAnsi="Times New Roman" w:eastAsia="Times New Roman"/>
                <w:b/>
                <w:bCs/>
                <w:color w:val="000000"/>
                <w:lang w:eastAsia="sk-SK"/>
              </w:rPr>
            </w:pPr>
            <w:r>
              <w:rPr>
                <w:rFonts w:ascii="Times New Roman" w:hAnsi="Times New Roman" w:eastAsia="Times New Roman"/>
                <w:b/>
                <w:bCs/>
                <w:color w:val="000000"/>
                <w:lang w:eastAsia="sk-SK"/>
              </w:rPr>
              <w:t>Splatnosť</w:t>
            </w:r>
          </w:p>
        </w:tc>
      </w:tr>
      <w:tr w14:paraId="185C2177">
        <w:tblPrEx>
          <w:tblCellMar>
            <w:top w:w="0" w:type="dxa"/>
            <w:left w:w="70" w:type="dxa"/>
            <w:bottom w:w="0" w:type="dxa"/>
            <w:right w:w="70" w:type="dxa"/>
          </w:tblCellMar>
        </w:tblPrEx>
        <w:trPr>
          <w:trHeight w:val="1020" w:hRule="atLeast"/>
        </w:trPr>
        <w:tc>
          <w:tcPr>
            <w:tcW w:w="1623" w:type="dxa"/>
            <w:vMerge w:val="continue"/>
            <w:tcBorders>
              <w:top w:val="single" w:color="auto" w:sz="8" w:space="0"/>
              <w:left w:val="single" w:color="auto" w:sz="8" w:space="0"/>
              <w:bottom w:val="nil"/>
              <w:right w:val="single" w:color="auto" w:sz="8" w:space="0"/>
            </w:tcBorders>
            <w:vAlign w:val="center"/>
          </w:tcPr>
          <w:p w14:paraId="3480A5FA">
            <w:pPr>
              <w:spacing w:after="0" w:line="240" w:lineRule="auto"/>
              <w:rPr>
                <w:rFonts w:ascii="Times New Roman" w:hAnsi="Times New Roman" w:eastAsia="Times New Roman"/>
                <w:b/>
                <w:bCs/>
                <w:color w:val="000000"/>
                <w:sz w:val="20"/>
                <w:szCs w:val="20"/>
                <w:lang w:eastAsia="sk-SK"/>
              </w:rPr>
            </w:pPr>
          </w:p>
        </w:tc>
        <w:tc>
          <w:tcPr>
            <w:tcW w:w="1380" w:type="dxa"/>
            <w:tcBorders>
              <w:top w:val="nil"/>
              <w:left w:val="nil"/>
              <w:bottom w:val="nil"/>
              <w:right w:val="single" w:color="auto" w:sz="8" w:space="0"/>
            </w:tcBorders>
            <w:shd w:val="clear" w:color="auto" w:fill="auto"/>
            <w:vAlign w:val="center"/>
          </w:tcPr>
          <w:p w14:paraId="0593918E">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do jedného roka vrátane</w:t>
            </w:r>
          </w:p>
        </w:tc>
        <w:tc>
          <w:tcPr>
            <w:tcW w:w="1380" w:type="dxa"/>
            <w:tcBorders>
              <w:top w:val="nil"/>
              <w:left w:val="nil"/>
              <w:bottom w:val="nil"/>
              <w:right w:val="single" w:color="auto" w:sz="8" w:space="0"/>
            </w:tcBorders>
            <w:shd w:val="clear" w:color="auto" w:fill="auto"/>
            <w:vAlign w:val="center"/>
          </w:tcPr>
          <w:p w14:paraId="3359BFFA">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od jedného roka do piatich rokov vrátane</w:t>
            </w:r>
          </w:p>
        </w:tc>
        <w:tc>
          <w:tcPr>
            <w:tcW w:w="1380" w:type="dxa"/>
            <w:tcBorders>
              <w:top w:val="nil"/>
              <w:left w:val="nil"/>
              <w:bottom w:val="nil"/>
              <w:right w:val="single" w:color="auto" w:sz="8" w:space="0"/>
            </w:tcBorders>
            <w:shd w:val="clear" w:color="auto" w:fill="auto"/>
            <w:vAlign w:val="center"/>
          </w:tcPr>
          <w:p w14:paraId="07796BB0">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viac ako päť rokov</w:t>
            </w:r>
          </w:p>
        </w:tc>
        <w:tc>
          <w:tcPr>
            <w:tcW w:w="1373" w:type="dxa"/>
            <w:tcBorders>
              <w:top w:val="nil"/>
              <w:left w:val="nil"/>
              <w:bottom w:val="nil"/>
              <w:right w:val="single" w:color="auto" w:sz="8" w:space="0"/>
            </w:tcBorders>
            <w:shd w:val="clear" w:color="auto" w:fill="auto"/>
            <w:vAlign w:val="center"/>
          </w:tcPr>
          <w:p w14:paraId="7EC900C1">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do jedného roka vrátane</w:t>
            </w:r>
          </w:p>
        </w:tc>
        <w:tc>
          <w:tcPr>
            <w:tcW w:w="1373" w:type="dxa"/>
            <w:tcBorders>
              <w:top w:val="nil"/>
              <w:left w:val="nil"/>
              <w:bottom w:val="nil"/>
              <w:right w:val="single" w:color="auto" w:sz="8" w:space="0"/>
            </w:tcBorders>
            <w:shd w:val="clear" w:color="auto" w:fill="auto"/>
            <w:vAlign w:val="center"/>
          </w:tcPr>
          <w:p w14:paraId="79E4AC4C">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od jedného roka do piatich rokov vrátane</w:t>
            </w:r>
          </w:p>
        </w:tc>
        <w:tc>
          <w:tcPr>
            <w:tcW w:w="1262" w:type="dxa"/>
            <w:tcBorders>
              <w:top w:val="nil"/>
              <w:left w:val="nil"/>
              <w:bottom w:val="nil"/>
              <w:right w:val="single" w:color="auto" w:sz="8" w:space="0"/>
            </w:tcBorders>
            <w:shd w:val="clear" w:color="auto" w:fill="auto"/>
            <w:vAlign w:val="center"/>
          </w:tcPr>
          <w:p w14:paraId="1D351410">
            <w:pPr>
              <w:spacing w:after="0" w:line="240" w:lineRule="auto"/>
              <w:jc w:val="center"/>
              <w:rPr>
                <w:rFonts w:ascii="Times New Roman" w:hAnsi="Times New Roman" w:eastAsia="Times New Roman"/>
                <w:b/>
                <w:bCs/>
                <w:color w:val="000000"/>
                <w:sz w:val="20"/>
                <w:szCs w:val="20"/>
                <w:lang w:eastAsia="sk-SK"/>
              </w:rPr>
            </w:pPr>
            <w:r>
              <w:rPr>
                <w:rFonts w:ascii="Times New Roman" w:hAnsi="Times New Roman" w:eastAsia="Times New Roman"/>
                <w:b/>
                <w:bCs/>
                <w:color w:val="000000"/>
                <w:sz w:val="20"/>
                <w:szCs w:val="20"/>
                <w:lang w:eastAsia="sk-SK"/>
              </w:rPr>
              <w:t>viac ako päť rokov</w:t>
            </w:r>
          </w:p>
        </w:tc>
      </w:tr>
      <w:tr w14:paraId="42A56CFB">
        <w:tblPrEx>
          <w:tblCellMar>
            <w:top w:w="0" w:type="dxa"/>
            <w:left w:w="70" w:type="dxa"/>
            <w:bottom w:w="0" w:type="dxa"/>
            <w:right w:w="70" w:type="dxa"/>
          </w:tblCellMar>
        </w:tblPrEx>
        <w:trPr>
          <w:trHeight w:val="315" w:hRule="atLeast"/>
        </w:trPr>
        <w:tc>
          <w:tcPr>
            <w:tcW w:w="1623" w:type="dxa"/>
            <w:tcBorders>
              <w:top w:val="nil"/>
              <w:left w:val="single" w:color="auto" w:sz="8" w:space="0"/>
              <w:bottom w:val="single" w:color="auto" w:sz="8" w:space="0"/>
              <w:right w:val="single" w:color="auto" w:sz="8" w:space="0"/>
            </w:tcBorders>
            <w:shd w:val="clear" w:color="auto" w:fill="auto"/>
            <w:noWrap/>
            <w:vAlign w:val="bottom"/>
          </w:tcPr>
          <w:p w14:paraId="0B3B7FA0">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a</w:t>
            </w:r>
          </w:p>
        </w:tc>
        <w:tc>
          <w:tcPr>
            <w:tcW w:w="1380" w:type="dxa"/>
            <w:tcBorders>
              <w:top w:val="nil"/>
              <w:left w:val="nil"/>
              <w:bottom w:val="single" w:color="auto" w:sz="8" w:space="0"/>
              <w:right w:val="single" w:color="auto" w:sz="8" w:space="0"/>
            </w:tcBorders>
            <w:shd w:val="clear" w:color="auto" w:fill="auto"/>
            <w:noWrap/>
            <w:vAlign w:val="bottom"/>
          </w:tcPr>
          <w:p w14:paraId="3393C59F">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 xml:space="preserve">b </w:t>
            </w:r>
          </w:p>
        </w:tc>
        <w:tc>
          <w:tcPr>
            <w:tcW w:w="1380" w:type="dxa"/>
            <w:tcBorders>
              <w:top w:val="nil"/>
              <w:left w:val="nil"/>
              <w:bottom w:val="single" w:color="auto" w:sz="8" w:space="0"/>
              <w:right w:val="single" w:color="auto" w:sz="8" w:space="0"/>
            </w:tcBorders>
            <w:shd w:val="clear" w:color="auto" w:fill="auto"/>
            <w:noWrap/>
            <w:vAlign w:val="bottom"/>
          </w:tcPr>
          <w:p w14:paraId="1DCAC173">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c</w:t>
            </w:r>
          </w:p>
        </w:tc>
        <w:tc>
          <w:tcPr>
            <w:tcW w:w="1380" w:type="dxa"/>
            <w:tcBorders>
              <w:top w:val="nil"/>
              <w:left w:val="nil"/>
              <w:bottom w:val="single" w:color="auto" w:sz="8" w:space="0"/>
              <w:right w:val="single" w:color="auto" w:sz="8" w:space="0"/>
            </w:tcBorders>
            <w:shd w:val="clear" w:color="auto" w:fill="auto"/>
            <w:noWrap/>
            <w:vAlign w:val="bottom"/>
          </w:tcPr>
          <w:p w14:paraId="1DFBC207">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d</w:t>
            </w:r>
          </w:p>
        </w:tc>
        <w:tc>
          <w:tcPr>
            <w:tcW w:w="1373" w:type="dxa"/>
            <w:tcBorders>
              <w:top w:val="nil"/>
              <w:left w:val="nil"/>
              <w:bottom w:val="single" w:color="auto" w:sz="8" w:space="0"/>
              <w:right w:val="single" w:color="auto" w:sz="8" w:space="0"/>
            </w:tcBorders>
            <w:shd w:val="clear" w:color="auto" w:fill="auto"/>
            <w:noWrap/>
            <w:vAlign w:val="bottom"/>
          </w:tcPr>
          <w:p w14:paraId="28413BC3">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e</w:t>
            </w:r>
          </w:p>
        </w:tc>
        <w:tc>
          <w:tcPr>
            <w:tcW w:w="1373" w:type="dxa"/>
            <w:tcBorders>
              <w:top w:val="nil"/>
              <w:left w:val="nil"/>
              <w:bottom w:val="single" w:color="auto" w:sz="8" w:space="0"/>
              <w:right w:val="single" w:color="auto" w:sz="8" w:space="0"/>
            </w:tcBorders>
            <w:shd w:val="clear" w:color="auto" w:fill="auto"/>
            <w:noWrap/>
            <w:vAlign w:val="bottom"/>
          </w:tcPr>
          <w:p w14:paraId="51B0FACB">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f</w:t>
            </w:r>
          </w:p>
        </w:tc>
        <w:tc>
          <w:tcPr>
            <w:tcW w:w="1262" w:type="dxa"/>
            <w:tcBorders>
              <w:top w:val="nil"/>
              <w:left w:val="nil"/>
              <w:bottom w:val="single" w:color="auto" w:sz="8" w:space="0"/>
              <w:right w:val="single" w:color="auto" w:sz="8" w:space="0"/>
            </w:tcBorders>
            <w:shd w:val="clear" w:color="auto" w:fill="auto"/>
            <w:noWrap/>
            <w:vAlign w:val="bottom"/>
          </w:tcPr>
          <w:p w14:paraId="3EF66E8F">
            <w:pPr>
              <w:spacing w:after="0" w:line="240" w:lineRule="auto"/>
              <w:jc w:val="center"/>
              <w:rPr>
                <w:rFonts w:ascii="Times New Roman" w:hAnsi="Times New Roman" w:eastAsia="Times New Roman"/>
                <w:color w:val="000000"/>
                <w:lang w:eastAsia="sk-SK"/>
              </w:rPr>
            </w:pPr>
            <w:r>
              <w:rPr>
                <w:rFonts w:ascii="Times New Roman" w:hAnsi="Times New Roman" w:eastAsia="Times New Roman"/>
                <w:color w:val="000000"/>
                <w:lang w:eastAsia="sk-SK"/>
              </w:rPr>
              <w:t>g</w:t>
            </w:r>
          </w:p>
        </w:tc>
      </w:tr>
    </w:tbl>
    <w:p w14:paraId="1F65FAB6">
      <w:pPr>
        <w:rPr>
          <w:rFonts w:ascii="Times New Roman" w:hAnsi="Times New Roman"/>
        </w:rPr>
      </w:pPr>
    </w:p>
    <w:p w14:paraId="4B5112C0">
      <w:pPr>
        <w:pStyle w:val="4"/>
        <w:numPr>
          <w:ilvl w:val="0"/>
          <w:numId w:val="9"/>
        </w:numPr>
        <w:rPr>
          <w:rFonts w:ascii="Times New Roman" w:hAnsi="Times New Roman"/>
          <w:b/>
          <w:u w:val="single"/>
        </w:rPr>
      </w:pPr>
      <w:r>
        <w:rPr>
          <w:rFonts w:ascii="Times New Roman" w:hAnsi="Times New Roman"/>
          <w:b/>
          <w:u w:val="single"/>
        </w:rPr>
        <w:t>Informácie o použitých účtovných zásadách účtovných metódach</w:t>
      </w:r>
    </w:p>
    <w:p w14:paraId="3E7A6552">
      <w:pPr>
        <w:rPr>
          <w:rFonts w:ascii="Times New Roman" w:hAnsi="Times New Roman"/>
        </w:rPr>
      </w:pPr>
      <w:r>
        <w:rPr>
          <w:rFonts w:ascii="Times New Roman" w:hAnsi="Times New Roman"/>
        </w:rPr>
        <w:t>Po dátume zostavenia účtovnej závierky nenastali žiadne udalosti, ktoré by menili obsah poskytnutých informácií v poznámkach k účtovnej závierke, alebo ktoré by menili údaje uvedené v účtovnej závierke.</w:t>
      </w:r>
    </w:p>
    <w:p w14:paraId="0E6EE43C">
      <w:pPr>
        <w:rPr>
          <w:rFonts w:ascii="Times New Roman" w:hAnsi="Times New Roman"/>
        </w:rPr>
      </w:pPr>
    </w:p>
    <w:p w14:paraId="0530969E">
      <w:pPr>
        <w:rPr>
          <w:rFonts w:ascii="Times New Roman" w:hAnsi="Times New Roman"/>
        </w:rPr>
      </w:pPr>
    </w:p>
    <w:p w14:paraId="1CC21EBF">
      <w:pPr>
        <w:rPr>
          <w:rFonts w:ascii="Times New Roman" w:hAnsi="Times New Roman"/>
        </w:rPr>
      </w:pPr>
    </w:p>
    <w:p w14:paraId="465335A2">
      <w:pPr>
        <w:rPr>
          <w:rFonts w:ascii="Times New Roman" w:hAnsi="Times New Roman"/>
        </w:rPr>
      </w:pPr>
    </w:p>
    <w:sectPr>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370A3"/>
    <w:multiLevelType w:val="multilevel"/>
    <w:tmpl w:val="01B370A3"/>
    <w:lvl w:ilvl="0" w:tentative="0">
      <w:start w:val="1"/>
      <w:numFmt w:val="lowerLetter"/>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1">
    <w:nsid w:val="0B167B0B"/>
    <w:multiLevelType w:val="multilevel"/>
    <w:tmpl w:val="0B167B0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B2544ED"/>
    <w:multiLevelType w:val="multilevel"/>
    <w:tmpl w:val="0B2544ED"/>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3956AFF"/>
    <w:multiLevelType w:val="multilevel"/>
    <w:tmpl w:val="13956AF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4C3E1E9F"/>
    <w:multiLevelType w:val="multilevel"/>
    <w:tmpl w:val="4C3E1E9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5D0508A"/>
    <w:multiLevelType w:val="multilevel"/>
    <w:tmpl w:val="55D0508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64AB3220"/>
    <w:multiLevelType w:val="multilevel"/>
    <w:tmpl w:val="64AB3220"/>
    <w:lvl w:ilvl="0" w:tentative="0">
      <w:start w:val="1"/>
      <w:numFmt w:val="bullet"/>
      <w:lvlText w:val=""/>
      <w:lvlJc w:val="left"/>
      <w:pPr>
        <w:ind w:left="720" w:hanging="360"/>
      </w:pPr>
      <w:rPr>
        <w:rFonts w:hint="default" w:ascii="Symbol" w:hAnsi="Symbol"/>
        <w:b w:val="0"/>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6D344237"/>
    <w:multiLevelType w:val="multilevel"/>
    <w:tmpl w:val="6D344237"/>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7E3F03FF"/>
    <w:multiLevelType w:val="multilevel"/>
    <w:tmpl w:val="7E3F03FF"/>
    <w:lvl w:ilvl="0" w:tentative="0">
      <w:start w:val="3"/>
      <w:numFmt w:val="decimal"/>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7EFD03EA"/>
    <w:multiLevelType w:val="multilevel"/>
    <w:tmpl w:val="7EFD03E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8"/>
  </w:num>
  <w:num w:numId="3">
    <w:abstractNumId w:val="9"/>
  </w:num>
  <w:num w:numId="4">
    <w:abstractNumId w:val="6"/>
  </w:num>
  <w:num w:numId="5">
    <w:abstractNumId w:val="5"/>
  </w:num>
  <w:num w:numId="6">
    <w:abstractNumId w:val="4"/>
  </w:num>
  <w:num w:numId="7">
    <w:abstractNumId w:val="3"/>
  </w:num>
  <w:num w:numId="8">
    <w:abstractNumId w:val="7"/>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7E4"/>
    <w:rsid w:val="00007F48"/>
    <w:rsid w:val="000221B0"/>
    <w:rsid w:val="00070A1B"/>
    <w:rsid w:val="000967CF"/>
    <w:rsid w:val="000A6EF0"/>
    <w:rsid w:val="000B2FEE"/>
    <w:rsid w:val="002F3542"/>
    <w:rsid w:val="00390845"/>
    <w:rsid w:val="003B3DDE"/>
    <w:rsid w:val="003C6A52"/>
    <w:rsid w:val="003C7FEC"/>
    <w:rsid w:val="0041784A"/>
    <w:rsid w:val="004352C1"/>
    <w:rsid w:val="00487BC2"/>
    <w:rsid w:val="004C7E8C"/>
    <w:rsid w:val="004E6FB8"/>
    <w:rsid w:val="0062543E"/>
    <w:rsid w:val="0063563D"/>
    <w:rsid w:val="00696E07"/>
    <w:rsid w:val="0070180D"/>
    <w:rsid w:val="00711978"/>
    <w:rsid w:val="00767C14"/>
    <w:rsid w:val="00804B07"/>
    <w:rsid w:val="00826EE9"/>
    <w:rsid w:val="00867515"/>
    <w:rsid w:val="008D1355"/>
    <w:rsid w:val="008E010E"/>
    <w:rsid w:val="008E05AD"/>
    <w:rsid w:val="00931AE8"/>
    <w:rsid w:val="0094034F"/>
    <w:rsid w:val="009D7211"/>
    <w:rsid w:val="00A632BB"/>
    <w:rsid w:val="00B82ADC"/>
    <w:rsid w:val="00B91814"/>
    <w:rsid w:val="00C2741F"/>
    <w:rsid w:val="00C66294"/>
    <w:rsid w:val="00C863C9"/>
    <w:rsid w:val="00D11C8E"/>
    <w:rsid w:val="00D273AB"/>
    <w:rsid w:val="00D36F3B"/>
    <w:rsid w:val="00D76D56"/>
    <w:rsid w:val="00DC450F"/>
    <w:rsid w:val="00DD6F1C"/>
    <w:rsid w:val="00E25403"/>
    <w:rsid w:val="00E33531"/>
    <w:rsid w:val="00E43903"/>
    <w:rsid w:val="00E52493"/>
    <w:rsid w:val="00E567E4"/>
    <w:rsid w:val="00F56744"/>
    <w:rsid w:val="00FB2AC2"/>
    <w:rsid w:val="00FD57D2"/>
    <w:rsid w:val="103B3555"/>
    <w:rsid w:val="2A4F3784"/>
    <w:rsid w:val="41F768C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Times New Roman"/>
      <w:sz w:val="22"/>
      <w:szCs w:val="22"/>
      <w:lang w:val="sk-SK"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List Paragraph"/>
    <w:basedOn w:val="1"/>
    <w:qFormat/>
    <w:uiPriority w:val="34"/>
    <w:pPr>
      <w:ind w:left="720"/>
      <w:contextualSpacing/>
    </w:pPr>
  </w:style>
  <w:style w:type="paragraph" w:customStyle="1" w:styleId="5">
    <w:name w:val="Default"/>
    <w:uiPriority w:val="0"/>
    <w:pPr>
      <w:autoSpaceDE w:val="0"/>
      <w:autoSpaceDN w:val="0"/>
      <w:adjustRightInd w:val="0"/>
    </w:pPr>
    <w:rPr>
      <w:rFonts w:ascii="Arial" w:hAnsi="Arial" w:eastAsia="Calibri" w:cs="Arial"/>
      <w:color w:val="000000"/>
      <w:sz w:val="24"/>
      <w:szCs w:val="24"/>
      <w:lang w:val="sk-SK" w:eastAsia="en-US" w:bidi="ar-SA"/>
    </w:rPr>
  </w:style>
  <w:style w:type="character" w:customStyle="1" w:styleId="6">
    <w:name w:val="ra"/>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2411</Words>
  <Characters>13748</Characters>
  <Lines>114</Lines>
  <Paragraphs>32</Paragraphs>
  <TotalTime>1</TotalTime>
  <ScaleCrop>false</ScaleCrop>
  <LinksUpToDate>false</LinksUpToDate>
  <CharactersWithSpaces>16127</CharactersWithSpaces>
  <Application>WPS Office_12.2.0.20326_F1E327BC-269C-435d-A152-05C5408002CA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2023-02-10T14:00:00Z</dcterms:created>
  <dc:creator>Miroslava Francistyová</dc:creator>
  <cp:lastModifiedBy>Martina Golianová</cp:lastModifiedBy>
  <cp:lastPrinted>2018-04-03T11:50:00Z</cp:lastPrinted>
  <dcterms:modified xsi:type="dcterms:W3CDTF">2025-03-25T13:26:46Z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6C07A7EE6D8A42FC98DD7AEA3EDB427C_13</vt:lpwstr>
  </property>
</Properties>
</file>