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m" ContentType="application/vnd.ms-excel.sheet.macroEnabled.12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F0655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5032D534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2DABDABB" w14:textId="7BF86DE3" w:rsidR="00227176" w:rsidRDefault="002E6E73" w:rsidP="00227176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eastAsia="Times New Roman" w:cs="Times New Roman"/>
          <w:sz w:val="20"/>
          <w:szCs w:val="20"/>
          <w:lang w:eastAsia="sk-SK"/>
        </w:rPr>
      </w:pPr>
      <w:r w:rsidRPr="002E6E73">
        <w:rPr>
          <w:rFonts w:eastAsia="Times New Roman" w:cs="Times New Roman"/>
          <w:sz w:val="20"/>
          <w:szCs w:val="20"/>
          <w:lang w:eastAsia="sk-SK"/>
        </w:rPr>
        <w:t>Zo</w:t>
      </w:r>
      <w:r w:rsidR="00227176">
        <w:rPr>
          <w:rFonts w:eastAsia="Times New Roman" w:cs="Times New Roman"/>
          <w:sz w:val="20"/>
          <w:szCs w:val="20"/>
          <w:lang w:eastAsia="sk-SK"/>
        </w:rPr>
        <w:t>stavené podľa opatrenia MF SR č. MF/15464/2013-74</w:t>
      </w:r>
      <w:r w:rsidR="000D59B1">
        <w:rPr>
          <w:rFonts w:eastAsia="Times New Roman" w:cs="Times New Roman"/>
          <w:sz w:val="20"/>
          <w:szCs w:val="20"/>
          <w:lang w:eastAsia="sk-SK"/>
        </w:rPr>
        <w:t xml:space="preserve"> v znení neskorších predpisov</w:t>
      </w:r>
      <w:r w:rsidR="00227176">
        <w:rPr>
          <w:rFonts w:eastAsia="Times New Roman" w:cs="Times New Roman"/>
          <w:sz w:val="20"/>
          <w:szCs w:val="20"/>
          <w:lang w:eastAsia="sk-SK"/>
        </w:rPr>
        <w:t>,</w:t>
      </w:r>
      <w:r w:rsidRPr="002E6E73">
        <w:rPr>
          <w:rFonts w:eastAsia="Times New Roman" w:cs="Times New Roman"/>
          <w:sz w:val="20"/>
          <w:szCs w:val="20"/>
          <w:lang w:eastAsia="sk-SK"/>
        </w:rPr>
        <w:t xml:space="preserve"> ktorým sa ustanovujú podrobnosti o usporiadaní, označovaní a obsahovom vymedzení položiek individuálnej účtovnej závierky a rozsahu údajov určených z individuálnej účtovnej závierky na zverejnenie pre </w:t>
      </w:r>
      <w:r w:rsidR="00227176">
        <w:rPr>
          <w:rFonts w:eastAsia="Times New Roman" w:cs="Times New Roman"/>
          <w:sz w:val="20"/>
          <w:szCs w:val="20"/>
          <w:lang w:eastAsia="sk-SK"/>
        </w:rPr>
        <w:t>mikro</w:t>
      </w:r>
      <w:r w:rsidRPr="002E6E73">
        <w:rPr>
          <w:rFonts w:eastAsia="Times New Roman" w:cs="Times New Roman"/>
          <w:sz w:val="20"/>
          <w:szCs w:val="20"/>
          <w:lang w:eastAsia="sk-SK"/>
        </w:rPr>
        <w:t xml:space="preserve"> účtovné jednotky</w:t>
      </w:r>
      <w:r w:rsidR="00227176">
        <w:rPr>
          <w:rFonts w:eastAsia="Times New Roman" w:cs="Times New Roman"/>
          <w:sz w:val="20"/>
          <w:szCs w:val="20"/>
          <w:lang w:eastAsia="sk-SK"/>
        </w:rPr>
        <w:t xml:space="preserve"> v znení neskorších predpisov</w:t>
      </w:r>
    </w:p>
    <w:p w14:paraId="4929FC23" w14:textId="19201116" w:rsidR="002E6E73" w:rsidRPr="00227176" w:rsidRDefault="00227176" w:rsidP="00227176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eastAsia="Times New Roman" w:cs="Times New Roman"/>
          <w:sz w:val="20"/>
          <w:szCs w:val="20"/>
          <w:lang w:eastAsia="sk-SK"/>
        </w:rPr>
      </w:pPr>
      <w:r>
        <w:rPr>
          <w:rFonts w:eastAsia="Times New Roman" w:cs="Times New Roman"/>
          <w:sz w:val="20"/>
          <w:szCs w:val="20"/>
          <w:lang w:eastAsia="sk-SK"/>
        </w:rPr>
        <w:t>(Novela č. MF18008/2014-74-FS č. 10/2014)</w:t>
      </w:r>
      <w:r w:rsidR="002E6E73" w:rsidRPr="002E6E73">
        <w:rPr>
          <w:rFonts w:eastAsia="Times New Roman" w:cs="Times New Roman"/>
          <w:sz w:val="20"/>
          <w:szCs w:val="20"/>
          <w:lang w:eastAsia="sk-SK"/>
        </w:rPr>
        <w:t>.</w:t>
      </w:r>
    </w:p>
    <w:p w14:paraId="6ABAB928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185E29B2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ČL. I</w:t>
      </w:r>
    </w:p>
    <w:p w14:paraId="6F72564C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VŠEOBECNÉ INFORMÁCIE</w:t>
      </w:r>
    </w:p>
    <w:p w14:paraId="10658A23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2271232E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695F539B" w14:textId="77777777" w:rsidR="002E6E73" w:rsidRPr="002E6E73" w:rsidRDefault="002E6E73" w:rsidP="002E6E73">
      <w:pPr>
        <w:numPr>
          <w:ilvl w:val="0"/>
          <w:numId w:val="5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ZÁKLADNÉ ÚDAJE O ÚČTOVNEJ JEDNOTKE</w:t>
      </w:r>
    </w:p>
    <w:p w14:paraId="09174E7C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5E2A911C" w14:textId="2BA1D48B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t xml:space="preserve">Názov spoločnosti: </w:t>
      </w:r>
      <w:r w:rsidR="00227176" w:rsidRPr="00227176">
        <w:rPr>
          <w:rFonts w:eastAsia="Times New Roman" w:cs="Arial"/>
          <w:sz w:val="20"/>
          <w:szCs w:val="20"/>
          <w:lang w:eastAsia="sk-SK"/>
        </w:rPr>
        <w:t>deX Con s. r. o.</w:t>
      </w:r>
    </w:p>
    <w:p w14:paraId="36DF5342" w14:textId="77777777" w:rsidR="00227176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t xml:space="preserve">Sídlo: </w:t>
      </w:r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Nejedlého 28, Bratislava - mestská časť Dúbravka 841 02 </w:t>
      </w:r>
    </w:p>
    <w:p w14:paraId="7311CCE7" w14:textId="77777777" w:rsidR="00227176" w:rsidRPr="00227176" w:rsidRDefault="00227176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27176">
        <w:rPr>
          <w:rFonts w:eastAsia="Times New Roman" w:cs="Arial"/>
          <w:sz w:val="20"/>
          <w:szCs w:val="20"/>
          <w:lang w:eastAsia="sk-SK"/>
        </w:rPr>
        <w:t>IČO: 54940010</w:t>
      </w:r>
    </w:p>
    <w:p w14:paraId="0511E7A9" w14:textId="0CEEB062" w:rsidR="002E6E73" w:rsidRDefault="00227176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27176">
        <w:rPr>
          <w:rFonts w:eastAsia="Times New Roman" w:cs="Arial"/>
          <w:sz w:val="20"/>
          <w:szCs w:val="20"/>
          <w:lang w:eastAsia="sk-SK"/>
        </w:rPr>
        <w:t>DIČ: 2121839258</w:t>
      </w:r>
      <w:r w:rsidR="002E6E73" w:rsidRPr="002E6E73">
        <w:rPr>
          <w:rFonts w:eastAsia="Times New Roman" w:cs="Arial"/>
          <w:sz w:val="20"/>
          <w:szCs w:val="20"/>
          <w:lang w:eastAsia="sk-SK"/>
        </w:rPr>
        <w:tab/>
      </w:r>
    </w:p>
    <w:p w14:paraId="4D155AD7" w14:textId="1BB61C4B" w:rsidR="00DC61FF" w:rsidRPr="002E6E73" w:rsidRDefault="00DC61FF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IČ DPH: SK2121839258</w:t>
      </w:r>
    </w:p>
    <w:p w14:paraId="1454141A" w14:textId="774D0DD3" w:rsidR="00227176" w:rsidRPr="00227176" w:rsidRDefault="002E6E73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br/>
      </w:r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Spoločnosť </w:t>
      </w:r>
      <w:r w:rsidR="005E10EC">
        <w:rPr>
          <w:rFonts w:eastAsia="Times New Roman" w:cs="Arial"/>
          <w:sz w:val="20"/>
          <w:szCs w:val="20"/>
          <w:lang w:eastAsia="sk-SK"/>
        </w:rPr>
        <w:t>deX</w:t>
      </w:r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 Con s.r.o. (ďalej len „spoločnosť“) bola zapísaná do obchodného registra dňa 09.11.2022 Okresného súdu Bratislava I, Sro,Vložka číslo: 164563/B.</w:t>
      </w:r>
    </w:p>
    <w:p w14:paraId="7893F319" w14:textId="77777777" w:rsidR="00227176" w:rsidRPr="00227176" w:rsidRDefault="00227176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28310D0C" w14:textId="5EE1F520" w:rsidR="002E6E73" w:rsidRPr="002E6E73" w:rsidRDefault="00227176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27176">
        <w:rPr>
          <w:rFonts w:eastAsia="Times New Roman" w:cs="Arial"/>
          <w:sz w:val="20"/>
          <w:szCs w:val="20"/>
          <w:lang w:eastAsia="sk-SK"/>
        </w:rPr>
        <w:t>Hlavným predmetom činnosti spoločnosti je poradenstvo týkajúce sa počítačov.</w:t>
      </w:r>
    </w:p>
    <w:p w14:paraId="70A66B2C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3B6A655B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7BBF1CF6" w14:textId="77777777" w:rsidR="002E6E73" w:rsidRPr="002E6E73" w:rsidRDefault="002E6E73" w:rsidP="002E6E73">
      <w:pPr>
        <w:numPr>
          <w:ilvl w:val="0"/>
          <w:numId w:val="5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 xml:space="preserve">DÁTUM SCHVÁLENIA ÚČTOVNEJ ZÁVIERKY ZA PREDCHÁDZAJÚCE OBDOBIE </w:t>
      </w:r>
    </w:p>
    <w:p w14:paraId="6DC6FF74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4FF80357" w14:textId="5363463D" w:rsidR="002E6E73" w:rsidRPr="005701D4" w:rsidRDefault="001D419A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Times New Roman"/>
          <w:sz w:val="20"/>
          <w:szCs w:val="20"/>
          <w:lang w:eastAsia="sk-SK"/>
        </w:rPr>
        <w:t xml:space="preserve">Dátum schválenia účtovnej závierky za predchádzajúce obdobie je </w:t>
      </w:r>
      <w:r w:rsidR="008E14BB" w:rsidRPr="005701D4">
        <w:rPr>
          <w:rFonts w:eastAsia="Times New Roman" w:cs="Times New Roman"/>
          <w:sz w:val="20"/>
          <w:szCs w:val="20"/>
          <w:lang w:eastAsia="sk-SK"/>
        </w:rPr>
        <w:t>31</w:t>
      </w:r>
      <w:r w:rsidRPr="005701D4">
        <w:rPr>
          <w:rFonts w:eastAsia="Times New Roman" w:cs="Times New Roman"/>
          <w:sz w:val="20"/>
          <w:szCs w:val="20"/>
          <w:lang w:eastAsia="sk-SK"/>
        </w:rPr>
        <w:t>.1</w:t>
      </w:r>
      <w:r w:rsidR="008E14BB" w:rsidRPr="005701D4">
        <w:rPr>
          <w:rFonts w:eastAsia="Times New Roman" w:cs="Times New Roman"/>
          <w:sz w:val="20"/>
          <w:szCs w:val="20"/>
          <w:lang w:eastAsia="sk-SK"/>
        </w:rPr>
        <w:t>2</w:t>
      </w:r>
      <w:r w:rsidRPr="005701D4">
        <w:rPr>
          <w:rFonts w:eastAsia="Times New Roman" w:cs="Times New Roman"/>
          <w:sz w:val="20"/>
          <w:szCs w:val="20"/>
          <w:lang w:eastAsia="sk-SK"/>
        </w:rPr>
        <w:t>.202</w:t>
      </w:r>
      <w:r w:rsidR="000D59B1">
        <w:rPr>
          <w:rFonts w:eastAsia="Times New Roman" w:cs="Times New Roman"/>
          <w:sz w:val="20"/>
          <w:szCs w:val="20"/>
          <w:lang w:eastAsia="sk-SK"/>
        </w:rPr>
        <w:t>5</w:t>
      </w:r>
    </w:p>
    <w:p w14:paraId="50AC965E" w14:textId="77777777" w:rsidR="002E6E73" w:rsidRPr="002E6E73" w:rsidRDefault="002E6E73" w:rsidP="006B6BBC">
      <w:pPr>
        <w:spacing w:after="0" w:line="240" w:lineRule="auto"/>
        <w:rPr>
          <w:rFonts w:eastAsia="Times New Roman" w:cs="Arial"/>
          <w:sz w:val="20"/>
          <w:szCs w:val="20"/>
          <w:highlight w:val="green"/>
          <w:lang w:eastAsia="sk-SK"/>
        </w:rPr>
      </w:pPr>
    </w:p>
    <w:p w14:paraId="0811831F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22DFF01D" w14:textId="77777777" w:rsidR="002E6E73" w:rsidRPr="002E6E73" w:rsidRDefault="002E6E73" w:rsidP="002E6E73">
      <w:pPr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 w:hanging="426"/>
        <w:jc w:val="both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 xml:space="preserve">POČET ZAMESTNANCOV </w:t>
      </w:r>
    </w:p>
    <w:p w14:paraId="040B56B0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420962B9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t xml:space="preserve">Počet zamestnancov spoločnosti je uvedený v nasledujúcej tabuľke: </w:t>
      </w:r>
    </w:p>
    <w:p w14:paraId="7D1D234D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object w:dxaOrig="9007" w:dyaOrig="1680" w14:anchorId="62C5EC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5pt;height:84pt" o:ole="">
            <v:imagedata r:id="rId7" o:title=""/>
          </v:shape>
          <o:OLEObject Type="Embed" ProgID="Excel.SheetMacroEnabled.12" ShapeID="_x0000_i1025" DrawAspect="Content" ObjectID="_1836404354" r:id="rId8"/>
        </w:object>
      </w:r>
    </w:p>
    <w:p w14:paraId="056A95F1" w14:textId="009B0C19" w:rsidR="002E6E73" w:rsidRPr="009E606A" w:rsidRDefault="002E6E73" w:rsidP="009E606A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t xml:space="preserve"> </w:t>
      </w:r>
    </w:p>
    <w:p w14:paraId="70F35176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41891E18" w14:textId="402E90F4" w:rsidR="002E6E73" w:rsidRPr="002E6E73" w:rsidRDefault="006B6BBC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ČL. II</w:t>
      </w:r>
    </w:p>
    <w:p w14:paraId="405ECED6" w14:textId="274A609E" w:rsidR="002E6E73" w:rsidRPr="00E80A84" w:rsidRDefault="002E6E73" w:rsidP="00E80A84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INFORMÁCIE O PRIJATÝCH POSTUPOCH</w:t>
      </w:r>
    </w:p>
    <w:p w14:paraId="770F59B3" w14:textId="77777777" w:rsidR="002E6E73" w:rsidRPr="002E6E73" w:rsidRDefault="002E6E73" w:rsidP="002E6E73">
      <w:pPr>
        <w:tabs>
          <w:tab w:val="num" w:pos="540"/>
        </w:tabs>
        <w:spacing w:after="0" w:line="240" w:lineRule="auto"/>
        <w:ind w:left="540" w:hanging="540"/>
        <w:jc w:val="both"/>
        <w:rPr>
          <w:rFonts w:eastAsia="Times New Roman" w:cs="Calibri"/>
          <w:sz w:val="20"/>
          <w:szCs w:val="20"/>
          <w:lang w:eastAsia="sk-SK"/>
        </w:rPr>
      </w:pPr>
    </w:p>
    <w:p w14:paraId="22F1302D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4FD16DA3" w14:textId="77777777" w:rsidR="00E80A84" w:rsidRDefault="00E80A84" w:rsidP="002E6E73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NEPRETRŽITÉ POKRAČOVANIE ÚČTOVNEJ JEDNOTKY</w:t>
      </w:r>
    </w:p>
    <w:p w14:paraId="2F345727" w14:textId="441A88EC" w:rsidR="00E80A84" w:rsidRPr="006B6BBC" w:rsidRDefault="00E80A84" w:rsidP="00E80A84">
      <w:pPr>
        <w:autoSpaceDE w:val="0"/>
        <w:autoSpaceDN w:val="0"/>
        <w:adjustRightInd w:val="0"/>
        <w:spacing w:before="43" w:after="43" w:line="240" w:lineRule="auto"/>
        <w:ind w:right="57"/>
        <w:rPr>
          <w:rFonts w:eastAsia="Times New Roman" w:cstheme="minorHAnsi"/>
          <w:sz w:val="20"/>
          <w:szCs w:val="20"/>
          <w:lang w:val="en-US"/>
        </w:rPr>
      </w:pPr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Účtovná závierka je zostavená za splnenia predpokladu, že účtovná jednotka bude nepretržite pokračovať vo svojej činnosti.</w:t>
      </w:r>
    </w:p>
    <w:p w14:paraId="572BC6C4" w14:textId="77777777" w:rsidR="009E606A" w:rsidRDefault="009E606A" w:rsidP="00E80A84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45752312" w14:textId="77777777" w:rsidR="009E606A" w:rsidRDefault="009E606A" w:rsidP="00E80A84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5D41354B" w14:textId="1903F35A" w:rsidR="00E80A84" w:rsidRDefault="00E80A84" w:rsidP="002E6E73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 xml:space="preserve">Spôsob oceňovania jednotlivých položiek majetku a záväzkov </w:t>
      </w:r>
    </w:p>
    <w:p w14:paraId="24106A7B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5BAE1CE3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01"/>
        <w:gridCol w:w="2867"/>
      </w:tblGrid>
      <w:tr w:rsidR="00CE5E94" w:rsidRPr="00E80A84" w14:paraId="534950DB" w14:textId="77777777" w:rsidTr="00CE5E94">
        <w:trPr>
          <w:trHeight w:val="360"/>
        </w:trPr>
        <w:tc>
          <w:tcPr>
            <w:tcW w:w="39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B6CCBA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>Popis položky</w:t>
            </w:r>
          </w:p>
        </w:tc>
        <w:tc>
          <w:tcPr>
            <w:tcW w:w="286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ED90870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>Ocenenie majetku a záväzkov</w:t>
            </w:r>
          </w:p>
        </w:tc>
      </w:tr>
      <w:tr w:rsidR="00CE5E94" w:rsidRPr="00E80A84" w14:paraId="622558C2" w14:textId="77777777" w:rsidTr="00CE5E94">
        <w:trPr>
          <w:trHeight w:val="300"/>
        </w:trPr>
        <w:tc>
          <w:tcPr>
            <w:tcW w:w="3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AFC8BC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Dlhodobý nehmotný majetok</w:t>
            </w:r>
          </w:p>
        </w:tc>
        <w:tc>
          <w:tcPr>
            <w:tcW w:w="286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B4B2B4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 cenou</w:t>
            </w:r>
          </w:p>
        </w:tc>
      </w:tr>
      <w:tr w:rsidR="00CE5E94" w:rsidRPr="00E80A84" w14:paraId="79B61A74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AF686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Dlhodobý hmotný majetok</w:t>
            </w:r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6049AB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 cenou</w:t>
            </w:r>
          </w:p>
        </w:tc>
      </w:tr>
      <w:tr w:rsidR="00CE5E94" w:rsidRPr="00E80A84" w14:paraId="15F7DF26" w14:textId="77777777" w:rsidTr="00CE5E94">
        <w:trPr>
          <w:trHeight w:val="300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1BA7E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Dlhodobý finančný majetok</w:t>
            </w:r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FC5268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 cenou</w:t>
            </w:r>
          </w:p>
        </w:tc>
      </w:tr>
      <w:tr w:rsidR="00CE5E94" w:rsidRPr="00E80A84" w14:paraId="41473677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874A4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Zásoby</w:t>
            </w:r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DFAE7D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 cenou</w:t>
            </w:r>
          </w:p>
        </w:tc>
      </w:tr>
      <w:tr w:rsidR="00CE5E94" w:rsidRPr="00E80A84" w14:paraId="48D967A0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01395D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Pohľadávky</w:t>
            </w:r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27F3A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 cenou</w:t>
            </w:r>
          </w:p>
        </w:tc>
      </w:tr>
      <w:tr w:rsidR="00CE5E94" w:rsidRPr="00E80A84" w14:paraId="42B96742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93659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Krátkodobý finančný majetok</w:t>
            </w:r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56CA46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 cenou</w:t>
            </w:r>
          </w:p>
        </w:tc>
      </w:tr>
      <w:tr w:rsidR="00CE5E94" w:rsidRPr="00E80A84" w14:paraId="6303E186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B17BB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Záväzky vrátane rezerv, dlhopisov, pôžičiek, úverov</w:t>
            </w:r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8A4915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 cenou</w:t>
            </w:r>
          </w:p>
        </w:tc>
      </w:tr>
    </w:tbl>
    <w:p w14:paraId="705C4045" w14:textId="77777777" w:rsidR="00CE5E94" w:rsidRDefault="00CE5E94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14:paraId="76F10B44" w14:textId="77777777" w:rsidR="00CE5E94" w:rsidRDefault="00CE5E94" w:rsidP="00CE5E94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Spôsob zostavenia odpisového plánu</w:t>
      </w:r>
    </w:p>
    <w:p w14:paraId="5A152B11" w14:textId="77777777" w:rsidR="00F54376" w:rsidRDefault="00F54376" w:rsidP="00F54376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294997F5" w14:textId="04A599D0" w:rsidR="00CE5E94" w:rsidRDefault="00CE5E94" w:rsidP="00F54376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CE5E94">
        <w:rPr>
          <w:rFonts w:eastAsia="Times New Roman" w:cs="Arial"/>
          <w:sz w:val="20"/>
          <w:szCs w:val="20"/>
          <w:lang w:eastAsia="sk-SK"/>
        </w:rPr>
        <w:t>Odpisový plán účtovných odpisov sa zostavil interným predpisom, v ktorom sa vychádzalo z metód používaných pri vyčíslovaní daňových odpisov. Účtovné a daňové odpisy sa rovnajú.</w:t>
      </w:r>
      <w:r>
        <w:rPr>
          <w:rFonts w:eastAsia="Times New Roman" w:cs="Arial"/>
          <w:sz w:val="20"/>
          <w:szCs w:val="20"/>
          <w:lang w:eastAsia="sk-SK"/>
        </w:rPr>
        <w:t xml:space="preserve"> Spoločnosť má zaradený a odpisovaný len jeden</w:t>
      </w:r>
      <w:r w:rsidR="00F54376">
        <w:rPr>
          <w:rFonts w:eastAsia="Times New Roman" w:cs="Arial"/>
          <w:sz w:val="20"/>
          <w:szCs w:val="20"/>
          <w:lang w:eastAsia="sk-SK"/>
        </w:rPr>
        <w:t xml:space="preserve"> druh dlhodobého majet</w:t>
      </w:r>
      <w:r>
        <w:rPr>
          <w:rFonts w:eastAsia="Times New Roman" w:cs="Arial"/>
          <w:sz w:val="20"/>
          <w:szCs w:val="20"/>
          <w:lang w:eastAsia="sk-SK"/>
        </w:rPr>
        <w:t>k</w:t>
      </w:r>
      <w:r w:rsidR="00F54376">
        <w:rPr>
          <w:rFonts w:eastAsia="Times New Roman" w:cs="Arial"/>
          <w:sz w:val="20"/>
          <w:szCs w:val="20"/>
          <w:lang w:eastAsia="sk-SK"/>
        </w:rPr>
        <w:t>u</w:t>
      </w:r>
      <w:r>
        <w:rPr>
          <w:rFonts w:eastAsia="Times New Roman" w:cs="Arial"/>
          <w:sz w:val="20"/>
          <w:szCs w:val="20"/>
          <w:lang w:eastAsia="sk-SK"/>
        </w:rPr>
        <w:t xml:space="preserve"> – auto.</w:t>
      </w:r>
      <w:r w:rsidR="00257A81">
        <w:rPr>
          <w:rFonts w:eastAsia="Times New Roman" w:cs="Arial"/>
          <w:sz w:val="20"/>
          <w:szCs w:val="20"/>
          <w:lang w:eastAsia="sk-SK"/>
        </w:rPr>
        <w:t xml:space="preserve"> Patrí do 1</w:t>
      </w:r>
      <w:r w:rsidR="00B237BD">
        <w:rPr>
          <w:rFonts w:eastAsia="Times New Roman" w:cs="Arial"/>
          <w:sz w:val="20"/>
          <w:szCs w:val="20"/>
          <w:lang w:eastAsia="sk-SK"/>
        </w:rPr>
        <w:t>.</w:t>
      </w:r>
      <w:r w:rsidR="00257A81">
        <w:rPr>
          <w:rFonts w:eastAsia="Times New Roman" w:cs="Arial"/>
          <w:sz w:val="20"/>
          <w:szCs w:val="20"/>
          <w:lang w:eastAsia="sk-SK"/>
        </w:rPr>
        <w:t xml:space="preserve"> odpisovej skupiny.</w:t>
      </w:r>
      <w:r>
        <w:rPr>
          <w:rFonts w:eastAsia="Times New Roman" w:cs="Arial"/>
          <w:sz w:val="20"/>
          <w:szCs w:val="20"/>
          <w:lang w:eastAsia="sk-SK"/>
        </w:rPr>
        <w:t xml:space="preserve"> </w:t>
      </w:r>
      <w:r w:rsidR="00F54376">
        <w:rPr>
          <w:rFonts w:eastAsia="Times New Roman" w:cs="Arial"/>
          <w:sz w:val="20"/>
          <w:szCs w:val="20"/>
          <w:lang w:eastAsia="sk-SK"/>
        </w:rPr>
        <w:t>Doba odpisovania je 4 roky</w:t>
      </w:r>
      <w:r w:rsidR="00F16472">
        <w:rPr>
          <w:rFonts w:eastAsia="Times New Roman" w:cs="Arial"/>
          <w:sz w:val="20"/>
          <w:szCs w:val="20"/>
          <w:lang w:eastAsia="sk-SK"/>
        </w:rPr>
        <w:t>. P</w:t>
      </w:r>
      <w:r w:rsidR="00F54376">
        <w:rPr>
          <w:rFonts w:eastAsia="Times New Roman" w:cs="Arial"/>
          <w:sz w:val="20"/>
          <w:szCs w:val="20"/>
          <w:lang w:eastAsia="sk-SK"/>
        </w:rPr>
        <w:t xml:space="preserve">oužíva </w:t>
      </w:r>
      <w:r w:rsidR="00F16472">
        <w:rPr>
          <w:rFonts w:eastAsia="Times New Roman" w:cs="Arial"/>
          <w:sz w:val="20"/>
          <w:szCs w:val="20"/>
          <w:lang w:eastAsia="sk-SK"/>
        </w:rPr>
        <w:t>sa rovnomerné odpisovanie.</w:t>
      </w:r>
    </w:p>
    <w:p w14:paraId="792216FF" w14:textId="77777777" w:rsidR="00F54376" w:rsidRPr="00CE5E94" w:rsidRDefault="00F54376" w:rsidP="00F54376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14:paraId="184A2A37" w14:textId="319F6516" w:rsidR="00CE5E94" w:rsidRDefault="00CE5E94" w:rsidP="00CE5E94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Zmeny účtovných zásad a</w:t>
      </w:r>
      <w:r w:rsidR="00F54376">
        <w:rPr>
          <w:rFonts w:eastAsia="Times New Roman" w:cs="Arial"/>
          <w:b/>
          <w:sz w:val="20"/>
          <w:szCs w:val="20"/>
          <w:lang w:eastAsia="sk-SK"/>
        </w:rPr>
        <w:t> </w:t>
      </w:r>
      <w:r>
        <w:rPr>
          <w:rFonts w:eastAsia="Times New Roman" w:cs="Arial"/>
          <w:b/>
          <w:sz w:val="20"/>
          <w:szCs w:val="20"/>
          <w:lang w:eastAsia="sk-SK"/>
        </w:rPr>
        <w:t>metód</w:t>
      </w:r>
    </w:p>
    <w:p w14:paraId="2BD91D17" w14:textId="77777777" w:rsidR="00F54376" w:rsidRDefault="00F54376" w:rsidP="00F54376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5D54AECA" w14:textId="77777777" w:rsidR="00F54376" w:rsidRPr="00F54376" w:rsidRDefault="00F54376" w:rsidP="00F54376">
      <w:pPr>
        <w:jc w:val="both"/>
        <w:rPr>
          <w:rFonts w:cs="Arial"/>
          <w:sz w:val="20"/>
          <w:szCs w:val="20"/>
        </w:rPr>
      </w:pPr>
      <w:r w:rsidRPr="00F54376">
        <w:rPr>
          <w:sz w:val="20"/>
          <w:szCs w:val="20"/>
        </w:rPr>
        <w:t>Účtovná jednotka nemá náplň pre túto položku.</w:t>
      </w:r>
    </w:p>
    <w:p w14:paraId="27DA5BF3" w14:textId="77777777" w:rsidR="00F54376" w:rsidRDefault="00F54376" w:rsidP="00F54376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704232DB" w14:textId="235ED05E" w:rsidR="00CE5E94" w:rsidRDefault="00CE5E94" w:rsidP="00CE5E94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Informácie o</w:t>
      </w:r>
      <w:r w:rsidR="00F54376">
        <w:rPr>
          <w:rFonts w:eastAsia="Times New Roman" w:cs="Arial"/>
          <w:b/>
          <w:sz w:val="20"/>
          <w:szCs w:val="20"/>
          <w:lang w:eastAsia="sk-SK"/>
        </w:rPr>
        <w:t> </w:t>
      </w:r>
      <w:r>
        <w:rPr>
          <w:rFonts w:eastAsia="Times New Roman" w:cs="Arial"/>
          <w:b/>
          <w:sz w:val="20"/>
          <w:szCs w:val="20"/>
          <w:lang w:eastAsia="sk-SK"/>
        </w:rPr>
        <w:t>dotáciách</w:t>
      </w:r>
    </w:p>
    <w:p w14:paraId="4B4179CD" w14:textId="77777777" w:rsidR="00F54376" w:rsidRDefault="00F54376" w:rsidP="00F54376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4AF5BF4E" w14:textId="076C77D3" w:rsidR="00F54376" w:rsidRPr="00F54376" w:rsidRDefault="00F54376" w:rsidP="00F54376">
      <w:pPr>
        <w:jc w:val="both"/>
        <w:rPr>
          <w:rFonts w:cs="Arial"/>
          <w:sz w:val="20"/>
          <w:szCs w:val="20"/>
        </w:rPr>
      </w:pPr>
      <w:r w:rsidRPr="00F54376">
        <w:rPr>
          <w:sz w:val="20"/>
          <w:szCs w:val="20"/>
        </w:rPr>
        <w:t>Účtovná jednotka nemá náplň pre túto položku.</w:t>
      </w:r>
    </w:p>
    <w:p w14:paraId="5EC57617" w14:textId="77777777" w:rsidR="00F54376" w:rsidRDefault="00F54376" w:rsidP="00F54376">
      <w:pPr>
        <w:spacing w:after="0" w:line="240" w:lineRule="auto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36A5E236" w14:textId="77777777" w:rsidR="00CE5E94" w:rsidRPr="002E6E73" w:rsidRDefault="00CE5E94" w:rsidP="00CE5E94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Informácie o účtovaní významných opráv chýb</w:t>
      </w:r>
    </w:p>
    <w:p w14:paraId="1E1A8849" w14:textId="3F4ABD70" w:rsidR="00CE5E94" w:rsidRDefault="00F54376" w:rsidP="00F54376">
      <w:pPr>
        <w:spacing w:after="0" w:line="240" w:lineRule="auto"/>
        <w:rPr>
          <w:rFonts w:eastAsia="Times New Roman" w:cs="Arial"/>
          <w:b/>
          <w:sz w:val="20"/>
          <w:szCs w:val="20"/>
          <w:lang w:eastAsia="sk-SK"/>
        </w:rPr>
      </w:pPr>
      <w:r w:rsidRPr="00F54376">
        <w:rPr>
          <w:sz w:val="20"/>
          <w:szCs w:val="20"/>
        </w:rPr>
        <w:t>Účtovná jednotka nemá náplň pre túto položku.</w:t>
      </w:r>
    </w:p>
    <w:p w14:paraId="69AF5CC1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48684C59" w14:textId="596260C9" w:rsidR="006D75D2" w:rsidRDefault="006D75D2" w:rsidP="006D75D2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ČL. III</w:t>
      </w:r>
    </w:p>
    <w:p w14:paraId="7BC7E76D" w14:textId="080B86B0" w:rsidR="006D75D2" w:rsidRDefault="006D75D2" w:rsidP="006D75D2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INFORMÁCIE, KTORÉ VYSVETĽUJÚ A DOPLŇUJÚ SÚVAHU a</w:t>
      </w:r>
      <w:r w:rsidR="001D419A">
        <w:rPr>
          <w:rFonts w:eastAsia="Times New Roman" w:cs="Arial"/>
          <w:b/>
          <w:sz w:val="20"/>
          <w:szCs w:val="20"/>
          <w:lang w:eastAsia="sk-SK"/>
        </w:rPr>
        <w:t> </w:t>
      </w:r>
      <w:r>
        <w:rPr>
          <w:rFonts w:eastAsia="Times New Roman" w:cs="Arial"/>
          <w:b/>
          <w:sz w:val="20"/>
          <w:szCs w:val="20"/>
          <w:lang w:eastAsia="sk-SK"/>
        </w:rPr>
        <w:t>VZaS</w:t>
      </w:r>
    </w:p>
    <w:p w14:paraId="4D84BA2F" w14:textId="77777777" w:rsidR="001D419A" w:rsidRDefault="001D419A" w:rsidP="006D75D2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14:paraId="02C6CFE3" w14:textId="13876D9C" w:rsidR="002E6E73" w:rsidRPr="001D419A" w:rsidRDefault="001D419A" w:rsidP="001D419A">
      <w:pPr>
        <w:spacing w:after="0" w:line="240" w:lineRule="auto"/>
        <w:rPr>
          <w:rFonts w:eastAsia="Times New Roman" w:cs="Arial"/>
          <w:b/>
          <w:sz w:val="20"/>
          <w:szCs w:val="20"/>
          <w:lang w:eastAsia="sk-SK"/>
        </w:rPr>
      </w:pPr>
      <w:r w:rsidRPr="00F54376">
        <w:rPr>
          <w:sz w:val="20"/>
          <w:szCs w:val="20"/>
        </w:rPr>
        <w:t>Účtovná jedno</w:t>
      </w:r>
      <w:r>
        <w:rPr>
          <w:sz w:val="20"/>
          <w:szCs w:val="20"/>
        </w:rPr>
        <w:t>tka nemá náplň pre túto položku</w:t>
      </w:r>
      <w:r w:rsidR="006D75D2" w:rsidRPr="00F54376">
        <w:rPr>
          <w:sz w:val="20"/>
          <w:szCs w:val="20"/>
        </w:rPr>
        <w:t>.</w:t>
      </w:r>
    </w:p>
    <w:p w14:paraId="2021F6B5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52023CEC" w14:textId="279B1340" w:rsidR="002E6E73" w:rsidRPr="002E6E73" w:rsidRDefault="00A6274F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ČL. IV</w:t>
      </w:r>
    </w:p>
    <w:p w14:paraId="3AE7F8EF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UDALOSTI, KTORÉ NASTALI PO DNI, KU KTORÉMU SA ZOSTAVUJE ÚČTOVNÁ ZÁVIERKA</w:t>
      </w:r>
    </w:p>
    <w:p w14:paraId="7045C270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14:paraId="78C2B38D" w14:textId="01AC5DDD" w:rsidR="00086918" w:rsidRDefault="002E6E73" w:rsidP="002E6E73">
      <w:pPr>
        <w:spacing w:after="0" w:line="240" w:lineRule="auto"/>
        <w:jc w:val="both"/>
        <w:rPr>
          <w:rFonts w:eastAsia="Times New Roman" w:cs="Calibri"/>
          <w:sz w:val="20"/>
          <w:szCs w:val="17"/>
          <w:lang w:eastAsia="sk-SK"/>
        </w:rPr>
      </w:pPr>
      <w:r w:rsidRPr="002E6E73">
        <w:rPr>
          <w:rFonts w:eastAsia="Times New Roman" w:cs="Calibri"/>
          <w:sz w:val="20"/>
          <w:szCs w:val="17"/>
          <w:lang w:eastAsia="sk-SK"/>
        </w:rPr>
        <w:t xml:space="preserve">Vedenie Spoločnosti nepredpokladá významné ohrozenie predpokladu nepretržitého pokračovania v činnosti v blízkej budúcnosti (t.j. počas nasledujúcich 12 mesiacov od dátumu zostavenia účtovnej závierky).  </w:t>
      </w:r>
    </w:p>
    <w:p w14:paraId="3F4125D1" w14:textId="2DAF629A" w:rsidR="002E6E73" w:rsidRPr="002E6E73" w:rsidRDefault="00086918" w:rsidP="002E6E73">
      <w:pPr>
        <w:spacing w:after="0" w:line="240" w:lineRule="auto"/>
        <w:jc w:val="both"/>
        <w:rPr>
          <w:rFonts w:eastAsia="Times New Roman" w:cs="Calibri"/>
          <w:sz w:val="20"/>
          <w:szCs w:val="17"/>
          <w:lang w:eastAsia="sk-SK"/>
        </w:rPr>
      </w:pPr>
      <w:r>
        <w:rPr>
          <w:rFonts w:eastAsia="Times New Roman" w:cs="Calibri"/>
          <w:sz w:val="20"/>
          <w:szCs w:val="17"/>
          <w:lang w:eastAsia="sk-SK"/>
        </w:rPr>
        <w:t>Spoločnosť deX Con s.r.o. je spoločnosť na slovenskom trhu</w:t>
      </w:r>
      <w:r w:rsidR="000D59B1">
        <w:rPr>
          <w:rFonts w:eastAsia="Times New Roman" w:cs="Calibri"/>
          <w:sz w:val="20"/>
          <w:szCs w:val="17"/>
          <w:lang w:eastAsia="sk-SK"/>
        </w:rPr>
        <w:t xml:space="preserve"> zaoberajúca sa</w:t>
      </w:r>
      <w:r>
        <w:rPr>
          <w:rFonts w:eastAsia="Times New Roman" w:cs="Calibri"/>
          <w:sz w:val="20"/>
          <w:szCs w:val="17"/>
          <w:lang w:eastAsia="sk-SK"/>
        </w:rPr>
        <w:t xml:space="preserve"> IT</w:t>
      </w:r>
      <w:r w:rsidR="000D59B1">
        <w:rPr>
          <w:rFonts w:eastAsia="Times New Roman" w:cs="Calibri"/>
          <w:sz w:val="20"/>
          <w:szCs w:val="17"/>
          <w:lang w:eastAsia="sk-SK"/>
        </w:rPr>
        <w:t xml:space="preserve"> službami a konzultačnou podporou pre tento sektor</w:t>
      </w:r>
      <w:r>
        <w:rPr>
          <w:rFonts w:eastAsia="Times New Roman" w:cs="Calibri"/>
          <w:sz w:val="20"/>
          <w:szCs w:val="17"/>
          <w:lang w:eastAsia="sk-SK"/>
        </w:rPr>
        <w:t xml:space="preserve">. Vznikla pred koncom roka 2022. Spoločnosť predpokladá úspešné </w:t>
      </w:r>
      <w:r w:rsidR="001D419A">
        <w:rPr>
          <w:rFonts w:eastAsia="Times New Roman" w:cs="Calibri"/>
          <w:sz w:val="20"/>
          <w:szCs w:val="17"/>
          <w:lang w:eastAsia="sk-SK"/>
        </w:rPr>
        <w:t>pokračovanie</w:t>
      </w:r>
      <w:r>
        <w:rPr>
          <w:rFonts w:eastAsia="Times New Roman" w:cs="Calibri"/>
          <w:sz w:val="20"/>
          <w:szCs w:val="17"/>
          <w:lang w:eastAsia="sk-SK"/>
        </w:rPr>
        <w:t xml:space="preserve"> činnosti v rámci jej odboru pre slovenských zákazníkov.  </w:t>
      </w:r>
    </w:p>
    <w:p w14:paraId="4154A8C1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2CBC3D65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Times New Roman"/>
          <w:snapToGrid w:val="0"/>
          <w:sz w:val="20"/>
          <w:szCs w:val="17"/>
          <w:lang w:eastAsia="sk-SK"/>
        </w:rPr>
      </w:pPr>
    </w:p>
    <w:p w14:paraId="4C8C0DC7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Times New Roman"/>
          <w:snapToGrid w:val="0"/>
          <w:sz w:val="20"/>
          <w:szCs w:val="20"/>
          <w:lang w:eastAsia="sk-SK"/>
        </w:rPr>
      </w:pPr>
    </w:p>
    <w:p w14:paraId="33F96D13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0F044C89" w14:textId="77777777" w:rsidR="002F2151" w:rsidRDefault="002F2151"/>
    <w:sectPr w:rsidR="002F2151" w:rsidSect="00F85039">
      <w:headerReference w:type="default" r:id="rId9"/>
      <w:footerReference w:type="even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0F24EA" w14:textId="77777777" w:rsidR="006D2E6D" w:rsidRDefault="006D2E6D">
      <w:pPr>
        <w:spacing w:after="0" w:line="240" w:lineRule="auto"/>
      </w:pPr>
      <w:r>
        <w:separator/>
      </w:r>
    </w:p>
  </w:endnote>
  <w:endnote w:type="continuationSeparator" w:id="0">
    <w:p w14:paraId="6BB27716" w14:textId="77777777" w:rsidR="006D2E6D" w:rsidRDefault="006D2E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18A87" w14:textId="77777777" w:rsidR="007813F4" w:rsidRDefault="00707513" w:rsidP="00F3204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D6C43D8" w14:textId="77777777" w:rsidR="007813F4" w:rsidRDefault="007813F4" w:rsidP="00A05D3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40D67" w14:textId="77777777" w:rsidR="007813F4" w:rsidRPr="00A05D3E" w:rsidRDefault="00707513" w:rsidP="00F32041">
    <w:pPr>
      <w:pStyle w:val="Pta"/>
      <w:framePr w:wrap="around" w:vAnchor="text" w:hAnchor="margin" w:xAlign="right" w:y="1"/>
      <w:rPr>
        <w:rStyle w:val="slostrany"/>
        <w:rFonts w:ascii="Verdana" w:hAnsi="Verdana"/>
        <w:sz w:val="16"/>
        <w:szCs w:val="16"/>
      </w:rPr>
    </w:pPr>
    <w:r w:rsidRPr="00A05D3E">
      <w:rPr>
        <w:rStyle w:val="slostrany"/>
        <w:rFonts w:ascii="Verdana" w:hAnsi="Verdana"/>
        <w:sz w:val="16"/>
        <w:szCs w:val="16"/>
      </w:rPr>
      <w:fldChar w:fldCharType="begin"/>
    </w:r>
    <w:r w:rsidRPr="00A05D3E">
      <w:rPr>
        <w:rStyle w:val="slostrany"/>
        <w:rFonts w:ascii="Verdana" w:hAnsi="Verdana"/>
        <w:sz w:val="16"/>
        <w:szCs w:val="16"/>
      </w:rPr>
      <w:instrText xml:space="preserve">PAGE  </w:instrText>
    </w:r>
    <w:r w:rsidRPr="00A05D3E">
      <w:rPr>
        <w:rStyle w:val="slostrany"/>
        <w:rFonts w:ascii="Verdana" w:hAnsi="Verdana"/>
        <w:sz w:val="16"/>
        <w:szCs w:val="16"/>
      </w:rPr>
      <w:fldChar w:fldCharType="separate"/>
    </w:r>
    <w:r w:rsidR="001D419A">
      <w:rPr>
        <w:rStyle w:val="slostrany"/>
        <w:rFonts w:ascii="Verdana" w:hAnsi="Verdana"/>
        <w:noProof/>
        <w:sz w:val="16"/>
        <w:szCs w:val="16"/>
      </w:rPr>
      <w:t>2</w:t>
    </w:r>
    <w:r w:rsidRPr="00A05D3E">
      <w:rPr>
        <w:rStyle w:val="slostrany"/>
        <w:rFonts w:ascii="Verdana" w:hAnsi="Verdana"/>
        <w:sz w:val="16"/>
        <w:szCs w:val="16"/>
      </w:rPr>
      <w:fldChar w:fldCharType="end"/>
    </w:r>
  </w:p>
  <w:p w14:paraId="73031117" w14:textId="77777777" w:rsidR="007813F4" w:rsidRPr="00282A8C" w:rsidRDefault="007813F4" w:rsidP="00A05D3E">
    <w:pPr>
      <w:pStyle w:val="Pta"/>
      <w:ind w:right="360"/>
      <w:jc w:val="right"/>
      <w:rPr>
        <w:rStyle w:val="slostrany"/>
        <w:rFonts w:ascii="Verdana" w:hAnsi="Verdana" w:cs="Arial"/>
        <w:sz w:val="16"/>
        <w:szCs w:val="16"/>
      </w:rPr>
    </w:pPr>
  </w:p>
  <w:p w14:paraId="57B3960A" w14:textId="77777777" w:rsidR="007813F4" w:rsidRDefault="007813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7AB07" w14:textId="77777777" w:rsidR="006D2E6D" w:rsidRDefault="006D2E6D">
      <w:pPr>
        <w:spacing w:after="0" w:line="240" w:lineRule="auto"/>
      </w:pPr>
      <w:r>
        <w:separator/>
      </w:r>
    </w:p>
  </w:footnote>
  <w:footnote w:type="continuationSeparator" w:id="0">
    <w:p w14:paraId="1FFC6918" w14:textId="77777777" w:rsidR="006D2E6D" w:rsidRDefault="006D2E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3"/>
      <w:gridCol w:w="3016"/>
      <w:gridCol w:w="955"/>
      <w:gridCol w:w="328"/>
      <w:gridCol w:w="328"/>
      <w:gridCol w:w="328"/>
      <w:gridCol w:w="328"/>
      <w:gridCol w:w="328"/>
      <w:gridCol w:w="328"/>
      <w:gridCol w:w="328"/>
      <w:gridCol w:w="328"/>
    </w:tblGrid>
    <w:tr w:rsidR="007576BF" w:rsidRPr="00F23542" w14:paraId="6D8F8DCA" w14:textId="77777777" w:rsidTr="00F23542">
      <w:tc>
        <w:tcPr>
          <w:tcW w:w="2924" w:type="dxa"/>
          <w:tcBorders>
            <w:top w:val="nil"/>
            <w:left w:val="nil"/>
            <w:bottom w:val="nil"/>
            <w:right w:val="nil"/>
          </w:tcBorders>
        </w:tcPr>
        <w:p w14:paraId="02DA4D52" w14:textId="30B8ABCA" w:rsidR="007813F4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Poznámky MÚJ</w:t>
          </w:r>
          <w:r w:rsidR="00707513" w:rsidRPr="00F23542">
            <w:rPr>
              <w:rFonts w:cs="Arial"/>
            </w:rPr>
            <w:t xml:space="preserve">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</w:tcPr>
        <w:p w14:paraId="0BD4E6FC" w14:textId="39DE2FF5" w:rsidR="007813F4" w:rsidRPr="00F23542" w:rsidRDefault="00207C84" w:rsidP="00FA48C2">
          <w:pPr>
            <w:tabs>
              <w:tab w:val="left" w:pos="7797"/>
              <w:tab w:val="right" w:pos="9072"/>
            </w:tabs>
            <w:jc w:val="center"/>
            <w:rPr>
              <w:rFonts w:cs="Arial"/>
            </w:rPr>
          </w:pPr>
          <w:r>
            <w:rPr>
              <w:rFonts w:cs="Arial"/>
            </w:rPr>
            <w:t>DeX Con s.r.o.</w:t>
          </w:r>
        </w:p>
      </w:tc>
      <w:tc>
        <w:tcPr>
          <w:tcW w:w="1017" w:type="dxa"/>
          <w:tcBorders>
            <w:top w:val="nil"/>
            <w:left w:val="nil"/>
            <w:bottom w:val="nil"/>
          </w:tcBorders>
        </w:tcPr>
        <w:p w14:paraId="01ADFAC4" w14:textId="77777777" w:rsidR="007813F4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 w:rsidRPr="00F23542">
            <w:rPr>
              <w:rFonts w:cs="Arial"/>
            </w:rPr>
            <w:t>IČO</w:t>
          </w:r>
        </w:p>
      </w:tc>
      <w:tc>
        <w:tcPr>
          <w:tcW w:w="248" w:type="dxa"/>
        </w:tcPr>
        <w:p w14:paraId="0A79D191" w14:textId="11D9A233" w:rsidR="007813F4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5</w:t>
          </w:r>
        </w:p>
      </w:tc>
      <w:tc>
        <w:tcPr>
          <w:tcW w:w="248" w:type="dxa"/>
        </w:tcPr>
        <w:p w14:paraId="7E695DE0" w14:textId="03EA1CB1" w:rsidR="007813F4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4</w:t>
          </w:r>
        </w:p>
      </w:tc>
      <w:tc>
        <w:tcPr>
          <w:tcW w:w="248" w:type="dxa"/>
        </w:tcPr>
        <w:p w14:paraId="2B435F21" w14:textId="19EEC2DD" w:rsidR="007813F4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9</w:t>
          </w:r>
        </w:p>
      </w:tc>
      <w:tc>
        <w:tcPr>
          <w:tcW w:w="248" w:type="dxa"/>
        </w:tcPr>
        <w:p w14:paraId="52A551AC" w14:textId="273A8CE0" w:rsidR="007813F4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4</w:t>
          </w:r>
        </w:p>
      </w:tc>
      <w:tc>
        <w:tcPr>
          <w:tcW w:w="248" w:type="dxa"/>
        </w:tcPr>
        <w:p w14:paraId="2B3B27C6" w14:textId="57E5E923" w:rsidR="007813F4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0</w:t>
          </w:r>
        </w:p>
      </w:tc>
      <w:tc>
        <w:tcPr>
          <w:tcW w:w="248" w:type="dxa"/>
        </w:tcPr>
        <w:p w14:paraId="1771AD2D" w14:textId="77777777" w:rsidR="007813F4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0</w:t>
          </w:r>
        </w:p>
      </w:tc>
      <w:tc>
        <w:tcPr>
          <w:tcW w:w="248" w:type="dxa"/>
        </w:tcPr>
        <w:p w14:paraId="7F0D4D71" w14:textId="37EA80F7" w:rsidR="007813F4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1</w:t>
          </w:r>
        </w:p>
      </w:tc>
      <w:tc>
        <w:tcPr>
          <w:tcW w:w="248" w:type="dxa"/>
        </w:tcPr>
        <w:p w14:paraId="3C60EDCC" w14:textId="6A2E0166" w:rsidR="007813F4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0</w:t>
          </w:r>
        </w:p>
      </w:tc>
    </w:tr>
  </w:tbl>
  <w:p w14:paraId="373F60B1" w14:textId="77777777" w:rsidR="007813F4" w:rsidRPr="00F23542" w:rsidRDefault="007813F4" w:rsidP="00E35907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771"/>
      <w:gridCol w:w="254"/>
      <w:gridCol w:w="254"/>
      <w:gridCol w:w="254"/>
      <w:gridCol w:w="254"/>
      <w:gridCol w:w="254"/>
      <w:gridCol w:w="254"/>
      <w:gridCol w:w="254"/>
      <w:gridCol w:w="2711"/>
      <w:gridCol w:w="525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7576BF" w:rsidRPr="00F23542" w14:paraId="69AA070B" w14:textId="77777777" w:rsidTr="00F23542">
      <w:trPr>
        <w:trHeight w:val="70"/>
      </w:trPr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156D25C5" w14:textId="77777777" w:rsidR="007813F4" w:rsidRPr="00F23542" w:rsidRDefault="007813F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174EA447" w14:textId="77777777" w:rsidR="007813F4" w:rsidRPr="00F23542" w:rsidRDefault="007813F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3F00E3A0" w14:textId="77777777" w:rsidR="007813F4" w:rsidRPr="00F23542" w:rsidRDefault="007813F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02954EF" w14:textId="77777777" w:rsidR="007813F4" w:rsidRPr="00F23542" w:rsidRDefault="007813F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CAC0633" w14:textId="77777777" w:rsidR="007813F4" w:rsidRPr="00F23542" w:rsidRDefault="007813F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E76C745" w14:textId="77777777" w:rsidR="007813F4" w:rsidRPr="00F23542" w:rsidRDefault="007813F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DC7558B" w14:textId="77777777" w:rsidR="007813F4" w:rsidRPr="00F23542" w:rsidRDefault="007813F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7329872A" w14:textId="77777777" w:rsidR="007813F4" w:rsidRPr="00F23542" w:rsidRDefault="007813F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</w:tcPr>
        <w:p w14:paraId="1B335603" w14:textId="301E057E" w:rsidR="007813F4" w:rsidRPr="00F23542" w:rsidRDefault="00707513" w:rsidP="00B870A5">
          <w:pPr>
            <w:tabs>
              <w:tab w:val="left" w:pos="7797"/>
              <w:tab w:val="right" w:pos="9072"/>
            </w:tabs>
            <w:jc w:val="center"/>
            <w:rPr>
              <w:rFonts w:cs="Arial"/>
            </w:rPr>
          </w:pPr>
          <w:r w:rsidRPr="00F23542">
            <w:rPr>
              <w:rFonts w:cs="Arial"/>
            </w:rPr>
            <w:t xml:space="preserve">Poznámky </w:t>
          </w:r>
          <w:r w:rsidR="001D419A">
            <w:rPr>
              <w:rFonts w:cs="Arial"/>
            </w:rPr>
            <w:t>k 31.12.202</w:t>
          </w:r>
          <w:r w:rsidR="000D59B1">
            <w:rPr>
              <w:rFonts w:cs="Arial"/>
            </w:rPr>
            <w:t>5</w:t>
          </w:r>
        </w:p>
      </w:tc>
      <w:tc>
        <w:tcPr>
          <w:tcW w:w="521" w:type="dxa"/>
          <w:tcBorders>
            <w:top w:val="nil"/>
            <w:left w:val="nil"/>
            <w:bottom w:val="nil"/>
          </w:tcBorders>
        </w:tcPr>
        <w:p w14:paraId="1B777F64" w14:textId="77777777" w:rsidR="007813F4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 w:rsidRPr="00F23542">
            <w:rPr>
              <w:rFonts w:cs="Arial"/>
            </w:rPr>
            <w:t>DIČ</w:t>
          </w:r>
        </w:p>
      </w:tc>
      <w:tc>
        <w:tcPr>
          <w:tcW w:w="248" w:type="dxa"/>
        </w:tcPr>
        <w:p w14:paraId="525EF20C" w14:textId="77777777" w:rsidR="007813F4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2</w:t>
          </w:r>
        </w:p>
      </w:tc>
      <w:tc>
        <w:tcPr>
          <w:tcW w:w="248" w:type="dxa"/>
        </w:tcPr>
        <w:p w14:paraId="1F78A495" w14:textId="77777777" w:rsidR="007813F4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1</w:t>
          </w:r>
        </w:p>
      </w:tc>
      <w:tc>
        <w:tcPr>
          <w:tcW w:w="248" w:type="dxa"/>
        </w:tcPr>
        <w:p w14:paraId="724EA305" w14:textId="77777777" w:rsidR="007813F4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2</w:t>
          </w:r>
        </w:p>
      </w:tc>
      <w:tc>
        <w:tcPr>
          <w:tcW w:w="248" w:type="dxa"/>
        </w:tcPr>
        <w:p w14:paraId="4DD0EE2D" w14:textId="3FF4C3B8" w:rsidR="007813F4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1</w:t>
          </w:r>
        </w:p>
      </w:tc>
      <w:tc>
        <w:tcPr>
          <w:tcW w:w="248" w:type="dxa"/>
        </w:tcPr>
        <w:p w14:paraId="634E1BD2" w14:textId="605BA9BF" w:rsidR="007813F4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8</w:t>
          </w:r>
        </w:p>
      </w:tc>
      <w:tc>
        <w:tcPr>
          <w:tcW w:w="248" w:type="dxa"/>
        </w:tcPr>
        <w:p w14:paraId="468E4192" w14:textId="0D1B1A43" w:rsidR="007813F4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3</w:t>
          </w:r>
        </w:p>
      </w:tc>
      <w:tc>
        <w:tcPr>
          <w:tcW w:w="248" w:type="dxa"/>
        </w:tcPr>
        <w:p w14:paraId="5A7668A9" w14:textId="04B6F972" w:rsidR="007813F4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9</w:t>
          </w:r>
        </w:p>
      </w:tc>
      <w:tc>
        <w:tcPr>
          <w:tcW w:w="248" w:type="dxa"/>
        </w:tcPr>
        <w:p w14:paraId="0B9A0772" w14:textId="73348E38" w:rsidR="007813F4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2</w:t>
          </w:r>
        </w:p>
      </w:tc>
      <w:tc>
        <w:tcPr>
          <w:tcW w:w="248" w:type="dxa"/>
        </w:tcPr>
        <w:p w14:paraId="2F1C510B" w14:textId="4FDEB55E" w:rsidR="007813F4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5</w:t>
          </w:r>
        </w:p>
      </w:tc>
      <w:tc>
        <w:tcPr>
          <w:tcW w:w="248" w:type="dxa"/>
        </w:tcPr>
        <w:p w14:paraId="6C5DE869" w14:textId="2062C68A" w:rsidR="007813F4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8</w:t>
          </w:r>
        </w:p>
      </w:tc>
    </w:tr>
  </w:tbl>
  <w:p w14:paraId="3ADD176C" w14:textId="77777777" w:rsidR="007813F4" w:rsidRPr="00535622" w:rsidRDefault="007813F4">
    <w:pPr>
      <w:pStyle w:val="Hlavika"/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0A3F9B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2325EF1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2D93AF0"/>
    <w:multiLevelType w:val="hybridMultilevel"/>
    <w:tmpl w:val="FFFFFFFF"/>
    <w:lvl w:ilvl="0" w:tplc="3DD0C9BE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566A07"/>
    <w:multiLevelType w:val="hybridMultilevel"/>
    <w:tmpl w:val="FFFFFFFF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BE0460E"/>
    <w:multiLevelType w:val="hybridMultilevel"/>
    <w:tmpl w:val="FFFFFFFF"/>
    <w:lvl w:ilvl="0" w:tplc="967219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966182B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7" w15:restartNumberingAfterBreak="0">
    <w:nsid w:val="520427AA"/>
    <w:multiLevelType w:val="singleLevel"/>
    <w:tmpl w:val="FFFFFFFF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asciiTheme="minorHAnsi" w:hAnsiTheme="minorHAnsi" w:cs="Times New Roman" w:hint="default"/>
        <w:sz w:val="20"/>
        <w:szCs w:val="20"/>
      </w:rPr>
    </w:lvl>
  </w:abstractNum>
  <w:abstractNum w:abstractNumId="8" w15:restartNumberingAfterBreak="0">
    <w:nsid w:val="55EF010F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DB83285"/>
    <w:multiLevelType w:val="hybridMultilevel"/>
    <w:tmpl w:val="FFFFFFFF"/>
    <w:lvl w:ilvl="0" w:tplc="1B7A9322">
      <w:start w:val="541"/>
      <w:numFmt w:val="bullet"/>
      <w:lvlText w:val="-"/>
      <w:lvlJc w:val="left"/>
      <w:pPr>
        <w:ind w:left="786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1891D7E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D527AE8"/>
    <w:multiLevelType w:val="hybridMultilevel"/>
    <w:tmpl w:val="FFFFFFFF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456215427">
    <w:abstractNumId w:val="7"/>
  </w:num>
  <w:num w:numId="2" w16cid:durableId="104814695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922686889">
    <w:abstractNumId w:val="10"/>
  </w:num>
  <w:num w:numId="4" w16cid:durableId="1614900375">
    <w:abstractNumId w:val="11"/>
  </w:num>
  <w:num w:numId="5" w16cid:durableId="1385371728">
    <w:abstractNumId w:val="5"/>
  </w:num>
  <w:num w:numId="6" w16cid:durableId="1205218917">
    <w:abstractNumId w:val="6"/>
  </w:num>
  <w:num w:numId="7" w16cid:durableId="1924299327">
    <w:abstractNumId w:val="4"/>
  </w:num>
  <w:num w:numId="8" w16cid:durableId="506946958">
    <w:abstractNumId w:val="8"/>
  </w:num>
  <w:num w:numId="9" w16cid:durableId="1406104921">
    <w:abstractNumId w:val="1"/>
  </w:num>
  <w:num w:numId="10" w16cid:durableId="1498693673">
    <w:abstractNumId w:val="2"/>
  </w:num>
  <w:num w:numId="11" w16cid:durableId="1909148640">
    <w:abstractNumId w:val="9"/>
  </w:num>
  <w:num w:numId="12" w16cid:durableId="19446077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10FE"/>
    <w:rsid w:val="000178E3"/>
    <w:rsid w:val="00086918"/>
    <w:rsid w:val="000D59B1"/>
    <w:rsid w:val="001D419A"/>
    <w:rsid w:val="00207C84"/>
    <w:rsid w:val="00227176"/>
    <w:rsid w:val="00257A81"/>
    <w:rsid w:val="002E6E73"/>
    <w:rsid w:val="002F2151"/>
    <w:rsid w:val="00341371"/>
    <w:rsid w:val="00343155"/>
    <w:rsid w:val="00536F35"/>
    <w:rsid w:val="005701D4"/>
    <w:rsid w:val="005E10EC"/>
    <w:rsid w:val="006B6BBC"/>
    <w:rsid w:val="006D2E6D"/>
    <w:rsid w:val="006D75D2"/>
    <w:rsid w:val="00707513"/>
    <w:rsid w:val="007813F4"/>
    <w:rsid w:val="00811850"/>
    <w:rsid w:val="008874E7"/>
    <w:rsid w:val="008D7A08"/>
    <w:rsid w:val="008E14BB"/>
    <w:rsid w:val="00902498"/>
    <w:rsid w:val="009E606A"/>
    <w:rsid w:val="00A6274F"/>
    <w:rsid w:val="00B237BD"/>
    <w:rsid w:val="00C14FD6"/>
    <w:rsid w:val="00CE5E94"/>
    <w:rsid w:val="00D05855"/>
    <w:rsid w:val="00DC61FF"/>
    <w:rsid w:val="00E1178D"/>
    <w:rsid w:val="00E80A84"/>
    <w:rsid w:val="00EC7A85"/>
    <w:rsid w:val="00ED2449"/>
    <w:rsid w:val="00EF6B0D"/>
    <w:rsid w:val="00F16472"/>
    <w:rsid w:val="00F54376"/>
    <w:rsid w:val="00F81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C47829"/>
  <w15:chartTrackingRefBased/>
  <w15:docId w15:val="{948703C1-B879-4861-AB80-B5E152A17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uiPriority w:val="99"/>
    <w:rsid w:val="002E6E73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2E6E73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2E6E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2E6E73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2E6E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2E6E73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E6E73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zov">
    <w:name w:val="Title"/>
    <w:basedOn w:val="Normlny"/>
    <w:link w:val="NzovChar"/>
    <w:uiPriority w:val="10"/>
    <w:qFormat/>
    <w:rsid w:val="002E6E7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2E6E73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E6E7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2E6E7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customStyle="1" w:styleId="odstavec">
    <w:name w:val="odstavec"/>
    <w:basedOn w:val="Normlny"/>
    <w:link w:val="odstavecChar"/>
    <w:autoRedefine/>
    <w:rsid w:val="002E6E73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color w:val="000000" w:themeColor="text1"/>
      <w:sz w:val="18"/>
      <w:szCs w:val="18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2E6E73"/>
    <w:rPr>
      <w:rFonts w:ascii="Arial" w:eastAsia="Times New Roman" w:hAnsi="Arial" w:cs="Arial"/>
      <w:bCs/>
      <w:iCs/>
      <w:color w:val="000000" w:themeColor="text1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Macro-Enabled_Worksheet.xlsm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452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Lapčáková Adriána</dc:creator>
  <cp:keywords/>
  <dc:description/>
  <cp:lastModifiedBy>Martin Lapčák</cp:lastModifiedBy>
  <cp:revision>22</cp:revision>
  <cp:lastPrinted>2023-03-29T18:58:00Z</cp:lastPrinted>
  <dcterms:created xsi:type="dcterms:W3CDTF">2023-03-28T19:05:00Z</dcterms:created>
  <dcterms:modified xsi:type="dcterms:W3CDTF">2026-03-30T17:33:00Z</dcterms:modified>
</cp:coreProperties>
</file>