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5A6204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bookmarkStart w:id="0" w:name="_gjdgxs" w:colFirst="0" w:colLast="0"/>
      <w:bookmarkEnd w:id="0"/>
    </w:p>
    <w:p w14:paraId="723BA9B9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účtovnej jednotke</w:t>
      </w:r>
    </w:p>
    <w:p w14:paraId="34AB44D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F20B415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Založenie spoločnosti</w:t>
      </w:r>
    </w:p>
    <w:p w14:paraId="25EE109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Spoločnosť: COMI, s.r.o. (ďalej len Spoločnosť)</w:t>
      </w:r>
    </w:p>
    <w:p w14:paraId="61906FA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Sídlo: Chotčanská 2, 091 01  Stropkov</w:t>
      </w:r>
    </w:p>
    <w:p w14:paraId="690393D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Založená dňa:  27.09.1996</w:t>
      </w:r>
    </w:p>
    <w:p w14:paraId="26E63F2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Do obchodného registra bola zapísaná dňa: 27.09.1996 </w:t>
      </w:r>
    </w:p>
    <w:p w14:paraId="6D7A9F9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(Obchodný register Okresného súdu Prešov, oddiel s.r.o., vložka 3314/P). </w:t>
      </w:r>
    </w:p>
    <w:p w14:paraId="74E737E5">
      <w:pPr>
        <w:pStyle w:val="3"/>
        <w:rPr>
          <w:sz w:val="22"/>
          <w:szCs w:val="22"/>
        </w:rPr>
      </w:pPr>
    </w:p>
    <w:p w14:paraId="0F4C4BDE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bookmarkStart w:id="1" w:name="_30j0zll" w:colFirst="0" w:colLast="0"/>
      <w:bookmarkEnd w:id="1"/>
      <w:r>
        <w:rPr>
          <w:b/>
          <w:color w:val="000000"/>
          <w:sz w:val="22"/>
          <w:szCs w:val="22"/>
        </w:rPr>
        <w:t>Hlavnými činnosťami Spoločnosti sú:  Maloobchod s pohonnými  látkami</w:t>
      </w:r>
      <w:r>
        <w:rPr>
          <w:rFonts w:hint="default"/>
          <w:b/>
          <w:color w:val="000000"/>
          <w:sz w:val="22"/>
          <w:szCs w:val="22"/>
          <w:lang w:val="sk-SK"/>
        </w:rPr>
        <w:t>, montáž stožiarov vysokého napätia</w:t>
      </w:r>
    </w:p>
    <w:p w14:paraId="41A619C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DF2D76D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Údaje o neobmedzenom ručení</w:t>
      </w:r>
    </w:p>
    <w:p w14:paraId="034FD036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Spoločnosť nie je neobmedzene ručiacim spoločníkom v iných spoločnostiach podľa § 56 ods. 5 Obchodného zákonníka.</w:t>
      </w:r>
    </w:p>
    <w:p w14:paraId="4A19729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6564ED5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Právny dôvod na zostavenie účtovnej závierky</w:t>
      </w:r>
    </w:p>
    <w:p w14:paraId="0E05D50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Účtovná závierka Spoločnosti k 31. decembru 202</w:t>
      </w:r>
      <w:r>
        <w:rPr>
          <w:rFonts w:hint="default"/>
          <w:color w:val="000000"/>
          <w:sz w:val="22"/>
          <w:szCs w:val="22"/>
          <w:lang w:val="sk-SK"/>
        </w:rPr>
        <w:t>5</w:t>
      </w:r>
      <w:r>
        <w:rPr>
          <w:color w:val="000000"/>
          <w:sz w:val="22"/>
          <w:szCs w:val="22"/>
        </w:rPr>
        <w:t xml:space="preserve"> je zostavená ako riadna účtovná závierka podľa § 17 ods. 6 zákona NR SR č. 431/2002 Z. z. o účtovníctve za účtovné obdobie od 1. januára 202</w:t>
      </w:r>
      <w:r>
        <w:rPr>
          <w:rFonts w:hint="default"/>
          <w:color w:val="000000"/>
          <w:sz w:val="22"/>
          <w:szCs w:val="22"/>
          <w:lang w:val="sk-SK"/>
        </w:rPr>
        <w:t>5</w:t>
      </w:r>
      <w:r>
        <w:rPr>
          <w:color w:val="000000"/>
          <w:sz w:val="22"/>
          <w:szCs w:val="22"/>
        </w:rPr>
        <w:t xml:space="preserve"> do 31. decembra 202</w:t>
      </w:r>
      <w:r>
        <w:rPr>
          <w:rFonts w:hint="default"/>
          <w:color w:val="000000"/>
          <w:sz w:val="22"/>
          <w:szCs w:val="22"/>
          <w:lang w:val="sk-SK"/>
        </w:rPr>
        <w:t>5</w:t>
      </w:r>
      <w:r>
        <w:rPr>
          <w:color w:val="000000"/>
          <w:sz w:val="22"/>
          <w:szCs w:val="22"/>
        </w:rPr>
        <w:t>.</w:t>
      </w:r>
    </w:p>
    <w:p w14:paraId="341FB19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6E22E45B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Dátum schválenia účtovnej závierky za predchádzajúce účtovné obdobie</w:t>
      </w:r>
      <w:r>
        <w:rPr>
          <w:rFonts w:hint="default"/>
          <w:b/>
          <w:color w:val="000000"/>
          <w:sz w:val="22"/>
          <w:szCs w:val="22"/>
          <w:lang w:val="sk-SK"/>
        </w:rPr>
        <w:t>:  26.03.2025</w:t>
      </w:r>
    </w:p>
    <w:p w14:paraId="7A717D6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color w:val="000000"/>
          <w:sz w:val="22"/>
          <w:szCs w:val="22"/>
        </w:rPr>
        <w:tab/>
      </w:r>
      <w:r>
        <w:rPr>
          <w:rFonts w:hint="default"/>
          <w:color w:val="000000"/>
          <w:sz w:val="22"/>
          <w:szCs w:val="22"/>
          <w:lang w:val="sk-SK"/>
        </w:rPr>
        <w:t>Účtovná závierka za rok 2024 bola schválená  26.03.2025.  Zisk vo výške 258 640,70 Eur bol schválený ako nerozdelený zisk roku 2024.</w:t>
      </w:r>
    </w:p>
    <w:p w14:paraId="057A7F9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rFonts w:hint="default"/>
          <w:color w:val="000000"/>
          <w:sz w:val="22"/>
          <w:szCs w:val="22"/>
          <w:lang w:val="sk-SK"/>
        </w:rPr>
      </w:pPr>
    </w:p>
    <w:p w14:paraId="443F7B9C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Počet zamestnancov </w:t>
      </w:r>
    </w:p>
    <w:p w14:paraId="4E45278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870CC6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86C907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Údaje o počte zamestnancov za bežné účtovné obdobie sú uvedené v nasledujúcom prehľade:</w:t>
      </w:r>
    </w:p>
    <w:p w14:paraId="492F7AD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620EC4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  </w:t>
      </w:r>
    </w:p>
    <w:p w14:paraId="05EC2E5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</w:p>
    <w:tbl>
      <w:tblPr>
        <w:tblStyle w:val="16"/>
        <w:tblW w:w="6511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793"/>
        <w:gridCol w:w="2718"/>
      </w:tblGrid>
      <w:tr w14:paraId="1425680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3793" w:type="dxa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520A09C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49C8E07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14:paraId="2EE187E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3793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 w14:paraId="6ADD50E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718" w:type="dxa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</w:tcPr>
          <w:p w14:paraId="1C0F48B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ind w:left="426"/>
              <w:jc w:val="both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11,5</w:t>
            </w:r>
          </w:p>
          <w:p w14:paraId="4A06388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both"/>
              <w:rPr>
                <w:color w:val="000000"/>
                <w:sz w:val="22"/>
                <w:szCs w:val="22"/>
              </w:rPr>
            </w:pPr>
          </w:p>
        </w:tc>
      </w:tr>
    </w:tbl>
    <w:p w14:paraId="668990E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45621E07">
      <w:pPr>
        <w:pStyle w:val="3"/>
        <w:keepNext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Informácie o orgánoch účtovnej jednotky</w:t>
      </w:r>
    </w:p>
    <w:p w14:paraId="7203CC2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9851AFA"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Výška jednotlivých druhov záruk alebo iných zabezpečení poskytnutých pre členov štatutárneho orgánu, dozorného orgánu a iného orgánu ÚJ:</w:t>
      </w:r>
    </w:p>
    <w:p w14:paraId="75D4E895">
      <w:pPr>
        <w:pStyle w:val="3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Informácia o pôžičkách:</w:t>
      </w:r>
    </w:p>
    <w:p w14:paraId="0690AA1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poskytnutých pôžičiek k 31.12. bežného obdobia podľa jednotlivých orgánov:</w:t>
      </w:r>
    </w:p>
    <w:p w14:paraId="5F47778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Konateľ:</w:t>
      </w:r>
    </w:p>
    <w:p w14:paraId="6CE148E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Predseda predstavenstva:</w:t>
      </w:r>
    </w:p>
    <w:p w14:paraId="39364C9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Člen predstavenstva:</w:t>
      </w:r>
    </w:p>
    <w:p w14:paraId="4825E3D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splatených pôžičiek za posledné účtovné obdobie:</w:t>
      </w:r>
    </w:p>
    <w:p w14:paraId="3EFFAA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 w:firstLine="63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Konateľ:</w:t>
      </w:r>
    </w:p>
    <w:p w14:paraId="2962CFA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Predseda predstavenstva:</w:t>
      </w:r>
    </w:p>
    <w:p w14:paraId="0D1B007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>Člen predstavenstva:</w:t>
      </w:r>
    </w:p>
    <w:p w14:paraId="73A8D25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Celková suma odpustených pôžičiek a odpísaných pôžičiek k 31.12. bežného obdobia: 0,- €</w:t>
      </w:r>
    </w:p>
    <w:p w14:paraId="676D395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8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 aktuálnom účtovnom období neboli odpustené ani odpísané žiadne pôžičky.</w:t>
      </w:r>
    </w:p>
    <w:p w14:paraId="2821646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7A812E5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 w:hanging="426"/>
        <w:jc w:val="both"/>
        <w:rPr>
          <w:color w:val="000000"/>
          <w:sz w:val="22"/>
          <w:szCs w:val="22"/>
        </w:rPr>
      </w:pPr>
    </w:p>
    <w:p w14:paraId="4DA65DBE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firstLine="220" w:firstLineChars="10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konsolidovanom celku</w:t>
      </w:r>
    </w:p>
    <w:p w14:paraId="4AFEEC7F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firstLine="220" w:firstLineChars="100"/>
        <w:rPr>
          <w:rFonts w:hint="default"/>
          <w:b w:val="0"/>
          <w:bCs/>
          <w:smallCaps/>
          <w:color w:val="000000"/>
          <w:sz w:val="22"/>
          <w:szCs w:val="22"/>
          <w:lang w:val="sk-SK"/>
        </w:rPr>
      </w:pPr>
      <w:r>
        <w:rPr>
          <w:rFonts w:hint="default"/>
          <w:b/>
          <w:smallCaps/>
          <w:color w:val="000000"/>
          <w:sz w:val="22"/>
          <w:szCs w:val="22"/>
          <w:lang w:val="sk-SK"/>
        </w:rPr>
        <w:t>S</w:t>
      </w:r>
      <w:r>
        <w:rPr>
          <w:rFonts w:hint="default"/>
          <w:b w:val="0"/>
          <w:bCs/>
          <w:smallCaps/>
          <w:color w:val="000000"/>
          <w:sz w:val="22"/>
          <w:szCs w:val="22"/>
          <w:lang w:val="sk-SK"/>
        </w:rPr>
        <w:t>poločnosť není súčasťou konsolidovaného celku</w:t>
      </w:r>
    </w:p>
    <w:p w14:paraId="7CDB28E2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firstLine="220" w:firstLineChars="100"/>
        <w:rPr>
          <w:rFonts w:hint="default"/>
          <w:b w:val="0"/>
          <w:bCs/>
          <w:smallCaps/>
          <w:color w:val="000000"/>
          <w:sz w:val="22"/>
          <w:szCs w:val="22"/>
          <w:lang w:val="sk-SK"/>
        </w:rPr>
      </w:pPr>
    </w:p>
    <w:p w14:paraId="462A4866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firstLine="110" w:firstLineChars="5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 xml:space="preserve">Informácie o účtovných zásadách a účtovných metódach  </w:t>
      </w:r>
    </w:p>
    <w:p w14:paraId="1D94866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AB12651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Východiská pre zostavenie účtovnej závierky</w:t>
      </w:r>
    </w:p>
    <w:p w14:paraId="2651C28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Účtovná závierka bola zostavená za predpokladu, že Spoločnosť bude nepretržite pokračovať vo svojej činnosti (goingconcern).</w:t>
      </w:r>
    </w:p>
    <w:p w14:paraId="2CF5BD3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0D68402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>V účtovnom období 2025</w:t>
      </w:r>
      <w:bookmarkStart w:id="7" w:name="_GoBack"/>
      <w:bookmarkEnd w:id="7"/>
      <w:r>
        <w:rPr>
          <w:rFonts w:hint="default"/>
          <w:color w:val="000000"/>
          <w:sz w:val="22"/>
          <w:szCs w:val="22"/>
          <w:lang w:val="sk-SK"/>
        </w:rPr>
        <w:t xml:space="preserve"> spoločnosť neúčtovala o významných skutočnostiach minulých období.</w:t>
      </w:r>
    </w:p>
    <w:p w14:paraId="3BC44BF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1AD9E30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4BD9975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4AE237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3AE0544C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Počas účtovného obdobia neboli prijaté zmeny účtovných zásad a účtovných metód</w:t>
      </w:r>
    </w:p>
    <w:p w14:paraId="1603C6A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 xml:space="preserve">        </w:t>
      </w:r>
    </w:p>
    <w:p w14:paraId="2A5413E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50"/>
        <w:jc w:val="both"/>
        <w:rPr>
          <w:color w:val="000000"/>
          <w:sz w:val="22"/>
          <w:szCs w:val="22"/>
        </w:rPr>
      </w:pPr>
    </w:p>
    <w:p w14:paraId="309B0326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Účtovné metódy a všeobecné účtovné zásady pri oceňovaní</w:t>
      </w:r>
    </w:p>
    <w:p w14:paraId="2EF6249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82C08CA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Dlhodobý nehmotný majetok a dlhodobý hmotný majetok</w:t>
      </w:r>
    </w:p>
    <w:p w14:paraId="6A05239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036BF19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63CB45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1BD5C4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937B10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obstarávacej ceny dlhodobého nehmotného majetku nie sú úroky z cudzích zdrojov, ktoré vznikli do momentu zaradenia dlhodobého nehmotného majetku do používania.</w:t>
      </w:r>
    </w:p>
    <w:p w14:paraId="2051C4D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E0EB2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683A11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8EA4473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Cenné papiere a podiely</w:t>
      </w:r>
    </w:p>
    <w:p w14:paraId="04993E5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4273384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6F6221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Cenné papiere na obchodovanie sa pri ich obstaraní oceňujú reálnou hodnotou. </w:t>
      </w:r>
    </w:p>
    <w:p w14:paraId="48AE7C0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4256EA9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Zásoby </w:t>
      </w:r>
    </w:p>
    <w:p w14:paraId="60FE11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Zásoby sa oceňujú obstarávacou cenou.</w:t>
      </w:r>
    </w:p>
    <w:p w14:paraId="57DE04A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0D2878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B2410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32B998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</w:p>
    <w:p w14:paraId="09A58FC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účtuje  zásoby spôsobom B.</w:t>
      </w:r>
    </w:p>
    <w:p w14:paraId="1BDBD2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66BF6A9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Peňažné prostriedky a ceniny</w:t>
      </w:r>
    </w:p>
    <w:p w14:paraId="6C6E807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Peňažné prostriedky a ceniny sa oceňujú ich menovitou hodnotou. Zníženie ich hodnoty sa vyjadruje opravnou položkou.</w:t>
      </w:r>
    </w:p>
    <w:p w14:paraId="096D9FB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2923638D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Cudzia mena</w:t>
      </w:r>
    </w:p>
    <w:p w14:paraId="5184DA8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51F598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F3E2BD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Na ocenenie prírastku cudzej meny nakúpenej za euro sa použije kurz, za ktorý bola táto cudzia mena nakúpená.</w:t>
      </w:r>
    </w:p>
    <w:p w14:paraId="3A42585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8D8C29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719837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B24689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540B91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75779E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E905F2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1C63C1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0823F9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E363DD1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Výnosy</w:t>
      </w:r>
    </w:p>
    <w:p w14:paraId="5826F6A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97F89B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5877F6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Zákazková výroba</w:t>
      </w:r>
    </w:p>
    <w:p w14:paraId="6DAACC0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Nemáme</w:t>
      </w:r>
    </w:p>
    <w:p w14:paraId="4B03D4F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22"/>
          <w:szCs w:val="22"/>
        </w:rPr>
      </w:pPr>
    </w:p>
    <w:p w14:paraId="56B189DA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Zákazková výstavba nehnuteľnosti</w:t>
      </w:r>
    </w:p>
    <w:p w14:paraId="24CA230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317CEE1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b/>
          <w:i/>
          <w:color w:val="000000"/>
          <w:sz w:val="22"/>
          <w:szCs w:val="22"/>
        </w:rPr>
      </w:pPr>
      <w:r>
        <w:rPr>
          <w:b/>
          <w:i/>
          <w:color w:val="000000"/>
          <w:sz w:val="22"/>
          <w:szCs w:val="22"/>
        </w:rPr>
        <w:t>Nemáme</w:t>
      </w:r>
    </w:p>
    <w:p w14:paraId="1272C63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color w:val="000000"/>
          <w:sz w:val="22"/>
          <w:szCs w:val="22"/>
        </w:rPr>
      </w:pPr>
    </w:p>
    <w:p w14:paraId="0C55B3D1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Pohľadávky</w:t>
      </w:r>
    </w:p>
    <w:p w14:paraId="4605729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1227C8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DDCF54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EA50856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Náklady budúcich období a príjmy budúcich období</w:t>
      </w:r>
    </w:p>
    <w:p w14:paraId="66B7277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412427A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B550601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Rezervy</w:t>
      </w:r>
    </w:p>
    <w:p w14:paraId="30F29EE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198BDE4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</w:p>
    <w:p w14:paraId="5354B4C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</w:p>
    <w:p w14:paraId="47F79FC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1155A7C5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Záväzky</w:t>
      </w:r>
    </w:p>
    <w:p w14:paraId="1FFE805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E4BC11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43C89BB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795392D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Výdavky budúcich období a výnosy budúcich období</w:t>
      </w:r>
    </w:p>
    <w:p w14:paraId="1E6CF9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213BEDF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E905A5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37302EED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Prenájom (lízing)</w:t>
      </w:r>
    </w:p>
    <w:p w14:paraId="75E0B2B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Majetok prenajatý na základe operatívneho prenájmu vykazuje ako svoj majetok jeho vlastník, nie nájomca.</w:t>
      </w:r>
    </w:p>
    <w:p w14:paraId="589B4EB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599A02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1442A6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490BAB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56F8609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524407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72515D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18D839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F0543B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B2CAD70">
      <w:pPr>
        <w:pStyle w:val="3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Odložené dane</w:t>
      </w:r>
    </w:p>
    <w:p w14:paraId="72B34E0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72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Odložené dane (odložená daňová pohľadávka a odložený daňový záväzok) sa vzťahujú na: </w:t>
      </w:r>
    </w:p>
    <w:p w14:paraId="2967B6A6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0F0AE614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možnosť umorovať daňovú stratu v budúcnosti, ktorou sa rozumie možnosť odpočítať daňovú stratu od základu dane v budúcnosti,</w:t>
      </w:r>
    </w:p>
    <w:p w14:paraId="57A472FD">
      <w:pPr>
        <w:pStyle w:val="3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možnosť previesť nevyužité daňové odpočty a iné daňové nároky do budúcich období.</w:t>
      </w:r>
    </w:p>
    <w:p w14:paraId="3E8BCAE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0857802F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bookmarkStart w:id="2" w:name="_3znysh7" w:colFirst="0" w:colLast="0"/>
      <w:bookmarkEnd w:id="2"/>
      <w:r>
        <w:rPr>
          <w:b/>
          <w:color w:val="000000"/>
          <w:sz w:val="22"/>
          <w:szCs w:val="22"/>
        </w:rPr>
        <w:t>Tvorba odpisovaného plánu</w:t>
      </w:r>
    </w:p>
    <w:p w14:paraId="52380A9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227EAE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1C1C794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E3A301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E96566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A78C35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5B6792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tbl>
      <w:tblPr>
        <w:tblStyle w:val="17"/>
        <w:tblW w:w="8788" w:type="dxa"/>
        <w:tblInd w:w="45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956"/>
        <w:gridCol w:w="160"/>
        <w:gridCol w:w="1972"/>
        <w:gridCol w:w="160"/>
        <w:gridCol w:w="1690"/>
        <w:gridCol w:w="160"/>
        <w:gridCol w:w="1690"/>
      </w:tblGrid>
      <w:tr w14:paraId="1C47791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6B20B61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72" w:type="dxa"/>
          </w:tcPr>
          <w:p w14:paraId="1177A9E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Predpokladaná</w:t>
            </w:r>
          </w:p>
        </w:tc>
        <w:tc>
          <w:tcPr>
            <w:tcW w:w="160" w:type="dxa"/>
          </w:tcPr>
          <w:p w14:paraId="6DABDF9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1E8B085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Metóda</w:t>
            </w:r>
          </w:p>
        </w:tc>
        <w:tc>
          <w:tcPr>
            <w:tcW w:w="160" w:type="dxa"/>
          </w:tcPr>
          <w:p w14:paraId="7ED4131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7A8F19F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Ročná odpisová</w:t>
            </w:r>
          </w:p>
        </w:tc>
      </w:tr>
      <w:tr w14:paraId="161D093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56" w:type="dxa"/>
            <w:tcBorders>
              <w:bottom w:val="single" w:color="000000" w:sz="4" w:space="0"/>
            </w:tcBorders>
          </w:tcPr>
          <w:p w14:paraId="56D5336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 w14:paraId="1B5B9FF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72" w:type="dxa"/>
            <w:tcBorders>
              <w:bottom w:val="single" w:color="000000" w:sz="4" w:space="0"/>
            </w:tcBorders>
          </w:tcPr>
          <w:p w14:paraId="7EBEAEF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doba používania v rokoch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 w14:paraId="3235A03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 w14:paraId="57D56BF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odpisovania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 w14:paraId="7AC0A3A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 w14:paraId="75430C8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sadzba v %</w:t>
            </w:r>
          </w:p>
        </w:tc>
      </w:tr>
      <w:tr w14:paraId="23F4FC6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2956" w:type="dxa"/>
            <w:tcBorders>
              <w:bottom w:val="single" w:color="000000" w:sz="4" w:space="0"/>
            </w:tcBorders>
          </w:tcPr>
          <w:p w14:paraId="6AA9887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Budovy pre administratívu, bytové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 w14:paraId="6ED3844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</w:p>
        </w:tc>
        <w:tc>
          <w:tcPr>
            <w:tcW w:w="1972" w:type="dxa"/>
            <w:tcBorders>
              <w:bottom w:val="single" w:color="000000" w:sz="4" w:space="0"/>
            </w:tcBorders>
          </w:tcPr>
          <w:p w14:paraId="7F3DED2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40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 w14:paraId="7D635CC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 w14:paraId="21BA67E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linárna</w:t>
            </w:r>
          </w:p>
        </w:tc>
        <w:tc>
          <w:tcPr>
            <w:tcW w:w="160" w:type="dxa"/>
            <w:tcBorders>
              <w:bottom w:val="single" w:color="000000" w:sz="4" w:space="0"/>
            </w:tcBorders>
          </w:tcPr>
          <w:p w14:paraId="473D09C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  <w:tcBorders>
              <w:bottom w:val="single" w:color="000000" w:sz="4" w:space="0"/>
            </w:tcBorders>
          </w:tcPr>
          <w:p w14:paraId="63766AB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2,5</w:t>
            </w:r>
          </w:p>
        </w:tc>
      </w:tr>
      <w:tr w14:paraId="3AA1E7D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  <w:tcBorders>
              <w:top w:val="single" w:color="000000" w:sz="4" w:space="0"/>
            </w:tcBorders>
          </w:tcPr>
          <w:p w14:paraId="5926AE8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Budovy pre obchod, priemysel</w:t>
            </w:r>
          </w:p>
        </w:tc>
        <w:tc>
          <w:tcPr>
            <w:tcW w:w="1972" w:type="dxa"/>
            <w:tcBorders>
              <w:top w:val="single" w:color="000000" w:sz="4" w:space="0"/>
            </w:tcBorders>
          </w:tcPr>
          <w:p w14:paraId="2FF5725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160" w:type="dxa"/>
            <w:tcBorders>
              <w:top w:val="single" w:color="000000" w:sz="4" w:space="0"/>
            </w:tcBorders>
          </w:tcPr>
          <w:p w14:paraId="2AF268C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color="000000" w:sz="4" w:space="0"/>
            </w:tcBorders>
          </w:tcPr>
          <w:p w14:paraId="496F291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60" w:type="dxa"/>
            <w:tcBorders>
              <w:top w:val="single" w:color="000000" w:sz="4" w:space="0"/>
            </w:tcBorders>
          </w:tcPr>
          <w:p w14:paraId="4E875C9B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color="000000" w:sz="4" w:space="0"/>
            </w:tcBorders>
          </w:tcPr>
          <w:p w14:paraId="60992AC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</w:tr>
      <w:tr w14:paraId="379B67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5EF12FB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Lode, lietadlá, železničné lokomotívy</w:t>
            </w:r>
          </w:p>
        </w:tc>
        <w:tc>
          <w:tcPr>
            <w:tcW w:w="1972" w:type="dxa"/>
          </w:tcPr>
          <w:p w14:paraId="6052151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12</w:t>
            </w:r>
          </w:p>
        </w:tc>
        <w:tc>
          <w:tcPr>
            <w:tcW w:w="160" w:type="dxa"/>
          </w:tcPr>
          <w:p w14:paraId="15D30C79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27C353E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60" w:type="dxa"/>
          </w:tcPr>
          <w:p w14:paraId="221BBBE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594877B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8,3</w:t>
            </w:r>
          </w:p>
        </w:tc>
      </w:tr>
      <w:tr w14:paraId="6068D2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6BC5BA0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Elektrické motory,turbíny, pece,horáky</w:t>
            </w:r>
          </w:p>
        </w:tc>
        <w:tc>
          <w:tcPr>
            <w:tcW w:w="1972" w:type="dxa"/>
          </w:tcPr>
          <w:p w14:paraId="6627359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8</w:t>
            </w:r>
          </w:p>
        </w:tc>
        <w:tc>
          <w:tcPr>
            <w:tcW w:w="160" w:type="dxa"/>
          </w:tcPr>
          <w:p w14:paraId="593D113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4D989D14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lineárna</w:t>
            </w:r>
          </w:p>
        </w:tc>
        <w:tc>
          <w:tcPr>
            <w:tcW w:w="160" w:type="dxa"/>
          </w:tcPr>
          <w:p w14:paraId="1CC7EF91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7157D8F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12,5</w:t>
            </w:r>
          </w:p>
        </w:tc>
      </w:tr>
      <w:tr w14:paraId="1943817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603C842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Montované stavby, batérie</w:t>
            </w:r>
          </w:p>
        </w:tc>
        <w:tc>
          <w:tcPr>
            <w:tcW w:w="1972" w:type="dxa"/>
          </w:tcPr>
          <w:p w14:paraId="1C7D5EE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6</w:t>
            </w:r>
          </w:p>
        </w:tc>
        <w:tc>
          <w:tcPr>
            <w:tcW w:w="160" w:type="dxa"/>
          </w:tcPr>
          <w:p w14:paraId="07C5DCA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106D771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lineárna</w:t>
            </w:r>
          </w:p>
        </w:tc>
        <w:tc>
          <w:tcPr>
            <w:tcW w:w="160" w:type="dxa"/>
          </w:tcPr>
          <w:p w14:paraId="01461CA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069578C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16,6</w:t>
            </w:r>
          </w:p>
        </w:tc>
      </w:tr>
      <w:tr w14:paraId="6BCC6B4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24C9F8B2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Benzinový os. automobil, počítač, projek</w:t>
            </w:r>
          </w:p>
        </w:tc>
        <w:tc>
          <w:tcPr>
            <w:tcW w:w="1972" w:type="dxa"/>
          </w:tcPr>
          <w:p w14:paraId="45AD0D6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4</w:t>
            </w:r>
          </w:p>
        </w:tc>
        <w:tc>
          <w:tcPr>
            <w:tcW w:w="160" w:type="dxa"/>
          </w:tcPr>
          <w:p w14:paraId="337B175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493593C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lineárna</w:t>
            </w:r>
          </w:p>
        </w:tc>
        <w:tc>
          <w:tcPr>
            <w:tcW w:w="160" w:type="dxa"/>
          </w:tcPr>
          <w:p w14:paraId="7464AF6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60AA9E7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25</w:t>
            </w:r>
          </w:p>
        </w:tc>
      </w:tr>
      <w:tr w14:paraId="3AA1BFE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7313ADA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Elektromobil</w:t>
            </w:r>
          </w:p>
        </w:tc>
        <w:tc>
          <w:tcPr>
            <w:tcW w:w="1972" w:type="dxa"/>
          </w:tcPr>
          <w:p w14:paraId="73177E1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2</w:t>
            </w:r>
          </w:p>
        </w:tc>
        <w:tc>
          <w:tcPr>
            <w:tcW w:w="160" w:type="dxa"/>
          </w:tcPr>
          <w:p w14:paraId="2ABB5663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7652CB1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Lineárna</w:t>
            </w:r>
          </w:p>
        </w:tc>
        <w:tc>
          <w:tcPr>
            <w:tcW w:w="160" w:type="dxa"/>
          </w:tcPr>
          <w:p w14:paraId="2507692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2DA0D18C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50</w:t>
            </w:r>
          </w:p>
        </w:tc>
      </w:tr>
      <w:tr w14:paraId="443299B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250" w:hRule="atLeast"/>
          <w:tblHeader/>
        </w:trPr>
        <w:tc>
          <w:tcPr>
            <w:tcW w:w="3116" w:type="dxa"/>
            <w:gridSpan w:val="2"/>
          </w:tcPr>
          <w:p w14:paraId="30FF5890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Drobný dlhodobý hmotný majetok</w:t>
            </w:r>
          </w:p>
        </w:tc>
        <w:tc>
          <w:tcPr>
            <w:tcW w:w="1972" w:type="dxa"/>
          </w:tcPr>
          <w:p w14:paraId="75A142BA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Rôzna</w:t>
            </w:r>
          </w:p>
        </w:tc>
        <w:tc>
          <w:tcPr>
            <w:tcW w:w="160" w:type="dxa"/>
          </w:tcPr>
          <w:p w14:paraId="295CFCC7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742CA295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jednorazový odpis</w:t>
            </w:r>
          </w:p>
        </w:tc>
        <w:tc>
          <w:tcPr>
            <w:tcW w:w="160" w:type="dxa"/>
          </w:tcPr>
          <w:p w14:paraId="7A6550E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690" w:type="dxa"/>
          </w:tcPr>
          <w:p w14:paraId="173406A8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100</w:t>
            </w:r>
          </w:p>
        </w:tc>
      </w:tr>
    </w:tbl>
    <w:p w14:paraId="1DA15B7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426"/>
        <w:jc w:val="both"/>
        <w:rPr>
          <w:b/>
          <w:color w:val="000000"/>
          <w:sz w:val="22"/>
          <w:szCs w:val="22"/>
        </w:rPr>
      </w:pPr>
    </w:p>
    <w:p w14:paraId="3C2189F4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Dotácie zo štátneho rozpočtu</w:t>
      </w:r>
    </w:p>
    <w:p w14:paraId="48F15A82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3F0299A">
      <w:pPr>
        <w:pStyle w:val="3"/>
        <w:ind w:left="450"/>
        <w:jc w:val="both"/>
        <w:rPr>
          <w:sz w:val="22"/>
          <w:szCs w:val="22"/>
        </w:rPr>
      </w:pPr>
    </w:p>
    <w:p w14:paraId="1A855932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2180169">
      <w:pPr>
        <w:pStyle w:val="3"/>
        <w:ind w:left="450"/>
        <w:jc w:val="both"/>
        <w:rPr>
          <w:sz w:val="22"/>
          <w:szCs w:val="22"/>
        </w:rPr>
      </w:pPr>
    </w:p>
    <w:p w14:paraId="2B8C3D85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>Dotácie na obstaranie dlhodobého hmotného majetku a dlhodobého nehmotného majetku sa najskôr vykazujú ako výnosy budúcich období a do výkazu ziskov a strát sa rozpúšťajú v časovej a vecnej súvislosti</w:t>
      </w:r>
      <w:r>
        <w:rPr>
          <w:rFonts w:hint="default"/>
          <w:sz w:val="22"/>
          <w:szCs w:val="22"/>
          <w:lang w:val="sk-SK"/>
        </w:rPr>
        <w:t xml:space="preserve"> </w:t>
      </w:r>
      <w:r>
        <w:rPr>
          <w:sz w:val="22"/>
          <w:szCs w:val="22"/>
        </w:rPr>
        <w:t>so</w:t>
      </w:r>
      <w:r>
        <w:rPr>
          <w:rFonts w:hint="default"/>
          <w:sz w:val="22"/>
          <w:szCs w:val="22"/>
          <w:lang w:val="sk-SK"/>
        </w:rPr>
        <w:t xml:space="preserve"> </w:t>
      </w:r>
      <w:r>
        <w:rPr>
          <w:sz w:val="22"/>
          <w:szCs w:val="22"/>
        </w:rPr>
        <w:t>zaúčtovaní</w:t>
      </w:r>
      <w:r>
        <w:rPr>
          <w:rFonts w:hint="default"/>
          <w:sz w:val="22"/>
          <w:szCs w:val="22"/>
          <w:lang w:val="sk-SK"/>
        </w:rPr>
        <w:t>m</w:t>
      </w:r>
      <w:r>
        <w:rPr>
          <w:sz w:val="22"/>
          <w:szCs w:val="22"/>
        </w:rPr>
        <w:t xml:space="preserve"> odpisov</w:t>
      </w:r>
      <w:r>
        <w:rPr>
          <w:rFonts w:hint="default"/>
          <w:sz w:val="22"/>
          <w:szCs w:val="22"/>
          <w:lang w:val="sk-SK"/>
        </w:rPr>
        <w:t xml:space="preserve"> z tohto dlhodobého majetku.</w:t>
      </w:r>
      <w:r>
        <w:rPr>
          <w:sz w:val="22"/>
          <w:szCs w:val="22"/>
        </w:rPr>
        <w:br w:type="textWrapping"/>
      </w:r>
    </w:p>
    <w:p w14:paraId="12F82B17">
      <w:pPr>
        <w:pStyle w:val="3"/>
        <w:ind w:left="450"/>
        <w:jc w:val="both"/>
        <w:rPr>
          <w:sz w:val="22"/>
          <w:szCs w:val="22"/>
        </w:rPr>
      </w:pPr>
    </w:p>
    <w:p w14:paraId="23EE665A">
      <w:pPr>
        <w:pStyle w:val="3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sz w:val="22"/>
          <w:szCs w:val="22"/>
        </w:rPr>
      </w:pPr>
      <w:r>
        <w:rPr>
          <w:b/>
          <w:color w:val="000000"/>
          <w:sz w:val="22"/>
          <w:szCs w:val="22"/>
        </w:rPr>
        <w:t>Oprava významných chýb minulých účtovných období</w:t>
      </w:r>
    </w:p>
    <w:p w14:paraId="75DF2F7A">
      <w:pPr>
        <w:pStyle w:val="3"/>
        <w:ind w:left="45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3BA69AD1">
      <w:pPr>
        <w:pStyle w:val="3"/>
        <w:ind w:left="450"/>
        <w:jc w:val="both"/>
        <w:rPr>
          <w:sz w:val="22"/>
          <w:szCs w:val="22"/>
        </w:rPr>
      </w:pPr>
    </w:p>
    <w:p w14:paraId="739E82A8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údajoch na strane aktív súvahy</w:t>
      </w:r>
    </w:p>
    <w:p w14:paraId="303A8E6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tabs>
          <w:tab w:val="center" w:pos="4536"/>
          <w:tab w:val="right" w:pos="9072"/>
        </w:tabs>
        <w:jc w:val="both"/>
        <w:rPr>
          <w:color w:val="000000"/>
          <w:sz w:val="22"/>
          <w:szCs w:val="22"/>
        </w:rPr>
      </w:pPr>
    </w:p>
    <w:p w14:paraId="3FA4FB6D">
      <w:pPr>
        <w:pStyle w:val="3"/>
        <w:keepNext/>
        <w:numPr>
          <w:ilvl w:val="0"/>
          <w:numId w:val="6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bookmarkStart w:id="3" w:name="_2et92p0" w:colFirst="0" w:colLast="0"/>
      <w:bookmarkEnd w:id="3"/>
      <w:r>
        <w:rPr>
          <w:b/>
          <w:color w:val="000000"/>
          <w:sz w:val="22"/>
          <w:szCs w:val="22"/>
        </w:rPr>
        <w:t>Informácia o goodwille</w:t>
      </w:r>
    </w:p>
    <w:p w14:paraId="64EFD28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77E577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Dôvod vzniku goodvilu:</w:t>
      </w:r>
    </w:p>
    <w:p w14:paraId="790FF1A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Spôsob výpočtu:</w:t>
      </w:r>
    </w:p>
    <w:p w14:paraId="201FC29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Odpisovanie:</w:t>
      </w:r>
    </w:p>
    <w:p w14:paraId="7969ADD3">
      <w:pPr>
        <w:pStyle w:val="3"/>
        <w:spacing w:after="200" w:line="276" w:lineRule="auto"/>
        <w:rPr>
          <w:b/>
          <w:smallCaps/>
          <w:sz w:val="22"/>
          <w:szCs w:val="22"/>
        </w:rPr>
      </w:pPr>
    </w:p>
    <w:p w14:paraId="485C1776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údajoch na strane pasív súvahy</w:t>
      </w:r>
    </w:p>
    <w:p w14:paraId="707A9DE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F5A318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rPr>
          <w:color w:val="000000"/>
          <w:sz w:val="22"/>
          <w:szCs w:val="22"/>
        </w:rPr>
      </w:pPr>
    </w:p>
    <w:p w14:paraId="00D9383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61E6B971">
      <w:pPr>
        <w:pStyle w:val="3"/>
        <w:keepNext/>
        <w:numPr>
          <w:ilvl w:val="0"/>
          <w:numId w:val="7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Informácie o záväzkoch</w:t>
      </w:r>
    </w:p>
    <w:p w14:paraId="16FDAC7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87EB5AF"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Celková suma záväzkov so zostatkovou dobou splatnosti dlhšou ako 5 rokov:  0</w:t>
      </w:r>
    </w:p>
    <w:p w14:paraId="65221CD6">
      <w:pPr>
        <w:pStyle w:val="3"/>
        <w:numPr>
          <w:ilvl w:val="0"/>
          <w:numId w:val="8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sz w:val="22"/>
          <w:szCs w:val="22"/>
        </w:rPr>
      </w:pPr>
    </w:p>
    <w:tbl>
      <w:tblPr>
        <w:tblStyle w:val="18"/>
        <w:tblW w:w="9466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8"/>
        <w:gridCol w:w="2978"/>
        <w:gridCol w:w="2660"/>
      </w:tblGrid>
      <w:tr w14:paraId="013071E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67" w:hRule="atLeast"/>
          <w:tblHeader/>
          <w:jc w:val="center"/>
        </w:trPr>
        <w:tc>
          <w:tcPr>
            <w:tcW w:w="382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1B1E3605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78" w:type="dxa"/>
            <w:tcBorders>
              <w:top w:val="single" w:color="000000" w:sz="8" w:space="0"/>
              <w:left w:val="single" w:color="000000" w:sz="12" w:space="0"/>
              <w:bottom w:val="single" w:color="000000" w:sz="12" w:space="0"/>
              <w:right w:val="single" w:color="000000" w:sz="8" w:space="0"/>
            </w:tcBorders>
            <w:vAlign w:val="center"/>
          </w:tcPr>
          <w:p w14:paraId="193012CA">
            <w:pPr>
              <w:pStyle w:val="3"/>
              <w:rPr>
                <w:sz w:val="22"/>
                <w:szCs w:val="22"/>
              </w:rPr>
            </w:pPr>
          </w:p>
        </w:tc>
        <w:tc>
          <w:tcPr>
            <w:tcW w:w="2660" w:type="dxa"/>
            <w:tcBorders>
              <w:top w:val="single" w:color="000000" w:sz="8" w:space="0"/>
              <w:left w:val="nil"/>
              <w:bottom w:val="single" w:color="000000" w:sz="12" w:space="0"/>
              <w:right w:val="single" w:color="000000" w:sz="12" w:space="0"/>
            </w:tcBorders>
            <w:vAlign w:val="center"/>
          </w:tcPr>
          <w:p w14:paraId="381DC4C4">
            <w:pPr>
              <w:pStyle w:val="3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0,-</w:t>
            </w:r>
          </w:p>
        </w:tc>
      </w:tr>
    </w:tbl>
    <w:p w14:paraId="5D98D72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b/>
          <w:color w:val="000000"/>
          <w:sz w:val="22"/>
          <w:szCs w:val="22"/>
        </w:rPr>
      </w:pPr>
    </w:p>
    <w:p w14:paraId="4C09978E">
      <w:pPr>
        <w:pStyle w:val="3"/>
        <w:rPr>
          <w:sz w:val="22"/>
          <w:szCs w:val="22"/>
        </w:rPr>
      </w:pPr>
    </w:p>
    <w:p w14:paraId="62F4912D">
      <w:pPr>
        <w:pStyle w:val="3"/>
        <w:rPr>
          <w:sz w:val="22"/>
          <w:szCs w:val="22"/>
        </w:rPr>
      </w:pPr>
    </w:p>
    <w:p w14:paraId="33F9B52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i/>
          <w:color w:val="000000"/>
          <w:sz w:val="22"/>
          <w:szCs w:val="22"/>
        </w:rPr>
      </w:pPr>
    </w:p>
    <w:p w14:paraId="33B44B5A">
      <w:pPr>
        <w:pStyle w:val="3"/>
        <w:numPr>
          <w:ilvl w:val="0"/>
          <w:numId w:val="9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rFonts w:ascii="Arial Narrow" w:hAnsi="Arial Narrow" w:eastAsia="Arial Narrow" w:cs="Arial Narrow"/>
          <w:b/>
          <w:color w:val="000000"/>
          <w:sz w:val="22"/>
          <w:szCs w:val="22"/>
        </w:rPr>
      </w:pPr>
      <w:r>
        <w:rPr>
          <w:rFonts w:ascii="Arial Narrow" w:hAnsi="Arial Narrow" w:eastAsia="Arial Narrow" w:cs="Arial Narrow"/>
          <w:b/>
          <w:color w:val="000000"/>
          <w:sz w:val="22"/>
          <w:szCs w:val="22"/>
        </w:rPr>
        <w:t xml:space="preserve">Informácie k prílohe č. 3 časti F. písm. t) a u) o pohľadávkach zabezpečených záložným právom alebo inou formou zabezpečenia  </w:t>
      </w:r>
    </w:p>
    <w:p w14:paraId="58A0BA45">
      <w:pPr>
        <w:pStyle w:val="3"/>
        <w:rPr>
          <w:sz w:val="22"/>
          <w:szCs w:val="22"/>
        </w:rPr>
      </w:pPr>
    </w:p>
    <w:tbl>
      <w:tblPr>
        <w:tblStyle w:val="19"/>
        <w:tblW w:w="9466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878"/>
        <w:gridCol w:w="2331"/>
        <w:gridCol w:w="2257"/>
      </w:tblGrid>
      <w:tr w14:paraId="4695E6F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restart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1F73F7CF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Opis predmetu záložného práva</w:t>
            </w:r>
          </w:p>
        </w:tc>
        <w:tc>
          <w:tcPr>
            <w:tcW w:w="4588" w:type="dxa"/>
            <w:gridSpan w:val="2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 w14:paraId="73D9C4A6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14:paraId="01BB030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blHeader/>
          <w:jc w:val="center"/>
        </w:trPr>
        <w:tc>
          <w:tcPr>
            <w:tcW w:w="4878" w:type="dxa"/>
            <w:vMerge w:val="continue"/>
            <w:tcBorders>
              <w:top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51A78E1D">
            <w:pPr>
              <w:pStyle w:val="3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pacing w:line="276" w:lineRule="auto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vAlign w:val="center"/>
          </w:tcPr>
          <w:p w14:paraId="1236D75E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 predmetu záložného práva</w:t>
            </w:r>
          </w:p>
        </w:tc>
        <w:tc>
          <w:tcPr>
            <w:tcW w:w="2257" w:type="dxa"/>
            <w:tcBorders>
              <w:top w:val="single" w:color="000000" w:sz="12" w:space="0"/>
              <w:left w:val="single" w:color="000000" w:sz="12" w:space="0"/>
              <w:bottom w:val="nil"/>
            </w:tcBorders>
            <w:vAlign w:val="center"/>
          </w:tcPr>
          <w:p w14:paraId="68FB3BFD">
            <w:pPr>
              <w:pStyle w:val="3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jc w:val="center"/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Hodnota</w:t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br w:type="textWrapping"/>
            </w:r>
            <w:r>
              <w:rPr>
                <w:rFonts w:ascii="Arial Narrow" w:hAnsi="Arial Narrow" w:eastAsia="Arial Narrow" w:cs="Arial Narrow"/>
                <w:b/>
                <w:color w:val="000000"/>
                <w:sz w:val="22"/>
                <w:szCs w:val="22"/>
              </w:rPr>
              <w:t> pohľadávky</w:t>
            </w:r>
          </w:p>
        </w:tc>
      </w:tr>
      <w:tr w14:paraId="2DAC60B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510" w:hRule="atLeast"/>
          <w:tblHeader/>
          <w:jc w:val="center"/>
        </w:trPr>
        <w:tc>
          <w:tcPr>
            <w:tcW w:w="4878" w:type="dxa"/>
            <w:tcBorders>
              <w:top w:val="single" w:color="000000" w:sz="12" w:space="0"/>
              <w:right w:val="single" w:color="000000" w:sz="12" w:space="0"/>
            </w:tcBorders>
            <w:vAlign w:val="center"/>
          </w:tcPr>
          <w:p w14:paraId="06F370EC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331" w:type="dxa"/>
            <w:tcBorders>
              <w:top w:val="single" w:color="000000" w:sz="12" w:space="0"/>
              <w:left w:val="single" w:color="000000" w:sz="12" w:space="0"/>
            </w:tcBorders>
            <w:vAlign w:val="center"/>
          </w:tcPr>
          <w:p w14:paraId="4D6FBD91">
            <w:pPr>
              <w:pStyle w:val="3"/>
              <w:rPr>
                <w:sz w:val="22"/>
                <w:szCs w:val="22"/>
              </w:rPr>
            </w:pPr>
          </w:p>
        </w:tc>
        <w:tc>
          <w:tcPr>
            <w:tcW w:w="2257" w:type="dxa"/>
            <w:tcBorders>
              <w:top w:val="single" w:color="000000" w:sz="12" w:space="0"/>
            </w:tcBorders>
            <w:vAlign w:val="center"/>
          </w:tcPr>
          <w:p w14:paraId="4778F2BB">
            <w:pPr>
              <w:pStyle w:val="3"/>
              <w:rPr>
                <w:sz w:val="22"/>
                <w:szCs w:val="22"/>
              </w:rPr>
            </w:pPr>
          </w:p>
        </w:tc>
      </w:tr>
      <w:tr w14:paraId="7B26C16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  <w:trHeight w:val="340" w:hRule="atLeast"/>
          <w:tblHeader/>
          <w:jc w:val="center"/>
        </w:trPr>
        <w:tc>
          <w:tcPr>
            <w:tcW w:w="4878" w:type="dxa"/>
            <w:tcBorders>
              <w:bottom w:val="single" w:color="000000" w:sz="12" w:space="0"/>
              <w:right w:val="single" w:color="000000" w:sz="12" w:space="0"/>
            </w:tcBorders>
            <w:vAlign w:val="center"/>
          </w:tcPr>
          <w:p w14:paraId="5FEFF15B">
            <w:pPr>
              <w:pStyle w:val="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331" w:type="dxa"/>
            <w:tcBorders>
              <w:left w:val="single" w:color="000000" w:sz="12" w:space="0"/>
              <w:bottom w:val="single" w:color="000000" w:sz="12" w:space="0"/>
            </w:tcBorders>
            <w:vAlign w:val="center"/>
          </w:tcPr>
          <w:p w14:paraId="69BE347E">
            <w:pPr>
              <w:pStyle w:val="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257" w:type="dxa"/>
            <w:tcBorders>
              <w:bottom w:val="single" w:color="000000" w:sz="12" w:space="0"/>
            </w:tcBorders>
            <w:vAlign w:val="center"/>
          </w:tcPr>
          <w:p w14:paraId="741290AF">
            <w:pPr>
              <w:pStyle w:val="3"/>
              <w:rPr>
                <w:sz w:val="22"/>
                <w:szCs w:val="22"/>
              </w:rPr>
            </w:pPr>
          </w:p>
        </w:tc>
      </w:tr>
    </w:tbl>
    <w:p w14:paraId="1335FE4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E63A129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rPr>
          <w:b/>
          <w:smallCaps/>
          <w:color w:val="000000"/>
          <w:sz w:val="22"/>
          <w:szCs w:val="22"/>
        </w:rPr>
      </w:pPr>
    </w:p>
    <w:p w14:paraId="3D6AD2DB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</w:p>
    <w:p w14:paraId="3194FBA1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NÁKLADOCH A výnosoch</w:t>
      </w:r>
    </w:p>
    <w:p w14:paraId="68BE71F0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360" w:hanging="360"/>
        <w:rPr>
          <w:b/>
          <w:color w:val="000000"/>
          <w:sz w:val="22"/>
          <w:szCs w:val="22"/>
        </w:rPr>
      </w:pPr>
      <w:bookmarkStart w:id="4" w:name="_tyjcwt" w:colFirst="0" w:colLast="0"/>
      <w:bookmarkEnd w:id="4"/>
    </w:p>
    <w:p w14:paraId="6EF24F27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 nákladoch a výnosoch, ktoré majú výnimočný rozsah alebo výskyt:</w:t>
      </w:r>
      <w:r>
        <w:rPr>
          <w:rFonts w:hint="default"/>
          <w:b/>
          <w:color w:val="000000"/>
          <w:sz w:val="22"/>
          <w:szCs w:val="22"/>
          <w:lang w:val="sk-SK"/>
        </w:rPr>
        <w:t xml:space="preserve"> nie sú.</w:t>
      </w:r>
    </w:p>
    <w:p w14:paraId="271E7C96">
      <w:pPr>
        <w:pStyle w:val="3"/>
        <w:keepNext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Chars="0"/>
        <w:rPr>
          <w:b/>
          <w:color w:val="000000"/>
          <w:sz w:val="22"/>
          <w:szCs w:val="22"/>
        </w:rPr>
      </w:pPr>
    </w:p>
    <w:p w14:paraId="526B9F6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rFonts w:hint="default"/>
          <w:color w:val="000000"/>
          <w:sz w:val="22"/>
          <w:szCs w:val="22"/>
          <w:lang w:val="sk-SK"/>
        </w:rPr>
      </w:pPr>
      <w:r>
        <w:rPr>
          <w:rFonts w:hint="default"/>
          <w:color w:val="000000"/>
          <w:sz w:val="22"/>
          <w:szCs w:val="22"/>
          <w:lang w:val="sk-SK"/>
        </w:rPr>
        <w:t>Celkový hospodársky výsledok za rok 2025 po zdanení je 225 536,86 Eur.</w:t>
      </w:r>
    </w:p>
    <w:p w14:paraId="48F2F37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490B101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r>
        <w:rPr>
          <w:b/>
          <w:smallCaps/>
          <w:color w:val="000000"/>
          <w:sz w:val="22"/>
          <w:szCs w:val="22"/>
        </w:rPr>
        <w:t>Informácie o iných aktívach a iných pasívach</w:t>
      </w:r>
    </w:p>
    <w:p w14:paraId="401FDB7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5B476226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neeviduje iné aktíva a iné pasíva</w:t>
      </w:r>
    </w:p>
    <w:p w14:paraId="41C7D7E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06149FF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</w:p>
    <w:p w14:paraId="37FC3FB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269AA405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Významné položky prenajatého majetku</w:t>
      </w:r>
    </w:p>
    <w:p w14:paraId="7252D345">
      <w:pPr>
        <w:pStyle w:val="3"/>
        <w:rPr>
          <w:sz w:val="22"/>
          <w:szCs w:val="22"/>
        </w:rPr>
      </w:pPr>
    </w:p>
    <w:p w14:paraId="33DF863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A91D0EC">
      <w:pPr>
        <w:pStyle w:val="3"/>
        <w:keepNext/>
        <w:numPr>
          <w:ilvl w:val="0"/>
          <w:numId w:val="1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 odpísaných pohľadávkach</w:t>
      </w:r>
    </w:p>
    <w:p w14:paraId="39A71532">
      <w:pPr>
        <w:pStyle w:val="3"/>
        <w:rPr>
          <w:sz w:val="22"/>
          <w:szCs w:val="22"/>
        </w:rPr>
      </w:pPr>
    </w:p>
    <w:p w14:paraId="10EDC7A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Spoločnosť na podsúvahovej evidencii eviduje odpísané pohľadávky vo hodnote  0,- EUR</w:t>
      </w:r>
    </w:p>
    <w:p w14:paraId="2527800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2976C4D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  <w:highlight w:val="yellow"/>
        </w:rPr>
      </w:pPr>
    </w:p>
    <w:p w14:paraId="4278D77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Informácia o poistení majetk</w:t>
      </w:r>
      <w:r>
        <w:rPr>
          <w:color w:val="000000"/>
          <w:sz w:val="22"/>
          <w:szCs w:val="22"/>
        </w:rPr>
        <w:t>u:</w:t>
      </w:r>
    </w:p>
    <w:p w14:paraId="7FD4889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Celý majetok spoločnosti COMl s.r.o., je poistený v spoločnosti KOOPERATÍVA</w:t>
      </w:r>
      <w:r>
        <w:rPr>
          <w:rFonts w:hint="default"/>
          <w:color w:val="000000"/>
          <w:sz w:val="22"/>
          <w:szCs w:val="22"/>
          <w:lang w:val="sk-SK"/>
        </w:rPr>
        <w:t xml:space="preserve"> </w:t>
      </w:r>
      <w:r>
        <w:rPr>
          <w:color w:val="000000"/>
          <w:sz w:val="22"/>
          <w:szCs w:val="22"/>
        </w:rPr>
        <w:t xml:space="preserve"> poisťovňa a.s.</w:t>
      </w:r>
    </w:p>
    <w:p w14:paraId="0190DCF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28FE8C8">
      <w:pPr>
        <w:pStyle w:val="3"/>
        <w:keepNext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120" w:after="60"/>
        <w:ind w:left="360" w:firstLine="90"/>
        <w:rPr>
          <w:b/>
          <w:smallCaps/>
          <w:color w:val="000000"/>
          <w:sz w:val="22"/>
          <w:szCs w:val="22"/>
        </w:rPr>
      </w:pPr>
      <w:bookmarkStart w:id="5" w:name="_3dy6vkm" w:colFirst="0" w:colLast="0"/>
      <w:bookmarkEnd w:id="5"/>
      <w:r>
        <w:rPr>
          <w:b/>
          <w:smallCaps/>
          <w:color w:val="000000"/>
          <w:sz w:val="22"/>
          <w:szCs w:val="22"/>
        </w:rPr>
        <w:t>Informácie o skutočnostiach, ktoré nastali po dni, ku ktorému sa zostavuje účtovná závierka, do dňa zostavenia účtovnej závierky</w:t>
      </w:r>
    </w:p>
    <w:p w14:paraId="6B7DF5F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6F0F060D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Po 31. decembri 202</w:t>
      </w:r>
      <w:r>
        <w:rPr>
          <w:rFonts w:hint="default"/>
          <w:color w:val="000000"/>
          <w:sz w:val="22"/>
          <w:szCs w:val="22"/>
          <w:lang w:val="sk-SK"/>
        </w:rPr>
        <w:t>5</w:t>
      </w:r>
      <w:r>
        <w:rPr>
          <w:color w:val="000000"/>
          <w:sz w:val="22"/>
          <w:szCs w:val="22"/>
        </w:rPr>
        <w:t xml:space="preserve"> nenastali žiadne zmeny, ktoré by mali významný vplyv na verné zobrazenie skutočnosti, ktoré sú predmetom účtovníctva.</w:t>
      </w:r>
    </w:p>
    <w:p w14:paraId="7125D34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7C9CCE65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045527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  <w:bookmarkStart w:id="6" w:name="_1t3h5sf" w:colFirst="0" w:colLast="0"/>
      <w:bookmarkEnd w:id="6"/>
    </w:p>
    <w:p w14:paraId="3E58286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1107946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4B98CA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5758E1F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2"/>
          <w:szCs w:val="22"/>
        </w:rPr>
      </w:pPr>
    </w:p>
    <w:p w14:paraId="4803A2B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4EC2DBD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72636BA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C94D99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5FE8DFA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518543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7F6C0F0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5D58FA3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515A350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ECD899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DA91D4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559E861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0B67406E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87278E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01DCA3B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17043C1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70FECF9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5CCCD0B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7366A30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44D7CB2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6C093BB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BC1EE4B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6835DC8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430D639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4E3B7D3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707CB77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396B7CB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158C9300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20"/>
          <w:szCs w:val="20"/>
        </w:rPr>
      </w:pPr>
    </w:p>
    <w:p w14:paraId="0FB436B9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454F67A1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0B3834EC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5FE23B28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00A0E68F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6875B563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584077C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48B239E4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6755EEC7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p w14:paraId="7B93C35A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ind w:left="426"/>
        <w:jc w:val="both"/>
        <w:rPr>
          <w:color w:val="000000"/>
          <w:sz w:val="18"/>
          <w:szCs w:val="18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111" w:right="992" w:bottom="284" w:left="1418" w:header="425" w:footer="408" w:gutter="0"/>
      <w:pgNumType w:start="1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F0C018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 xml:space="preserve">PAGE</w:instrText>
    </w:r>
    <w:r>
      <w:rPr>
        <w:color w:val="000000"/>
      </w:rPr>
      <w:fldChar w:fldCharType="separate"/>
    </w:r>
    <w:r>
      <w:rPr>
        <w:color w:val="000000"/>
      </w:rPr>
      <w:t>5</w:t>
    </w:r>
    <w:r>
      <w:rPr>
        <w:color w:val="000000"/>
      </w:rPr>
      <w:fldChar w:fldCharType="end"/>
    </w:r>
  </w:p>
  <w:p w14:paraId="42A37DCB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9A05CA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  <w:tab w:val="right" w:pos="9214"/>
      </w:tabs>
      <w:rPr>
        <w:color w:val="000000"/>
        <w:sz w:val="16"/>
        <w:szCs w:val="16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2245ED"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1"/>
      <w:tblW w:w="9637" w:type="dxa"/>
      <w:jc w:val="center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 w14:paraId="7018291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  <w:jc w:val="center"/>
      </w:trPr>
      <w:tc>
        <w:tcPr>
          <w:tcW w:w="2782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 w14:paraId="7531D126"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3 - 01</w:t>
          </w:r>
        </w:p>
      </w:tc>
      <w:tc>
        <w:tcPr>
          <w:tcW w:w="431" w:type="dxa"/>
          <w:tcBorders>
            <w:top w:val="nil"/>
            <w:left w:val="nil"/>
            <w:bottom w:val="nil"/>
            <w:right w:val="nil"/>
          </w:tcBorders>
        </w:tcPr>
        <w:p w14:paraId="45B666ED"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color="000000" w:sz="4" w:space="0"/>
          </w:tcBorders>
          <w:vAlign w:val="center"/>
        </w:tcPr>
        <w:p w14:paraId="3DFE177F">
          <w:pPr>
            <w:pStyle w:val="3"/>
            <w:jc w:val="center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07D66D4B">
          <w:pPr>
            <w:pStyle w:val="3"/>
            <w:jc w:val="center"/>
            <w:rPr>
              <w:color w:val="000000"/>
            </w:rPr>
          </w:pPr>
          <w:r>
            <w:t>3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03E2A961">
          <w:pPr>
            <w:pStyle w:val="3"/>
            <w:jc w:val="center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76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7CC2BC35">
          <w:pPr>
            <w:pStyle w:val="3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723CD3EE">
          <w:pPr>
            <w:pStyle w:val="3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0BEE4F2C">
          <w:pPr>
            <w:pStyle w:val="3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7A5F2FD6">
          <w:pPr>
            <w:pStyle w:val="3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4538B0F7">
          <w:pPr>
            <w:pStyle w:val="3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77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7439754E">
          <w:pPr>
            <w:pStyle w:val="3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431" w:type="dxa"/>
          <w:tcBorders>
            <w:top w:val="nil"/>
            <w:left w:val="single" w:color="000000" w:sz="4" w:space="0"/>
            <w:bottom w:val="nil"/>
            <w:right w:val="single" w:color="000000" w:sz="4" w:space="0"/>
          </w:tcBorders>
          <w:vAlign w:val="center"/>
        </w:tcPr>
        <w:p w14:paraId="2E447392">
          <w:pPr>
            <w:pStyle w:val="3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single" w:color="000000" w:sz="4" w:space="0"/>
            <w:bottom w:val="nil"/>
            <w:right w:val="nil"/>
          </w:tcBorders>
          <w:vAlign w:val="center"/>
        </w:tcPr>
        <w:p w14:paraId="1C79E346"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39179B5A"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4A7DB248">
          <w:pPr>
            <w:pStyle w:val="3"/>
          </w:pPr>
          <w: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A34EEBF">
          <w:pPr>
            <w:pStyle w:val="3"/>
            <w:jc w:val="center"/>
          </w:pPr>
          <w:r>
            <w:t>2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612C40C9">
          <w:pPr>
            <w:pStyle w:val="3"/>
            <w:jc w:val="center"/>
          </w:pPr>
          <w:r>
            <w:t>0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E9A0272">
          <w:pPr>
            <w:pStyle w:val="3"/>
            <w:jc w:val="center"/>
          </w:pPr>
          <w:r>
            <w:t>5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2355BA05">
          <w:pPr>
            <w:pStyle w:val="3"/>
            <w:jc w:val="center"/>
          </w:pPr>
          <w:r>
            <w:t>1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0C0D156E">
          <w:pPr>
            <w:pStyle w:val="3"/>
            <w:jc w:val="center"/>
          </w:pPr>
          <w:r>
            <w:t>1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5FE21933">
          <w:pPr>
            <w:pStyle w:val="3"/>
            <w:jc w:val="center"/>
          </w:pPr>
          <w:r>
            <w:t>6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AD8B4CB">
          <w:pPr>
            <w:pStyle w:val="3"/>
            <w:jc w:val="center"/>
          </w:pPr>
          <w:r>
            <w:t>5</w:t>
          </w:r>
        </w:p>
      </w:tc>
      <w:tc>
        <w:tcPr>
          <w:tcW w:w="29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00DC5EC9">
          <w:pPr>
            <w:pStyle w:val="3"/>
            <w:jc w:val="center"/>
          </w:pPr>
          <w:r>
            <w:t>8</w:t>
          </w:r>
        </w:p>
      </w:tc>
    </w:tr>
  </w:tbl>
  <w:p w14:paraId="6FC79DF4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right" w:pos="9072"/>
      </w:tabs>
      <w:rPr>
        <w:color w:val="000000"/>
      </w:rPr>
    </w:pPr>
  </w:p>
  <w:p w14:paraId="7E1BC2CB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A27D87">
    <w:pPr>
      <w:pStyle w:val="3"/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76" w:lineRule="auto"/>
      <w:rPr>
        <w:color w:val="000000"/>
        <w:sz w:val="18"/>
        <w:szCs w:val="18"/>
      </w:rPr>
    </w:pPr>
  </w:p>
  <w:tbl>
    <w:tblPr>
      <w:tblStyle w:val="20"/>
      <w:tblW w:w="8325" w:type="dxa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14:paraId="6F5616B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cantSplit/>
        <w:trHeight w:val="330" w:hRule="atLeast"/>
        <w:tblHeader/>
      </w:trPr>
      <w:tc>
        <w:tcPr>
          <w:tcW w:w="27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bottom"/>
        </w:tcPr>
        <w:p w14:paraId="152C84A3">
          <w:pPr>
            <w:pStyle w:val="3"/>
            <w:rPr>
              <w:color w:val="000000"/>
            </w:rPr>
          </w:pPr>
          <w:r>
            <w:rPr>
              <w:color w:val="000000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ECE9EC9">
          <w:pPr>
            <w:pStyle w:val="3"/>
            <w:jc w:val="center"/>
            <w:rPr>
              <w:color w:val="000000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EB88C07">
          <w:pPr>
            <w:pStyle w:val="3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</w:tcBorders>
          <w:vAlign w:val="center"/>
        </w:tcPr>
        <w:p w14:paraId="3B4E75EF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F35FD0F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211EFDDD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4B33B2FC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743EE40C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48CDE96B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7791FE6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13ACEB25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23B90565">
          <w:pPr>
            <w:pStyle w:val="3"/>
            <w:jc w:val="center"/>
          </w:pPr>
          <w:r>
            <w:t> </w:t>
          </w:r>
        </w:p>
      </w:tc>
      <w:tc>
        <w:tcPr>
          <w:tcW w:w="280" w:type="dxa"/>
          <w:tcBorders>
            <w:top w:val="single" w:color="000000" w:sz="4" w:space="0"/>
            <w:left w:val="nil"/>
            <w:bottom w:val="single" w:color="000000" w:sz="4" w:space="0"/>
            <w:right w:val="single" w:color="000000" w:sz="4" w:space="0"/>
          </w:tcBorders>
          <w:vAlign w:val="center"/>
        </w:tcPr>
        <w:p w14:paraId="36C9056F">
          <w:pPr>
            <w:pStyle w:val="3"/>
            <w:jc w:val="center"/>
          </w:pPr>
          <w:r>
            <w:t> </w:t>
          </w:r>
        </w:p>
      </w:tc>
    </w:tr>
  </w:tbl>
  <w:p w14:paraId="50497FD1">
    <w:pPr>
      <w:pStyle w:val="3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tabs>
        <w:tab w:val="center" w:pos="4536"/>
        <w:tab w:val="center" w:pos="4820"/>
        <w:tab w:val="right" w:pos="9072"/>
        <w:tab w:val="right" w:pos="9214"/>
      </w:tabs>
      <w:jc w:val="right"/>
      <w:rPr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6A3DBC"/>
    <w:multiLevelType w:val="multilevel"/>
    <w:tmpl w:val="026A3D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45843A5"/>
    <w:multiLevelType w:val="multilevel"/>
    <w:tmpl w:val="045843A5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27CF6FBC"/>
    <w:multiLevelType w:val="multilevel"/>
    <w:tmpl w:val="27CF6FBC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29AD16FD"/>
    <w:multiLevelType w:val="multilevel"/>
    <w:tmpl w:val="29AD16FD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C86998"/>
    <w:multiLevelType w:val="multilevel"/>
    <w:tmpl w:val="2AC86998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2DCF1E74"/>
    <w:multiLevelType w:val="multilevel"/>
    <w:tmpl w:val="2DCF1E74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4BF10FF9"/>
    <w:multiLevelType w:val="multilevel"/>
    <w:tmpl w:val="4BF10FF9"/>
    <w:lvl w:ilvl="0" w:tentative="0">
      <w:start w:val="1"/>
      <w:numFmt w:val="lowerLetter"/>
      <w:lvlText w:val="(%1)"/>
      <w:lvlJc w:val="left"/>
      <w:pPr>
        <w:ind w:left="360" w:hanging="360"/>
      </w:pPr>
    </w:lvl>
    <w:lvl w:ilvl="1" w:tentative="0">
      <w:start w:val="1"/>
      <w:numFmt w:val="bullet"/>
      <w:lvlText w:val=""/>
      <w:lvlJc w:val="left"/>
      <w:pPr>
        <w:ind w:left="0" w:firstLine="0"/>
      </w:pPr>
    </w:lvl>
    <w:lvl w:ilvl="2" w:tentative="0">
      <w:start w:val="1"/>
      <w:numFmt w:val="bullet"/>
      <w:lvlText w:val=""/>
      <w:lvlJc w:val="left"/>
      <w:pPr>
        <w:ind w:left="0" w:firstLine="0"/>
      </w:pPr>
    </w:lvl>
    <w:lvl w:ilvl="3" w:tentative="0">
      <w:start w:val="1"/>
      <w:numFmt w:val="bullet"/>
      <w:lvlText w:val=""/>
      <w:lvlJc w:val="left"/>
      <w:pPr>
        <w:ind w:left="0" w:firstLine="0"/>
      </w:pPr>
    </w:lvl>
    <w:lvl w:ilvl="4" w:tentative="0">
      <w:start w:val="1"/>
      <w:numFmt w:val="bullet"/>
      <w:lvlText w:val=""/>
      <w:lvlJc w:val="left"/>
      <w:pPr>
        <w:ind w:left="0" w:firstLine="0"/>
      </w:pPr>
    </w:lvl>
    <w:lvl w:ilvl="5" w:tentative="0">
      <w:start w:val="1"/>
      <w:numFmt w:val="bullet"/>
      <w:lvlText w:val=""/>
      <w:lvlJc w:val="left"/>
      <w:pPr>
        <w:ind w:left="0" w:firstLine="0"/>
      </w:pPr>
    </w:lvl>
    <w:lvl w:ilvl="6" w:tentative="0">
      <w:start w:val="1"/>
      <w:numFmt w:val="bullet"/>
      <w:lvlText w:val=""/>
      <w:lvlJc w:val="left"/>
      <w:pPr>
        <w:ind w:left="0" w:firstLine="0"/>
      </w:pPr>
    </w:lvl>
    <w:lvl w:ilvl="7" w:tentative="0">
      <w:start w:val="1"/>
      <w:numFmt w:val="bullet"/>
      <w:lvlText w:val=""/>
      <w:lvlJc w:val="left"/>
      <w:pPr>
        <w:ind w:left="0" w:firstLine="0"/>
      </w:pPr>
    </w:lvl>
    <w:lvl w:ilvl="8" w:tentative="0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57A81F07"/>
    <w:multiLevelType w:val="multilevel"/>
    <w:tmpl w:val="57A81F07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89F0E58"/>
    <w:multiLevelType w:val="multilevel"/>
    <w:tmpl w:val="589F0E58"/>
    <w:lvl w:ilvl="0" w:tentative="0">
      <w:start w:val="0"/>
      <w:numFmt w:val="bullet"/>
      <w:lvlText w:val="-"/>
      <w:lvlJc w:val="left"/>
      <w:pPr>
        <w:ind w:left="720" w:hanging="360"/>
      </w:pPr>
      <w:rPr>
        <w:rFonts w:ascii="Times New Roman" w:hAnsi="Times New Roman" w:eastAsia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166347"/>
    <w:multiLevelType w:val="multilevel"/>
    <w:tmpl w:val="7E166347"/>
    <w:lvl w:ilvl="0" w:tentative="0">
      <w:start w:val="1"/>
      <w:numFmt w:val="lowerLetter"/>
      <w:lvlText w:val="%1)"/>
      <w:lvlJc w:val="left"/>
      <w:pPr>
        <w:ind w:left="786" w:hanging="360"/>
      </w:pPr>
    </w:lvl>
    <w:lvl w:ilvl="1" w:tentative="0">
      <w:start w:val="1"/>
      <w:numFmt w:val="lowerLetter"/>
      <w:lvlText w:val="%2."/>
      <w:lvlJc w:val="left"/>
      <w:pPr>
        <w:ind w:left="1506" w:hanging="360"/>
      </w:pPr>
    </w:lvl>
    <w:lvl w:ilvl="2" w:tentative="0">
      <w:start w:val="1"/>
      <w:numFmt w:val="lowerRoman"/>
      <w:lvlText w:val="%3."/>
      <w:lvlJc w:val="right"/>
      <w:pPr>
        <w:ind w:left="2226" w:hanging="180"/>
      </w:pPr>
    </w:lvl>
    <w:lvl w:ilvl="3" w:tentative="0">
      <w:start w:val="1"/>
      <w:numFmt w:val="decimal"/>
      <w:lvlText w:val="%4."/>
      <w:lvlJc w:val="left"/>
      <w:pPr>
        <w:ind w:left="2946" w:hanging="360"/>
      </w:pPr>
    </w:lvl>
    <w:lvl w:ilvl="4" w:tentative="0">
      <w:start w:val="1"/>
      <w:numFmt w:val="lowerLetter"/>
      <w:lvlText w:val="%5."/>
      <w:lvlJc w:val="left"/>
      <w:pPr>
        <w:ind w:left="3666" w:hanging="360"/>
      </w:pPr>
    </w:lvl>
    <w:lvl w:ilvl="5" w:tentative="0">
      <w:start w:val="1"/>
      <w:numFmt w:val="lowerRoman"/>
      <w:lvlText w:val="%6."/>
      <w:lvlJc w:val="right"/>
      <w:pPr>
        <w:ind w:left="4386" w:hanging="180"/>
      </w:pPr>
    </w:lvl>
    <w:lvl w:ilvl="6" w:tentative="0">
      <w:start w:val="1"/>
      <w:numFmt w:val="decimal"/>
      <w:lvlText w:val="%7."/>
      <w:lvlJc w:val="left"/>
      <w:pPr>
        <w:ind w:left="5106" w:hanging="360"/>
      </w:pPr>
    </w:lvl>
    <w:lvl w:ilvl="7" w:tentative="0">
      <w:start w:val="1"/>
      <w:numFmt w:val="lowerLetter"/>
      <w:lvlText w:val="%8."/>
      <w:lvlJc w:val="left"/>
      <w:pPr>
        <w:ind w:left="5826" w:hanging="360"/>
      </w:pPr>
    </w:lvl>
    <w:lvl w:ilvl="8" w:tentative="0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4"/>
  </w:num>
  <w:num w:numId="2">
    <w:abstractNumId w:val="9"/>
  </w:num>
  <w:num w:numId="3">
    <w:abstractNumId w:val="6"/>
  </w:num>
  <w:num w:numId="4">
    <w:abstractNumId w:val="3"/>
  </w:num>
  <w:num w:numId="5">
    <w:abstractNumId w:val="8"/>
  </w:num>
  <w:num w:numId="6">
    <w:abstractNumId w:val="2"/>
  </w:num>
  <w:num w:numId="7">
    <w:abstractNumId w:val="0"/>
  </w:num>
  <w:num w:numId="8">
    <w:abstractNumId w:val="5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674CFE"/>
    <w:rsid w:val="003275FE"/>
    <w:rsid w:val="00344DBA"/>
    <w:rsid w:val="003D3483"/>
    <w:rsid w:val="004D775C"/>
    <w:rsid w:val="0064194B"/>
    <w:rsid w:val="00674CFE"/>
    <w:rsid w:val="007D2615"/>
    <w:rsid w:val="008810A2"/>
    <w:rsid w:val="00A53DA6"/>
    <w:rsid w:val="00AA0C7F"/>
    <w:rsid w:val="00C37BBF"/>
    <w:rsid w:val="00F17219"/>
    <w:rsid w:val="07312282"/>
    <w:rsid w:val="0820105A"/>
    <w:rsid w:val="13024958"/>
    <w:rsid w:val="14655FC7"/>
    <w:rsid w:val="185955A4"/>
    <w:rsid w:val="187347BC"/>
    <w:rsid w:val="2E81303E"/>
    <w:rsid w:val="315A7B86"/>
    <w:rsid w:val="39BF4511"/>
    <w:rsid w:val="4211392A"/>
    <w:rsid w:val="45E8203F"/>
    <w:rsid w:val="59014095"/>
    <w:rsid w:val="65BE60CF"/>
    <w:rsid w:val="775C4B52"/>
    <w:rsid w:val="77F677C3"/>
    <w:rsid w:val="7D0776A7"/>
    <w:rsid w:val="7D59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2">
    <w:name w:val="heading 1"/>
    <w:basedOn w:val="3"/>
    <w:next w:val="3"/>
    <w:qFormat/>
    <w:uiPriority w:val="0"/>
    <w:pPr>
      <w:keepNext/>
      <w:ind w:left="786" w:hanging="360"/>
      <w:outlineLvl w:val="0"/>
    </w:pPr>
    <w:rPr>
      <w:b/>
      <w:smallCaps/>
      <w:sz w:val="18"/>
      <w:szCs w:val="18"/>
    </w:rPr>
  </w:style>
  <w:style w:type="paragraph" w:styleId="4">
    <w:name w:val="heading 2"/>
    <w:basedOn w:val="3"/>
    <w:next w:val="3"/>
    <w:uiPriority w:val="0"/>
    <w:pPr>
      <w:keepNext/>
      <w:ind w:left="360" w:hanging="360"/>
      <w:outlineLvl w:val="1"/>
    </w:pPr>
    <w:rPr>
      <w:b/>
      <w:sz w:val="18"/>
      <w:szCs w:val="18"/>
    </w:rPr>
  </w:style>
  <w:style w:type="paragraph" w:styleId="5">
    <w:name w:val="heading 3"/>
    <w:basedOn w:val="3"/>
    <w:next w:val="3"/>
    <w:uiPriority w:val="0"/>
    <w:pPr>
      <w:keepNext/>
      <w:spacing w:before="240" w:after="60"/>
      <w:outlineLvl w:val="2"/>
    </w:pPr>
    <w:rPr>
      <w:rFonts w:ascii="Cambria" w:hAnsi="Cambria" w:eastAsia="Cambria" w:cs="Cambria"/>
      <w:b/>
      <w:sz w:val="26"/>
      <w:szCs w:val="26"/>
    </w:rPr>
  </w:style>
  <w:style w:type="paragraph" w:styleId="6">
    <w:name w:val="heading 4"/>
    <w:basedOn w:val="3"/>
    <w:next w:val="3"/>
    <w:qFormat/>
    <w:uiPriority w:val="0"/>
    <w:pPr>
      <w:keepNext/>
      <w:spacing w:before="240" w:after="60"/>
      <w:outlineLvl w:val="3"/>
    </w:pPr>
    <w:rPr>
      <w:rFonts w:ascii="Arial Narrow" w:hAnsi="Arial Narrow" w:eastAsia="Arial Narrow" w:cs="Arial Narrow"/>
      <w:b/>
      <w:sz w:val="28"/>
      <w:szCs w:val="28"/>
    </w:rPr>
  </w:style>
  <w:style w:type="paragraph" w:styleId="7">
    <w:name w:val="heading 5"/>
    <w:basedOn w:val="3"/>
    <w:next w:val="3"/>
    <w:qFormat/>
    <w:uiPriority w:val="0"/>
    <w:pPr>
      <w:spacing w:before="240" w:after="60"/>
      <w:outlineLvl w:val="4"/>
    </w:pPr>
    <w:rPr>
      <w:rFonts w:ascii="Arial Narrow" w:hAnsi="Arial Narrow" w:eastAsia="Arial Narrow" w:cs="Arial Narrow"/>
      <w:b/>
      <w:i/>
      <w:sz w:val="26"/>
      <w:szCs w:val="26"/>
    </w:rPr>
  </w:style>
  <w:style w:type="paragraph" w:styleId="8">
    <w:name w:val="heading 6"/>
    <w:basedOn w:val="3"/>
    <w:next w:val="3"/>
    <w:uiPriority w:val="0"/>
    <w:pPr>
      <w:keepNext/>
      <w:outlineLvl w:val="5"/>
    </w:pPr>
    <w:rPr>
      <w:b/>
      <w:smallCaps/>
      <w:sz w:val="32"/>
      <w:szCs w:val="32"/>
    </w:rPr>
  </w:style>
  <w:style w:type="character" w:default="1" w:styleId="9">
    <w:name w:val="Default Paragraph Font"/>
    <w:semiHidden/>
    <w:unhideWhenUsed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paragraph" w:styleId="11">
    <w:name w:val="footer"/>
    <w:basedOn w:val="1"/>
    <w:link w:val="23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2">
    <w:name w:val="header"/>
    <w:basedOn w:val="1"/>
    <w:link w:val="22"/>
    <w:semiHidden/>
    <w:unhideWhenUsed/>
    <w:qFormat/>
    <w:uiPriority w:val="99"/>
    <w:pPr>
      <w:tabs>
        <w:tab w:val="center" w:pos="4536"/>
        <w:tab w:val="right" w:pos="9072"/>
      </w:tabs>
    </w:pPr>
  </w:style>
  <w:style w:type="paragraph" w:styleId="13">
    <w:name w:val="Subtitle"/>
    <w:basedOn w:val="3"/>
    <w:next w:val="3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after="60"/>
      <w:jc w:val="center"/>
    </w:pPr>
    <w:rPr>
      <w:rFonts w:ascii="Cambria" w:hAnsi="Cambria" w:eastAsia="Cambria" w:cs="Cambria"/>
      <w:color w:val="000000"/>
      <w:sz w:val="22"/>
      <w:szCs w:val="22"/>
    </w:rPr>
  </w:style>
  <w:style w:type="paragraph" w:styleId="14">
    <w:name w:val="Title"/>
    <w:basedOn w:val="3"/>
    <w:next w:val="3"/>
    <w:qFormat/>
    <w:uiPriority w:val="0"/>
    <w:pPr>
      <w:keepNext/>
      <w:spacing w:after="220"/>
      <w:jc w:val="center"/>
    </w:pPr>
    <w:rPr>
      <w:rFonts w:ascii="Arial Narrow" w:hAnsi="Arial Narrow" w:eastAsia="Arial Narrow" w:cs="Arial Narrow"/>
      <w:b/>
      <w:sz w:val="22"/>
      <w:szCs w:val="22"/>
    </w:rPr>
  </w:style>
  <w:style w:type="table" w:customStyle="1" w:styleId="15">
    <w:name w:val="Table Normal1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6">
    <w:name w:val="_Style 13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7">
    <w:name w:val="_Style 14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8">
    <w:name w:val="_Style 15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19">
    <w:name w:val="_Style 16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0">
    <w:name w:val="_Style 17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21">
    <w:name w:val="_Style 18"/>
    <w:basedOn w:val="15"/>
    <w:qFormat/>
    <w:uiPriority w:val="0"/>
    <w:tblPr>
      <w:tblCellMar>
        <w:top w:w="0" w:type="dxa"/>
        <w:left w:w="70" w:type="dxa"/>
        <w:bottom w:w="0" w:type="dxa"/>
        <w:right w:w="70" w:type="dxa"/>
      </w:tblCellMar>
    </w:tblPr>
  </w:style>
  <w:style w:type="character" w:customStyle="1" w:styleId="22">
    <w:name w:val="Hlavička Char"/>
    <w:basedOn w:val="9"/>
    <w:link w:val="12"/>
    <w:semiHidden/>
    <w:qFormat/>
    <w:uiPriority w:val="99"/>
  </w:style>
  <w:style w:type="character" w:customStyle="1" w:styleId="23">
    <w:name w:val="Päta Char"/>
    <w:basedOn w:val="9"/>
    <w:link w:val="11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1801</Words>
  <Characters>10272</Characters>
  <Lines>85</Lines>
  <Paragraphs>24</Paragraphs>
  <TotalTime>65</TotalTime>
  <ScaleCrop>false</ScaleCrop>
  <LinksUpToDate>false</LinksUpToDate>
  <CharactersWithSpaces>12049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2022-06-24T06:00:00Z</dcterms:created>
  <dc:creator>PC</dc:creator>
  <cp:lastModifiedBy>Renáta Surmánková</cp:lastModifiedBy>
  <dcterms:modified xsi:type="dcterms:W3CDTF">2026-03-06T13:23:27Z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16571832BFD548B097B0AE04C53E3D07</vt:lpwstr>
  </property>
</Properties>
</file>