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bottom w:val="single" w:sz="6" w:space="0" w:color="000000"/>
        </w:pBdr>
        <w:spacing w:before="0" w:after="140"/>
        <w:jc w:val="center"/>
        <w:rPr/>
      </w:pPr>
      <w:r>
        <w:rPr>
          <w:rFonts w:eastAsia="Arial" w:cs="Arial"/>
          <w:b/>
          <w:bCs/>
          <w:sz w:val="28"/>
          <w:szCs w:val="28"/>
        </w:rPr>
        <w:t>Poznámky (Úč NUJ 3 – 01)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2600"/>
        <w:gridCol w:w="6660"/>
      </w:tblGrid>
      <w:tr>
        <w:trPr/>
        <w:tc>
          <w:tcPr>
            <w:tcW w:w="260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Obchodné meno:</w:t>
            </w:r>
          </w:p>
        </w:tc>
        <w:tc>
          <w:tcPr>
            <w:tcW w:w="666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sz w:val="20"/>
                <w:szCs w:val="20"/>
              </w:rPr>
              <w:t>MONTE PLUS</w:t>
            </w:r>
          </w:p>
        </w:tc>
      </w:tr>
      <w:tr>
        <w:trPr/>
        <w:tc>
          <w:tcPr>
            <w:tcW w:w="260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IČO:</w:t>
            </w:r>
          </w:p>
        </w:tc>
        <w:tc>
          <w:tcPr>
            <w:tcW w:w="666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sz w:val="20"/>
                <w:szCs w:val="20"/>
              </w:rPr>
              <w:t>50120352</w:t>
            </w:r>
          </w:p>
        </w:tc>
      </w:tr>
      <w:tr>
        <w:trPr/>
        <w:tc>
          <w:tcPr>
            <w:tcW w:w="260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Sídlo:</w:t>
            </w:r>
          </w:p>
        </w:tc>
        <w:tc>
          <w:tcPr>
            <w:tcW w:w="666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sz w:val="20"/>
                <w:szCs w:val="20"/>
              </w:rPr>
              <w:t>Kučovanická 2707/13, 841 06 Bratislava</w:t>
            </w:r>
          </w:p>
        </w:tc>
      </w:tr>
      <w:tr>
        <w:trPr/>
        <w:tc>
          <w:tcPr>
            <w:tcW w:w="260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Kontakt:</w:t>
            </w:r>
          </w:p>
        </w:tc>
        <w:tc>
          <w:tcPr>
            <w:tcW w:w="666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sz w:val="20"/>
                <w:szCs w:val="20"/>
              </w:rPr>
              <w:t>0904 222 252  |  info@b-pro.sk</w:t>
            </w:r>
          </w:p>
        </w:tc>
      </w:tr>
      <w:tr>
        <w:trPr/>
        <w:tc>
          <w:tcPr>
            <w:tcW w:w="260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Účtovné obdobie:</w:t>
            </w:r>
          </w:p>
        </w:tc>
        <w:tc>
          <w:tcPr>
            <w:tcW w:w="666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sz w:val="20"/>
                <w:szCs w:val="20"/>
              </w:rPr>
              <w:t>01. 01. 2025 – 31. 12. 2025</w:t>
            </w:r>
          </w:p>
        </w:tc>
      </w:tr>
      <w:tr>
        <w:trPr/>
        <w:tc>
          <w:tcPr>
            <w:tcW w:w="260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Dátum zostavenia:</w:t>
            </w:r>
          </w:p>
        </w:tc>
        <w:tc>
          <w:tcPr>
            <w:tcW w:w="6660" w:type="dxa"/>
            <w:tcBorders/>
          </w:tcPr>
          <w:p>
            <w:pPr>
              <w:pStyle w:val="Normal"/>
              <w:spacing w:before="40" w:after="40"/>
              <w:rPr/>
            </w:pPr>
            <w:r>
              <w:rPr>
                <w:rFonts w:eastAsia="Arial" w:cs="Arial"/>
                <w:sz w:val="20"/>
                <w:szCs w:val="20"/>
              </w:rPr>
              <w:t>31. 03. 2026</w:t>
            </w:r>
          </w:p>
        </w:tc>
      </w:tr>
    </w:tbl>
    <w:p>
      <w:pPr>
        <w:pStyle w:val="Normal"/>
        <w:spacing w:before="0" w:after="180"/>
        <w:rPr/>
      </w:pPr>
      <w:r>
        <w:rPr/>
      </w:r>
    </w:p>
    <w:p>
      <w:pPr>
        <w:pStyle w:val="Normal"/>
        <w:pBdr>
          <w:bottom w:val="single" w:sz="6" w:space="0" w:color="2C5F8A"/>
        </w:pBdr>
        <w:spacing w:before="280" w:after="100"/>
        <w:rPr/>
      </w:pPr>
      <w:r>
        <w:rPr>
          <w:rFonts w:eastAsia="Arial" w:cs="Arial"/>
          <w:b/>
          <w:bCs/>
          <w:sz w:val="26"/>
          <w:szCs w:val="26"/>
        </w:rPr>
        <w:t>Čl. I – Všeobecné informácie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(1) Zakladateľ / zriaďovateľ a dátum vzniku:</w:t>
      </w:r>
    </w:p>
    <w:p>
      <w:pPr>
        <w:pStyle w:val="Normal"/>
        <w:spacing w:before="40" w:after="40"/>
        <w:rPr/>
      </w:pPr>
      <w:r>
        <w:rPr>
          <w:rFonts w:eastAsia="Arial" w:cs="Arial"/>
          <w:i/>
          <w:iCs/>
          <w:color w:val="666666"/>
          <w:sz w:val="20"/>
          <w:szCs w:val="20"/>
        </w:rPr>
        <w:t>[Doplniť: meno a priezvisko / názov právnickej osoby, ktorá je zakladateľom alebo zriaďovateľom MONTE PLUS, a dátum vzniku / zriadenia]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(2) Štatutárne orgány, dozorné orgány a iné orgány:</w:t>
      </w:r>
    </w:p>
    <w:p>
      <w:pPr>
        <w:pStyle w:val="Normal"/>
        <w:spacing w:before="40" w:after="40"/>
        <w:rPr/>
      </w:pPr>
      <w:r>
        <w:rPr>
          <w:rFonts w:eastAsia="Arial" w:cs="Arial"/>
          <w:i/>
          <w:iCs/>
          <w:color w:val="666666"/>
          <w:sz w:val="20"/>
          <w:szCs w:val="20"/>
        </w:rPr>
        <w:t>[Doplniť: mená a priezviská členov štatutárnych orgánov a dozorných orgánov]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(3) Opis činnosti: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MONTE PLUS je nezisková organizácia vykonávajúca hlavnú (nezdaňovanú) činnosť, na ktorú bola zriadená, a súčasne zdaňovanú hospodársku činnosť (eshop). V roku 2025 dosiahla tržby z predaja služieb 42 943,85 EUR (hlavná činnosť), tržby za vlastné výrobky 6 755,75 EUR (hospodárska činnosť) a dotácie 5 607,18 EUR.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(4) Zamestnanci a dobrovoľníci: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5370"/>
        <w:gridCol w:w="2038"/>
        <w:gridCol w:w="1852"/>
      </w:tblGrid>
      <w:tr>
        <w:trPr/>
        <w:tc>
          <w:tcPr>
            <w:tcW w:w="537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Ukazovateľ</w:t>
            </w:r>
          </w:p>
        </w:tc>
        <w:tc>
          <w:tcPr>
            <w:tcW w:w="20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BÚO 2025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Počet hodín dobrovoľníkov</w:t>
            </w:r>
          </w:p>
        </w:tc>
      </w:tr>
      <w:tr>
        <w:trPr/>
        <w:tc>
          <w:tcPr>
            <w:tcW w:w="537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0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×</w:t>
            </w:r>
          </w:p>
        </w:tc>
      </w:tr>
      <w:tr>
        <w:trPr/>
        <w:tc>
          <w:tcPr>
            <w:tcW w:w="537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z toho počet vedúcich zamestnancov</w:t>
            </w:r>
          </w:p>
        </w:tc>
        <w:tc>
          <w:tcPr>
            <w:tcW w:w="20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×</w:t>
            </w:r>
          </w:p>
        </w:tc>
      </w:tr>
      <w:tr>
        <w:trPr/>
        <w:tc>
          <w:tcPr>
            <w:tcW w:w="537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Počet dobrovoľníkov vyslaných účtovnou jednotkou</w:t>
            </w:r>
          </w:p>
        </w:tc>
        <w:tc>
          <w:tcPr>
            <w:tcW w:w="20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537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Počet dobrovoľníkov vykonávajúcich činnosť pre ÚJ</w:t>
            </w:r>
          </w:p>
        </w:tc>
        <w:tc>
          <w:tcPr>
            <w:tcW w:w="20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Mzdové náklady (521): 5 209,32 EUR; zákonné sociálne a zdravotné poistenie (524): 1 834,55 EUR; zákonné sociálne náklady / tvorba soc. fondu (527): 3,78 EUR.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(5) Organizačná štruktúra: [Doplniť]</w:t>
      </w:r>
    </w:p>
    <w:p>
      <w:pPr>
        <w:pStyle w:val="Normal"/>
        <w:spacing w:before="40" w:after="80"/>
        <w:rPr/>
      </w:pPr>
      <w:r>
        <w:rPr>
          <w:rFonts w:eastAsia="Arial" w:cs="Arial"/>
          <w:sz w:val="20"/>
          <w:szCs w:val="20"/>
        </w:rPr>
        <w:t>(6) Organizácie v zriaďovateľskej pôsobnosti: nie sú.</w:t>
      </w:r>
    </w:p>
    <w:p>
      <w:pPr>
        <w:pStyle w:val="Normal"/>
        <w:pBdr>
          <w:bottom w:val="single" w:sz="6" w:space="0" w:color="2C5F8A"/>
        </w:pBdr>
        <w:spacing w:before="280" w:after="100"/>
        <w:rPr/>
      </w:pPr>
      <w:r>
        <w:rPr>
          <w:rFonts w:eastAsia="Arial" w:cs="Arial"/>
          <w:b/>
          <w:bCs/>
          <w:sz w:val="26"/>
          <w:szCs w:val="26"/>
        </w:rPr>
        <w:t>Čl. II – Informácie o účtovných zásadách a účtovných metódach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(1) Účtovná závierka za rok 2025 je zostavená za predpokladu nepretržitého pokračovania činnosti.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(2) V priebehu roku 2025 nedošlo k zmenám účtovných zásad ani metód oproti predchádzajúcemu obdobiu.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(3) Spôsoby ocenenia: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 xml:space="preserve">– </w:t>
      </w:r>
      <w:r>
        <w:rPr>
          <w:rFonts w:eastAsia="Arial" w:cs="Arial"/>
          <w:sz w:val="20"/>
          <w:szCs w:val="20"/>
        </w:rPr>
        <w:t>Zásoby výrobkov (účet 123): v nákladoch na výrobu / obstarávacích cenách.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 xml:space="preserve">– </w:t>
      </w:r>
      <w:r>
        <w:rPr>
          <w:rFonts w:eastAsia="Arial" w:cs="Arial"/>
          <w:sz w:val="20"/>
          <w:szCs w:val="20"/>
        </w:rPr>
        <w:t>Krátkodobé pohľadávky a záväzky: v menovitých hodnotách.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 xml:space="preserve">– </w:t>
      </w:r>
      <w:r>
        <w:rPr>
          <w:rFonts w:eastAsia="Arial" w:cs="Arial"/>
          <w:sz w:val="20"/>
          <w:szCs w:val="20"/>
        </w:rPr>
        <w:t>Peňažné prostriedky: v menovitej hodnote.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 xml:space="preserve">– </w:t>
      </w:r>
      <w:r>
        <w:rPr>
          <w:rFonts w:eastAsia="Arial" w:cs="Arial"/>
          <w:sz w:val="20"/>
          <w:szCs w:val="20"/>
        </w:rPr>
        <w:t>Dlhodobý nehmotný majetok (účty 012): v obstarávacích cenách.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(4) Odpisový plán dlhodobého nehmotného majetku: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3704"/>
        <w:gridCol w:w="1852"/>
        <w:gridCol w:w="1852"/>
        <w:gridCol w:w="1852"/>
      </w:tblGrid>
      <w:tr>
        <w:trPr/>
        <w:tc>
          <w:tcPr>
            <w:tcW w:w="3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Druh dlhodobého majetku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Odpisová metóda</w:t>
            </w:r>
          </w:p>
        </w:tc>
      </w:tr>
      <w:tr>
        <w:trPr/>
        <w:tc>
          <w:tcPr>
            <w:tcW w:w="3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012000 – Nehmotné výsledky z vývojovej a obdobnej činnosti (500,00 EUR)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[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3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012001 – Eshop (1 200,00 EUR)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  <w:tc>
          <w:tcPr>
            <w:tcW w:w="18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Poznámka: V roku 2025 neboli zaúčtované žiadne odpisy dlhodobého nehmotného majetku (Brutto = Netto = 1 700,00 EUR v oboch obdobiach).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(5) Opravné položky a rezervy: V roku 2025 účtovná jednotka netvorila opravné položky k pohľadávkam ani zákonné ani ostatné rezervy.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(6) V roku 2025 nedošlo k opravám chýb minulých účtovných období s vplyvom na výsledok hospodárenia.</w:t>
      </w:r>
    </w:p>
    <w:p>
      <w:pPr>
        <w:pStyle w:val="Normal"/>
        <w:spacing w:before="0" w:after="120"/>
        <w:rPr/>
      </w:pPr>
      <w:r>
        <w:rPr/>
      </w:r>
    </w:p>
    <w:p>
      <w:pPr>
        <w:pStyle w:val="Normal"/>
        <w:pBdr>
          <w:bottom w:val="single" w:sz="6" w:space="0" w:color="2C5F8A"/>
        </w:pBdr>
        <w:spacing w:before="280" w:after="100"/>
        <w:rPr/>
      </w:pPr>
      <w:r>
        <w:rPr>
          <w:rFonts w:eastAsia="Arial" w:cs="Arial"/>
          <w:b/>
          <w:bCs/>
          <w:sz w:val="26"/>
          <w:szCs w:val="26"/>
        </w:rPr>
        <w:t>Čl. III – Informácie dopĺňajúce a vysvetľujúce údaje v súvahe</w:t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Dlhodobý nehmotný majetok (A.I)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Celková obstarávacia cena: 1 700,00 EUR (bez zmeny oproti roku 2024). V roku 2025 nedošlo k žiadnym prírastkom ani úbytkom.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Analytický účet / opis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Brutto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Netto = Brutto (EUR)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012000 – Nehmotné výsledky z vývoj. a obdobnej činn.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500,00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500,00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012001 – Eshop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1 200,00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1 200,00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1 700,00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1 700,00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Zásoby – Výrobky (B.I)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Stav zásob vlastných výrobkov (účet 123):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Zásoby (účet 123 – Výrobky)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2024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2025 (EUR)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B.I.3 Výrobky (123)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16 136,27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8 702,28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Zníženie – predané výrobky (504) za rok 2025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7 433,99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Krátkodobé pohľadávky (B.III)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2024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2025 (EUR)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B.III.1 Pohľadávky z obchodného styku (311 Odberatelia)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8 233,05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3 201,10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B.III.8 Iné pohľadávky (315 – Commgate / Trustpay / SumUp)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60,69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B.III Krátkodobé pohľadávky spolu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8 293,74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3 201,10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Prehľad podľa lehoty splatnosti (účet 311):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Pohľadávky 311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2024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2025 (EUR)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do uplynutia lehoty splatnosti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3201,1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po uplynutí lehoty splatnosti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8 233,05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3 201,10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Finančné účty (B.IV)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Finančné účty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2024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2025 (EUR)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211 Pokladnica (211000 + 211002)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3,59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1 212,11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221 Bankové účty (221000 + 221002)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6 398,35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4 135,94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B.IV Finančné účty spolu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6 401,94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5 348,05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Zmeny vlastného imania (A)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Vlastné imanie tvorí výlučne nevysporiadaný výsledok hospodárenia minulých rokov (účet 428) a výsledok bežného obdobia (účet 431 → prevod). Spoločnosť nemá základné imanie ani fondy tvorené zo zisku.</w:t>
      </w:r>
    </w:p>
    <w:p>
      <w:pPr>
        <w:pStyle w:val="Normal"/>
        <w:spacing w:before="0" w:after="100"/>
        <w:rPr/>
      </w:pPr>
      <w:r>
        <w:rPr/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3241"/>
        <w:gridCol w:w="1574"/>
        <w:gridCol w:w="1111"/>
        <w:gridCol w:w="1111"/>
        <w:gridCol w:w="1111"/>
        <w:gridCol w:w="1112"/>
      </w:tblGrid>
      <w:tr>
        <w:trPr/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15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Stav 01.01.2025 (EUR)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Prírastky (+)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Úbytky (–)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Presun</w:t>
            </w:r>
          </w:p>
        </w:tc>
        <w:tc>
          <w:tcPr>
            <w:tcW w:w="11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Stav 31.12.2025 (EUR)</w:t>
            </w:r>
          </w:p>
        </w:tc>
      </w:tr>
      <w:tr>
        <w:trPr/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A.I Imanie a fondy</w:t>
            </w:r>
          </w:p>
        </w:tc>
        <w:tc>
          <w:tcPr>
            <w:tcW w:w="15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A.II Fondy tvorené zo zisku</w:t>
            </w:r>
          </w:p>
        </w:tc>
        <w:tc>
          <w:tcPr>
            <w:tcW w:w="15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A.III Nevysporiadaný VH min. rokov (428)</w:t>
            </w:r>
          </w:p>
        </w:tc>
        <w:tc>
          <w:tcPr>
            <w:tcW w:w="15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14 109,03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14 219,72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28 328,75</w:t>
            </w:r>
          </w:p>
        </w:tc>
      </w:tr>
      <w:tr>
        <w:trPr/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A.IV VH za bežné účtovné obdobie</w:t>
            </w:r>
          </w:p>
        </w:tc>
        <w:tc>
          <w:tcPr>
            <w:tcW w:w="15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14 219,72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14 219,72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–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11 636,10</w:t>
            </w:r>
          </w:p>
        </w:tc>
      </w:tr>
      <w:tr>
        <w:trPr/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A Vlastné imanie spolu</w:t>
            </w:r>
          </w:p>
        </w:tc>
        <w:tc>
          <w:tcPr>
            <w:tcW w:w="15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28 328,75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14 219,72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14 219,72</w:t>
            </w:r>
          </w:p>
        </w:tc>
        <w:tc>
          <w:tcPr>
            <w:tcW w:w="111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11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16 692,65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Vysvetlenie: VH 2024 (14 219,72 EUR) bol v roku 2025 prevedený na účet 428 (nevysporiadaný VH). VH 2025 (–11 636,10 EUR) je tvorený stratou hlavnej činnosti –10 865,59 EUR a stratou hospodárskej činnosti –770,51 EUR.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b/>
          <w:bCs/>
          <w:sz w:val="20"/>
          <w:szCs w:val="20"/>
        </w:rPr>
        <w:t xml:space="preserve">Rozdelenie VH bezprostredne predchádzajúceho obdobia (2024): </w:t>
      </w:r>
      <w:r>
        <w:rPr>
          <w:rFonts w:eastAsia="Arial" w:cs="Arial"/>
          <w:sz w:val="20"/>
          <w:szCs w:val="20"/>
        </w:rPr>
        <w:t>Zisk 14 219,72 EUR bol prevedený do nevysporiadaného VH minulých rokov (428004).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Záväzky (B)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815"/>
        <w:gridCol w:w="2222"/>
        <w:gridCol w:w="2223"/>
      </w:tblGrid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2024 (EUR)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2025 (EUR)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B.II Dlhodobé záväzky – Záväzky zo sociálneho fondu (472)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422,13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425,91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B.III Krátkodobé záväzky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3 781,07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1 832,87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B.III.1  Záväzky z obch. styku (321+324+325)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835,05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1 230,12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   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321 Dodávatelia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403,40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855,71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   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324 Prijaté preddavky (Rožiaková)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326,51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357,46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   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325 Ostatné záväzky (karta, chybné doklady)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105,14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16,95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B.III.2  Záväzky voči zamestnancom (331)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395,12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56,97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B.III.3  Zúčtovanie SP a zdravotných poisťovní (336)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309,46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93,08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B.III.4  Daňové záväzky (342 + 345 + 341)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294,26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31,87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   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342 Ostatné priame dane (preddavky z miezd)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98,49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13,37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   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345 Daň z motorových vozidiel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103,60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18,50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   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341 Daň z príjmov (záväzok z roku 2024, vyrovnaný v 2025)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92,17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B.III.5  Záväzky z fin. vzťahov k štátnemu rozpočtu (346 – ERAZMUS)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1 847,18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B.III.7  Záväzky voči účastníkom združení (368)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100,00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420,83</w:t>
            </w:r>
          </w:p>
        </w:tc>
      </w:tr>
      <w:tr>
        <w:trPr/>
        <w:tc>
          <w:tcPr>
            <w:tcW w:w="4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B Záväzky spolu</w:t>
            </w:r>
          </w:p>
        </w:tc>
        <w:tc>
          <w:tcPr>
            <w:tcW w:w="22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4 203,20</w:t>
            </w:r>
          </w:p>
        </w:tc>
        <w:tc>
          <w:tcPr>
            <w:tcW w:w="2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2 258,78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Poznámka ERAZMUS (účet 346): Záväzok voči štátnemu rozpočtu vo výške 1 847,18 EUR z roku 2024 (nevyčerpaná dotácia ERAZMUS) bol v decembri 2025 vyrovnaný – zaúčtovaný ako 691 Dotácie, čo predstavuje jeho uznanie za bežné účtovné obdobie.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Prehľad záväzkov podľa lehoty splatnosti (B.III):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Záväzky B.III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2024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31. 12. 2025 (EUR)</w:t>
            </w:r>
          </w:p>
        </w:tc>
      </w:tr>
      <w:tr>
        <w:trPr>
          <w:trHeight w:val="267" w:hRule="atLeast"/>
        </w:trPr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do uplynutia lehoty splatnosti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3781,07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]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1832,87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 xml:space="preserve">– 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po uplynutí lehoty splatnosti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3 781,07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1 832,87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Sociálny fond (účet 472) – B.II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6482"/>
        <w:gridCol w:w="2778"/>
      </w:tblGrid>
      <w:tr>
        <w:trPr/>
        <w:tc>
          <w:tcPr>
            <w:tcW w:w="648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Pohyby sociálneho fondu v roku 2025</w:t>
            </w:r>
          </w:p>
        </w:tc>
        <w:tc>
          <w:tcPr>
            <w:tcW w:w="27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Suma (EUR)</w:t>
            </w:r>
          </w:p>
        </w:tc>
      </w:tr>
      <w:tr>
        <w:trPr/>
        <w:tc>
          <w:tcPr>
            <w:tcW w:w="648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Stav k 01. 01. 2025 (zač. zostatok 472)</w:t>
            </w:r>
          </w:p>
        </w:tc>
        <w:tc>
          <w:tcPr>
            <w:tcW w:w="27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422,13</w:t>
            </w:r>
          </w:p>
        </w:tc>
      </w:tr>
      <w:tr>
        <w:trPr/>
        <w:tc>
          <w:tcPr>
            <w:tcW w:w="648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Tvorba na ťarchu nákladov (527000 – mesačne 0,42 EUR × 9 mesiacov)</w:t>
            </w:r>
          </w:p>
        </w:tc>
        <w:tc>
          <w:tcPr>
            <w:tcW w:w="27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+3,78</w:t>
            </w:r>
          </w:p>
        </w:tc>
      </w:tr>
      <w:tr>
        <w:trPr/>
        <w:tc>
          <w:tcPr>
            <w:tcW w:w="648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Tvorba zo zisku</w:t>
            </w:r>
          </w:p>
        </w:tc>
        <w:tc>
          <w:tcPr>
            <w:tcW w:w="27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648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Čerpanie</w:t>
            </w:r>
          </w:p>
        </w:tc>
        <w:tc>
          <w:tcPr>
            <w:tcW w:w="27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648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Stav k 31. 12. 2025</w:t>
            </w:r>
          </w:p>
        </w:tc>
        <w:tc>
          <w:tcPr>
            <w:tcW w:w="27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425,91</w:t>
            </w:r>
          </w:p>
        </w:tc>
      </w:tr>
    </w:tbl>
    <w:p>
      <w:pPr>
        <w:pStyle w:val="Normal"/>
        <w:spacing w:before="0" w:after="120"/>
        <w:rPr/>
      </w:pPr>
      <w:r>
        <w:rPr/>
      </w:r>
    </w:p>
    <w:p>
      <w:pPr>
        <w:pStyle w:val="Normal"/>
        <w:pBdr>
          <w:bottom w:val="single" w:sz="6" w:space="0" w:color="2C5F8A"/>
        </w:pBdr>
        <w:spacing w:before="280" w:after="100"/>
        <w:rPr/>
      </w:pPr>
      <w:r>
        <w:rPr>
          <w:rFonts w:eastAsia="Arial" w:cs="Arial"/>
          <w:b/>
          <w:bCs/>
          <w:sz w:val="26"/>
          <w:szCs w:val="26"/>
        </w:rPr>
        <w:t>Čl. IV – Informácie dopĺňajúce a vysvetľujúce údaje vo Výkaze ziskov a strát</w:t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Prehľad tržieb za vlastné výkony a tovar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Druh a opis tržieb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Hlavná nezdaň. činn. 2025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Zdaňovaná činn. 2025 (EUR)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602 – Tržby z predaja služieb (hlavná činnosť)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42 943,85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601 – Tržby za vlastné výrobky (eshop – hosp. činn.)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6 755,75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Tržby spolu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42 943,85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6 755,75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Ostatné výnosy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Druh a opis výnosov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r. 2024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r. 2025 (EUR)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649 – Iné ostatné výnosy (preplatky – 649999)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191,00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140,80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665 – Príspevky z podielu zaplatenej dane (2%)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365,95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348,54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Dotácie (691)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Druh a opis dotácie / grantu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r. 2024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r. 2025 (EUR)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691 – Dotácia (jún 2025 – [doplniť poskytovateľa])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2 656,01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3 760,00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691 – ERAZMUS – uznanie záväzku r. 2024 v r. 2025 (346→691, dec. 2025)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—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1 847,18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Dotácie spolu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2 656,01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5 607,18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Podiel zaplatenej dane (2%) – 665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Prijaté 348,54 EUR (september 2025). Prehľad použitia: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5092"/>
        <w:gridCol w:w="2084"/>
        <w:gridCol w:w="2084"/>
      </w:tblGrid>
      <w:tr>
        <w:trPr/>
        <w:tc>
          <w:tcPr>
            <w:tcW w:w="50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Účel použitia</w:t>
            </w:r>
          </w:p>
        </w:tc>
        <w:tc>
          <w:tcPr>
            <w:tcW w:w="20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Suma z predch. obd. (EUR)</w:t>
            </w:r>
          </w:p>
        </w:tc>
        <w:tc>
          <w:tcPr>
            <w:tcW w:w="20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Suma z BÚO (EUR)</w:t>
            </w:r>
          </w:p>
        </w:tc>
      </w:tr>
      <w:tr>
        <w:trPr/>
        <w:tc>
          <w:tcPr>
            <w:tcW w:w="50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[Doplniť účel]</w:t>
            </w:r>
          </w:p>
        </w:tc>
        <w:tc>
          <w:tcPr>
            <w:tcW w:w="20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[doplniť]</w:t>
            </w:r>
          </w:p>
        </w:tc>
        <w:tc>
          <w:tcPr>
            <w:tcW w:w="20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[doplniť]</w:t>
            </w:r>
          </w:p>
        </w:tc>
      </w:tr>
      <w:tr>
        <w:trPr/>
        <w:tc>
          <w:tcPr>
            <w:tcW w:w="50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Zostatok k 31. 12. 2025</w:t>
            </w:r>
          </w:p>
        </w:tc>
        <w:tc>
          <w:tcPr>
            <w:tcW w:w="20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[doplniť]</w:t>
            </w:r>
          </w:p>
        </w:tc>
        <w:tc>
          <w:tcPr>
            <w:tcW w:w="20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[doplniť]</w:t>
            </w:r>
          </w:p>
        </w:tc>
      </w:tr>
    </w:tbl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Prehľad nákladov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1389"/>
        <w:gridCol w:w="3241"/>
        <w:gridCol w:w="2315"/>
        <w:gridCol w:w="2315"/>
      </w:tblGrid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r. 2024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r. 2025 (EUR)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501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Spotreba materiálu (mat. 501009+501001+501002; eshop 501005)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6 662,88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5 541,95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504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Predaný tovar (eshop 504000)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7 739,82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7 739,82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512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Cestovné (512000)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124,55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354,84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518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Ostatné služby (518000+518001+518004 eshop)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51 953,70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46 237,36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521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Mzdové náklady (521000)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2 300,23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5 209,32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524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Zákonné sociálne a zdrav. poistenie (524000)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807,43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1 834,55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527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Zákonné sociálne náklady – tvorba soc. fondu (527000)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4,62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3,78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531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Daň z motorových vozidiel (531000)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177,60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18,50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545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Kurzové straty (545000)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16,16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23,48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547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Osobitné náklady (547000)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92,20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381,13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549</w:t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Iné ostatné náklady (549000)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157,65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87,49</w:t>
            </w:r>
          </w:p>
        </w:tc>
      </w:tr>
      <w:tr>
        <w:trPr/>
        <w:tc>
          <w:tcPr>
            <w:tcW w:w="13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/>
            </w:r>
          </w:p>
        </w:tc>
        <w:tc>
          <w:tcPr>
            <w:tcW w:w="324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Náklady ÚT 5 spolu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65 232,73 *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67 432,22</w:t>
            </w:r>
          </w:p>
        </w:tc>
      </w:tr>
    </w:tbl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* vrátane dane z príjmov 2024: 92,17 EUR (591).</w:t>
      </w:r>
    </w:p>
    <w:p>
      <w:pPr>
        <w:pStyle w:val="Normal"/>
        <w:spacing w:before="0" w:after="100"/>
        <w:rPr/>
      </w:pPr>
      <w:r>
        <w:rPr/>
      </w:r>
    </w:p>
    <w:p>
      <w:pPr>
        <w:pStyle w:val="Normal"/>
        <w:spacing w:before="200" w:after="60"/>
        <w:rPr/>
      </w:pPr>
      <w:r>
        <w:rPr>
          <w:rFonts w:eastAsia="Arial" w:cs="Arial"/>
          <w:b/>
          <w:bCs/>
          <w:sz w:val="22"/>
          <w:szCs w:val="22"/>
        </w:rPr>
        <w:t>Výsledok hospodárenia – zhrnutie</w:t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630"/>
        <w:gridCol w:w="2315"/>
        <w:gridCol w:w="2315"/>
      </w:tblGrid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Ukazovateľ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r. 2024 (EUR)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D5E8F0" w:val="clear"/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r. 2025 (EUR)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Výnosy – hlavná nezdaňovaná činnosť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8 559,19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49 040,37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Náklady – hlavná nezdaňovaná činnosť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7526,26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59 905,96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VH hlavná (nezd.) činnosť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[doplniť]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–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10 865,59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Výnosy – zdaňovaná (hosp.) činnosť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67 772,00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6 755,75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Náklady – zdaňovaná (hosp.) činnosť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[doplniť]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7 526,26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VH zdaňovaná (hosp.) činnosť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[doplniť]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–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770,51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VH pred zdanením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14 311,89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–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11 636,10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Daň z príjmov (591 + 595)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92,17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4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start"/>
              <w:rPr/>
            </w:pPr>
            <w:r>
              <w:rPr>
                <w:rFonts w:eastAsia="Arial" w:cs="Arial"/>
                <w:b/>
                <w:bCs/>
                <w:sz w:val="20"/>
                <w:szCs w:val="20"/>
              </w:rPr>
              <w:t>VH po zdanení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14 219,72</w:t>
            </w:r>
          </w:p>
        </w:tc>
        <w:tc>
          <w:tcPr>
            <w:tcW w:w="23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end"/>
              <w:rPr/>
            </w:pP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–</w:t>
            </w:r>
            <w:r>
              <w:rPr>
                <w:rFonts w:eastAsia="Arial" w:cs="Arial"/>
                <w:b w:val="false"/>
                <w:bCs w:val="false"/>
                <w:sz w:val="20"/>
                <w:szCs w:val="20"/>
              </w:rPr>
              <w:t>11 636,10</w:t>
            </w:r>
          </w:p>
        </w:tc>
      </w:tr>
    </w:tbl>
    <w:p>
      <w:pPr>
        <w:pStyle w:val="Normal"/>
        <w:spacing w:before="0" w:after="120"/>
        <w:rPr/>
      </w:pPr>
      <w:r>
        <w:rPr/>
      </w:r>
    </w:p>
    <w:p>
      <w:pPr>
        <w:pStyle w:val="Normal"/>
        <w:pBdr>
          <w:bottom w:val="single" w:sz="6" w:space="0" w:color="2C5F8A"/>
        </w:pBdr>
        <w:spacing w:before="280" w:after="100"/>
        <w:rPr/>
      </w:pPr>
      <w:r>
        <w:rPr>
          <w:rFonts w:eastAsia="Arial" w:cs="Arial"/>
          <w:b/>
          <w:bCs/>
          <w:sz w:val="26"/>
          <w:szCs w:val="26"/>
        </w:rPr>
        <w:t>Čl. V – Opis údajov na podsúvahových účtoch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Účtovná jednotka nevykazuje k 31. 12. 2025 žiadne významné podsúvahové položky.</w:t>
      </w:r>
    </w:p>
    <w:p>
      <w:pPr>
        <w:pStyle w:val="Normal"/>
        <w:spacing w:before="40" w:after="40"/>
        <w:rPr/>
      </w:pPr>
      <w:r>
        <w:rPr>
          <w:rFonts w:eastAsia="Arial" w:cs="Arial"/>
          <w:i/>
          <w:iCs/>
          <w:color w:val="666666"/>
          <w:sz w:val="20"/>
          <w:szCs w:val="20"/>
        </w:rPr>
        <w:t>[Doplniť, ak existujú zásoby na komisionálny predaj, prenajatý majetok, odpísané pohľadávky a pod.]</w:t>
      </w:r>
    </w:p>
    <w:p>
      <w:pPr>
        <w:pStyle w:val="Normal"/>
        <w:spacing w:before="0" w:after="120"/>
        <w:rPr/>
      </w:pPr>
      <w:r>
        <w:rPr/>
      </w:r>
    </w:p>
    <w:p>
      <w:pPr>
        <w:pStyle w:val="Normal"/>
        <w:pBdr>
          <w:bottom w:val="single" w:sz="6" w:space="0" w:color="2C5F8A"/>
        </w:pBdr>
        <w:spacing w:before="280" w:after="100"/>
        <w:rPr/>
      </w:pPr>
      <w:r>
        <w:rPr>
          <w:rFonts w:eastAsia="Arial" w:cs="Arial"/>
          <w:b/>
          <w:bCs/>
          <w:sz w:val="26"/>
          <w:szCs w:val="26"/>
        </w:rPr>
        <w:t>Čl. VI – Ďalšie informácie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(1) Iné aktíva: V roku 2025 nevykazuje účtovná jednotka žiadne podmienené aktíva.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(2) Iné pasíva – podmienené záväzky: K 31. 12. 2025 nie sú evidované žiadne podmienené záväzky zo súdnych rozhodnutí, poskytnutých záruk ani ručení.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 xml:space="preserve">(3) Ostatné finančné povinnosti: </w:t>
      </w:r>
      <w:r>
        <w:rPr>
          <w:rFonts w:eastAsia="Arial" w:cs="Arial"/>
          <w:i/>
          <w:iCs/>
          <w:color w:val="666666"/>
          <w:sz w:val="20"/>
          <w:szCs w:val="20"/>
        </w:rPr>
        <w:t>[Doplniť záväzky z nájomných, lízingových alebo servisných zmlúv, ak existujú.]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(4) Nehnuteľné kultúrne pamiatky: Účtovná jednotka nespravuje ani nevlastní žiadne nehnuteľné kultúrne pamiatky.</w:t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 xml:space="preserve">(5) Udalosti po dátume súvahy: </w:t>
      </w:r>
      <w:r>
        <w:rPr>
          <w:rFonts w:eastAsia="Arial" w:cs="Arial"/>
          <w:i/>
          <w:iCs/>
          <w:color w:val="666666"/>
          <w:sz w:val="20"/>
          <w:szCs w:val="20"/>
        </w:rPr>
        <w:t>[Doplniť: ak medzi 31. 12. 2025 a 31. 03. 2026 nenastali žiadne významné skutočnosti, uviesť: Medzi dňom, ku ktorému sa zostavuje účtovná závierka, a dňom jej zostavenia (31. 03. 2026) nenastali žiadne skutočnosti, ktoré by si vyžadovali úpravu alebo doplnenie účtovnej závierky.]</w:t>
      </w:r>
    </w:p>
    <w:p>
      <w:pPr>
        <w:pStyle w:val="Normal"/>
        <w:spacing w:before="0" w:after="300"/>
        <w:rPr/>
      </w:pPr>
      <w:r>
        <w:rPr/>
      </w:r>
    </w:p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V Bratislave, dňa 31. 03. 2026</w:t>
      </w:r>
    </w:p>
    <w:p>
      <w:pPr>
        <w:pStyle w:val="Normal"/>
        <w:spacing w:before="0" w:after="400"/>
        <w:rPr/>
      </w:pPr>
      <w:r>
        <w:rPr/>
      </w:r>
    </w:p>
    <w:tbl>
      <w:tblPr>
        <w:tblW w:w="9260" w:type="dxa"/>
        <w:jc w:val="start"/>
        <w:tblInd w:w="0" w:type="dxa"/>
        <w:tblLayout w:type="fixed"/>
        <w:tblCellMar>
          <w:top w:w="60" w:type="dxa"/>
          <w:start w:w="120" w:type="dxa"/>
          <w:bottom w:w="60" w:type="dxa"/>
          <w:end w:w="120" w:type="dxa"/>
        </w:tblCellMar>
      </w:tblPr>
      <w:tblGrid>
        <w:gridCol w:w="4167"/>
        <w:gridCol w:w="5093"/>
      </w:tblGrid>
      <w:tr>
        <w:trPr/>
        <w:tc>
          <w:tcPr>
            <w:tcW w:w="4167" w:type="dxa"/>
            <w:tcBorders>
              <w:bottom w:val="single" w:sz="4" w:space="0" w:color="000000"/>
            </w:tcBorders>
          </w:tcPr>
          <w:p>
            <w:pPr>
              <w:pStyle w:val="Normal"/>
              <w:rPr/>
            </w:pPr>
            <w:r>
              <w:rPr>
                <w:rFonts w:eastAsia="Arial" w:cs="Arial"/>
                <w:sz w:val="20"/>
                <w:szCs w:val="20"/>
              </w:rPr>
              <w:t xml:space="preserve"> </w:t>
            </w:r>
          </w:p>
        </w:tc>
        <w:tc>
          <w:tcPr>
            <w:tcW w:w="5093" w:type="dxa"/>
            <w:tcBorders/>
          </w:tcPr>
          <w:p>
            <w:pPr>
              <w:pStyle w:val="Normal"/>
              <w:rPr/>
            </w:pPr>
            <w:r>
              <w:rPr>
                <w:rFonts w:eastAsia="Arial" w:cs="Arial"/>
                <w:sz w:val="20"/>
                <w:szCs w:val="20"/>
              </w:rPr>
              <w:t xml:space="preserve"> </w:t>
            </w:r>
          </w:p>
        </w:tc>
      </w:tr>
    </w:tbl>
    <w:p>
      <w:pPr>
        <w:pStyle w:val="Normal"/>
        <w:spacing w:before="40" w:after="40"/>
        <w:rPr/>
      </w:pPr>
      <w:r>
        <w:rPr>
          <w:rFonts w:eastAsia="Arial" w:cs="Arial"/>
          <w:sz w:val="20"/>
          <w:szCs w:val="20"/>
        </w:rPr>
        <w:t>Štatutárny orgán / podpis zodpovednej osoby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Arial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</w:fonts>
</file>

<file path=word/settings.xml><?xml version="1.0" encoding="utf-8"?>
<w:settings xmlns:w="http://schemas.openxmlformats.org/wordprocessingml/2006/main">
  <w:zoom w:percent="110"/>
  <w:defaultTabStop w:val="720"/>
  <w:autoHyphenation w:val="true"/>
  <w:hyphenationZone w:val="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before="0" w:after="0"/>
      <w:jc w:val="start"/>
    </w:pPr>
    <w:rPr>
      <w:rFonts w:ascii="Arial" w:hAnsi="Arial" w:eastAsia="Arial" w:cs="Arial"/>
      <w:color w:val="auto"/>
      <w:kern w:val="0"/>
      <w:sz w:val="20"/>
      <w:szCs w:val="20"/>
      <w:lang w:val="sk-SK" w:eastAsia="zh-CN" w:bidi="hi-IN"/>
    </w:rPr>
  </w:style>
  <w:style w:type="paragraph" w:styleId="Heading1">
    <w:name w:val="heading 1"/>
    <w:basedOn w:val="Nadpis"/>
    <w:qFormat/>
    <w:pPr/>
    <w:rPr>
      <w:color w:val="2E74B5"/>
      <w:sz w:val="32"/>
      <w:szCs w:val="32"/>
    </w:rPr>
  </w:style>
  <w:style w:type="paragraph" w:styleId="Heading2">
    <w:name w:val="heading 2"/>
    <w:basedOn w:val="Nadpis"/>
    <w:qFormat/>
    <w:pPr/>
    <w:rPr>
      <w:color w:val="2E74B5"/>
      <w:sz w:val="26"/>
      <w:szCs w:val="26"/>
    </w:rPr>
  </w:style>
  <w:style w:type="paragraph" w:styleId="Heading3">
    <w:name w:val="heading 3"/>
    <w:basedOn w:val="Nadpis"/>
    <w:qFormat/>
    <w:pPr/>
    <w:rPr>
      <w:color w:val="1F4D78"/>
      <w:sz w:val="24"/>
      <w:szCs w:val="24"/>
    </w:rPr>
  </w:style>
  <w:style w:type="paragraph" w:styleId="Heading4">
    <w:name w:val="heading 4"/>
    <w:basedOn w:val="Nadpis"/>
    <w:qFormat/>
    <w:pPr/>
    <w:rPr>
      <w:i/>
      <w:iCs/>
      <w:color w:val="2E74B5"/>
    </w:rPr>
  </w:style>
  <w:style w:type="paragraph" w:styleId="Heading5">
    <w:name w:val="heading 5"/>
    <w:basedOn w:val="Nadpis"/>
    <w:qFormat/>
    <w:pPr/>
    <w:rPr>
      <w:color w:val="2E74B5"/>
    </w:rPr>
  </w:style>
  <w:style w:type="paragraph" w:styleId="Heading6">
    <w:name w:val="heading 6"/>
    <w:basedOn w:val="Nadpis"/>
    <w:qFormat/>
    <w:pPr/>
    <w:rPr>
      <w:color w:val="1F4D78"/>
    </w:rPr>
  </w:style>
  <w:style w:type="character" w:styleId="Hyperlink">
    <w:name w:val="Hyperlink"/>
    <w:uiPriority w:val="99"/>
    <w:unhideWhenUsed/>
    <w:rPr>
      <w:color w:val="0563C1"/>
      <w:u w:val="single"/>
    </w:rPr>
  </w:style>
  <w:style w:type="character" w:styleId="Znakyprepoznmkupodiarou">
    <w:name w:val="Znaky pre poznámku pod čiarou"/>
    <w:uiPriority w:val="99"/>
    <w:semiHidden/>
    <w:unhideWhenUsed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FootnoteTextChar">
    <w:name w:val="Footnote Text Char"/>
    <w:uiPriority w:val="99"/>
    <w:semiHidden/>
    <w:unhideWhenUsed/>
    <w:qFormat/>
    <w:rPr>
      <w:sz w:val="20"/>
      <w:szCs w:val="20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Title">
    <w:name w:val="Title"/>
    <w:basedOn w:val="Nadpis"/>
    <w:qFormat/>
    <w:pPr/>
    <w:rPr>
      <w:sz w:val="56"/>
      <w:szCs w:val="56"/>
    </w:rPr>
  </w:style>
  <w:style w:type="paragraph" w:styleId="StrongEmphasis">
    <w:name w:val="Strong Emphasis"/>
    <w:qFormat/>
    <w:pPr>
      <w:widowControl/>
      <w:bidi w:val="0"/>
      <w:spacing w:before="0" w:after="0"/>
      <w:jc w:val="start"/>
    </w:pPr>
    <w:rPr>
      <w:rFonts w:ascii="Arial" w:hAnsi="Arial" w:eastAsia="Arial" w:cs="Arial"/>
      <w:b/>
      <w:bCs/>
      <w:color w:val="auto"/>
      <w:kern w:val="0"/>
      <w:sz w:val="20"/>
      <w:szCs w:val="20"/>
      <w:lang w:val="sk-SK" w:eastAsia="zh-CN" w:bidi="hi-IN"/>
    </w:rPr>
  </w:style>
  <w:style w:type="paragraph" w:styleId="ListParagraph">
    <w:name w:val="List Paragraph"/>
    <w:qFormat/>
    <w:pPr>
      <w:widowControl/>
      <w:bidi w:val="0"/>
      <w:spacing w:before="0" w:after="0"/>
      <w:jc w:val="start"/>
    </w:pPr>
    <w:rPr>
      <w:rFonts w:ascii="Arial" w:hAnsi="Arial" w:eastAsia="Arial" w:cs="Arial"/>
      <w:color w:val="auto"/>
      <w:kern w:val="0"/>
      <w:sz w:val="20"/>
      <w:szCs w:val="20"/>
      <w:lang w:val="sk-SK" w:eastAsia="zh-CN" w:bidi="hi-IN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lineRule="auto" w:line="240" w:before="0" w:after="0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LibreOffice/25.8.5.2$Windows_X86_64 LibreOffice_project/9c8b85f387cc00a89945a79c9e6239f32e450ac2</Application>
  <AppVersion>15.0000</AppVersion>
  <Pages>6</Pages>
  <Words>1501</Words>
  <Characters>8222</Characters>
  <CharactersWithSpaces>9430</CharactersWithSpaces>
  <Paragraphs>389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2026-03-31T19:44:18Z</dcterms:created>
  <dc:creator>Un-named</dc:creator>
  <dc:description/>
  <dc:language>sk-SK</dc:language>
  <cp:lastModifiedBy/>
  <dcterms:modified xsi:type="dcterms:W3CDTF">2026-03-31T21:49:29Z</dcterms:modified>
  <cp:revision>2</cp:revision>
  <dc:subject/>
  <dc:title/>
</cp:coreProperties>
</file>