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ind w:hanging="0" w:left="0"/>
        <w:jc w:val="center"/>
        <w:outlineLvl w:val="1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hanging="0" w:left="0"/>
        <w:outlineLvl w:val="1"/>
        <w:rPr>
          <w:b/>
          <w:bCs/>
          <w:sz w:val="20"/>
        </w:rPr>
      </w:pPr>
      <w:r>
        <w:rPr>
          <w:b/>
          <w:bCs/>
          <w:sz w:val="20"/>
        </w:rPr>
        <w:tab/>
        <w:tab/>
        <w:t>Všeobecné údaje</w:t>
      </w:r>
    </w:p>
    <w:p>
      <w:pPr>
        <w:pStyle w:val="Normal"/>
        <w:keepNext w:val="true"/>
        <w:numPr>
          <w:ilvl w:val="0"/>
          <w:numId w:val="0"/>
        </w:numPr>
        <w:ind w:hanging="0" w:left="0"/>
        <w:jc w:val="center"/>
        <w:outlineLvl w:val="1"/>
        <w:rPr>
          <w:b/>
          <w:bCs/>
          <w:sz w:val="18"/>
          <w:szCs w:val="22"/>
        </w:rPr>
      </w:pPr>
      <w:r>
        <w:rPr>
          <w:b/>
          <w:bCs/>
          <w:sz w:val="18"/>
          <w:szCs w:val="22"/>
        </w:rPr>
      </w:r>
    </w:p>
    <w:p>
      <w:pPr>
        <w:pStyle w:val="Normal"/>
        <w:numPr>
          <w:ilvl w:val="0"/>
          <w:numId w:val="7"/>
        </w:numPr>
        <w:ind w:hanging="1339" w:left="1481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949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498"/>
      </w:tblGrid>
      <w:tr>
        <w:trPr>
          <w:trHeight w:val="1656" w:hRule="atLeast"/>
        </w:trPr>
        <w:tc>
          <w:tcPr>
            <w:tcW w:w="9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jc w:val="both"/>
              <w:rPr/>
            </w:pPr>
            <w:r>
              <w:rPr>
                <w:b/>
              </w:rPr>
              <w:t>Projekt Development s.r.o.</w:t>
            </w:r>
          </w:p>
          <w:p>
            <w:pPr>
              <w:pStyle w:val="Normal"/>
              <w:jc w:val="both"/>
              <w:rPr/>
            </w:pPr>
            <w:r>
              <w:rPr>
                <w:sz w:val="20"/>
              </w:rPr>
              <w:t>Stummerova 1327/3</w:t>
            </w:r>
          </w:p>
          <w:p>
            <w:pPr>
              <w:pStyle w:val="Normal"/>
              <w:jc w:val="both"/>
              <w:rPr/>
            </w:pPr>
            <w:r>
              <w:rPr>
                <w:sz w:val="20"/>
              </w:rPr>
              <w:t>955 01 Topoľčany</w:t>
            </w:r>
          </w:p>
        </w:tc>
      </w:tr>
    </w:tbl>
    <w:p>
      <w:pPr>
        <w:pStyle w:val="Normal"/>
        <w:jc w:val="both"/>
        <w:rPr>
          <w:sz w:val="20"/>
          <w:u w:val="single"/>
        </w:rPr>
      </w:pPr>
      <w:r>
        <w:rPr>
          <w:sz w:val="20"/>
          <w:u w:val="single"/>
        </w:rPr>
      </w:r>
    </w:p>
    <w:p>
      <w:pPr>
        <w:pStyle w:val="Normal"/>
        <w:numPr>
          <w:ilvl w:val="0"/>
          <w:numId w:val="7"/>
        </w:numPr>
        <w:ind w:hanging="1338" w:left="1480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>
      <w:pPr>
        <w:pStyle w:val="Normal"/>
        <w:numPr>
          <w:ilvl w:val="0"/>
          <w:numId w:val="7"/>
        </w:numPr>
        <w:ind w:hanging="1339" w:left="1481"/>
        <w:jc w:val="both"/>
        <w:rPr/>
      </w:pPr>
      <w:r>
        <w:rPr>
          <w:sz w:val="20"/>
        </w:rPr>
        <w:t>Priemerný prepočítaný počet zamestnancov:      2</w:t>
      </w:r>
    </w:p>
    <w:p>
      <w:pPr>
        <w:pStyle w:val="Normal"/>
        <w:tabs>
          <w:tab w:val="clear" w:pos="709"/>
          <w:tab w:val="left" w:pos="851" w:leader="none"/>
        </w:tabs>
        <w:ind w:hanging="0" w:left="2870"/>
        <w:jc w:val="both"/>
        <w:rPr>
          <w:sz w:val="20"/>
        </w:rPr>
      </w:pPr>
      <w:r>
        <w:rPr>
          <w:sz w:val="20"/>
        </w:rPr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Čl. II</w:t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>
      <w:pPr>
        <w:pStyle w:val="Normal"/>
        <w:ind w:hanging="0" w:left="1121"/>
        <w:jc w:val="both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numPr>
          <w:ilvl w:val="0"/>
          <w:numId w:val="9"/>
        </w:numPr>
        <w:ind w:hanging="567" w:left="709"/>
        <w:jc w:val="both"/>
        <w:rPr/>
      </w:pPr>
      <w:r>
        <w:rPr>
          <w:sz w:val="20"/>
        </w:rPr>
        <w:t>účtovná jednotka vznikla 11.06.2024.</w:t>
      </w:r>
    </w:p>
    <w:p>
      <w:pPr>
        <w:pStyle w:val="Normal"/>
        <w:numPr>
          <w:ilvl w:val="0"/>
          <w:numId w:val="9"/>
        </w:numPr>
        <w:ind w:hanging="567" w:left="709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sz w:val="20"/>
          <w:u w:val="single"/>
        </w:rPr>
        <w:t>bude</w:t>
      </w:r>
      <w:r>
        <w:rPr>
          <w:sz w:val="20"/>
        </w:rPr>
        <w:t xml:space="preserve"> nepretržite pokračovať vo svojej činnosti</w:t>
      </w:r>
    </w:p>
    <w:p>
      <w:pPr>
        <w:pStyle w:val="Normal"/>
        <w:numPr>
          <w:ilvl w:val="0"/>
          <w:numId w:val="9"/>
        </w:numPr>
        <w:ind w:hanging="567" w:left="709"/>
        <w:jc w:val="both"/>
        <w:rPr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tblW w:w="9072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548"/>
        <w:gridCol w:w="52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Obstarávacou cenou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tblW w:w="9072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548"/>
        <w:gridCol w:w="52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Vlastnými nákladmi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tblW w:w="9072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548"/>
        <w:gridCol w:w="52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Menovitou hodnotou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hanging="0"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hanging="0"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hanging="0"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ind w:hanging="0"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tblW w:w="9072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548"/>
        <w:gridCol w:w="52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Reprodukčnou obstarávacou cenou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 xml:space="preserve">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tblW w:w="9072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548"/>
        <w:gridCol w:w="52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a náklady súvisiace s obstaraním(VON).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tblW w:w="924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817"/>
        <w:gridCol w:w="425"/>
      </w:tblGrid>
      <w:tr>
        <w:trPr/>
        <w:tc>
          <w:tcPr>
            <w:tcW w:w="9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Autospacing="1" w:after="0"/>
              <w:ind w:hanging="0"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/>
        <w:tc>
          <w:tcPr>
            <w:tcW w:w="8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hanging="0"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hanging="0"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hanging="0"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>
            <w:pPr>
              <w:pStyle w:val="Normal"/>
              <w:ind w:hanging="0"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hanging="0"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>
            <w:pPr>
              <w:pStyle w:val="Normal"/>
              <w:ind w:hanging="0"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ind w:hanging="0"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/>
        <w:tc>
          <w:tcPr>
            <w:tcW w:w="8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Autospacing="1" w:after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hanging="0"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numPr>
          <w:ilvl w:val="0"/>
          <w:numId w:val="9"/>
        </w:numPr>
        <w:ind w:hanging="567" w:left="709"/>
        <w:jc w:val="both"/>
        <w:rPr>
          <w:sz w:val="20"/>
        </w:rPr>
      </w:pPr>
      <w:r>
        <w:rPr>
          <w:sz w:val="20"/>
        </w:rPr>
        <w:t xml:space="preserve">Spôsob zostavenia odpisového plánu pre jednotlivé druhy dlhodobého hmotného majetku  a dlhodobého nehmotného majetku, doba odpisovania, použité sadzby odpisov a odpisové metódy pri určení odpisov </w:t>
      </w:r>
    </w:p>
    <w:tbl>
      <w:tblPr>
        <w:tblW w:w="9243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9"/>
        <w:gridCol w:w="1746"/>
        <w:gridCol w:w="428"/>
      </w:tblGrid>
      <w:tr>
        <w:trPr/>
        <w:tc>
          <w:tcPr>
            <w:tcW w:w="8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</w:trPr>
        <w:tc>
          <w:tcPr>
            <w:tcW w:w="8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sz w:val="18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009" w:hRule="atLeast"/>
        </w:trPr>
        <w:tc>
          <w:tcPr>
            <w:tcW w:w="8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</w:trPr>
        <w:tc>
          <w:tcPr>
            <w:tcW w:w="7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 doba použiteľnosti viac ako rok a vstupná cena je  viac ako :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sz w:val="18"/>
        </w:rPr>
      </w:pPr>
      <w:r>
        <w:rPr>
          <w:sz w:val="18"/>
        </w:rPr>
      </w:r>
    </w:p>
    <w:tbl>
      <w:tblPr>
        <w:tblW w:w="9072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10"/>
        <w:gridCol w:w="977"/>
        <w:gridCol w:w="1164"/>
        <w:gridCol w:w="1181"/>
        <w:gridCol w:w="981"/>
        <w:gridCol w:w="1658"/>
      </w:tblGrid>
      <w:tr>
        <w:trPr/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357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/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/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/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ind w:hanging="0" w:left="709"/>
        <w:jc w:val="both"/>
        <w:rPr>
          <w:sz w:val="20"/>
        </w:rPr>
      </w:pPr>
      <w:r>
        <w:rPr>
          <w:sz w:val="20"/>
        </w:rPr>
      </w:r>
    </w:p>
    <w:p>
      <w:pPr>
        <w:pStyle w:val="Normal"/>
        <w:ind w:hanging="0" w:left="709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9"/>
        </w:numPr>
        <w:ind w:hanging="567" w:left="709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tblW w:w="9350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026"/>
        <w:gridCol w:w="1481"/>
        <w:gridCol w:w="1484"/>
        <w:gridCol w:w="1486"/>
        <w:gridCol w:w="1473"/>
        <w:gridCol w:w="1399"/>
      </w:tblGrid>
      <w:tr>
        <w:trPr>
          <w:trHeight w:val="283" w:hRule="atLeast"/>
        </w:trPr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  <w:t>Typ zmeny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  <w:t>Dôvod zmeny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  <w:t>Záväzky</w:t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  <w:t>ZI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  <w:t>HV</w:t>
            </w:r>
          </w:p>
        </w:tc>
      </w:tr>
      <w:tr>
        <w:trPr>
          <w:trHeight w:val="283" w:hRule="atLeast"/>
        </w:trPr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ind w:hanging="0" w:left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ListParagraph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9"/>
        </w:numPr>
        <w:ind w:hanging="567" w:left="709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W w:w="949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79"/>
        <w:gridCol w:w="2999"/>
        <w:gridCol w:w="1420"/>
      </w:tblGrid>
      <w:tr>
        <w:trPr>
          <w:trHeight w:val="283" w:hRule="atLeast"/>
        </w:trPr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</w:trPr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hanging="0" w:left="709"/>
        <w:jc w:val="both"/>
        <w:rPr>
          <w:sz w:val="18"/>
          <w:szCs w:val="22"/>
        </w:rPr>
      </w:pPr>
      <w:r>
        <w:rPr>
          <w:sz w:val="18"/>
          <w:szCs w:val="22"/>
        </w:rPr>
      </w:r>
    </w:p>
    <w:p>
      <w:pPr>
        <w:pStyle w:val="Normal"/>
        <w:numPr>
          <w:ilvl w:val="0"/>
          <w:numId w:val="9"/>
        </w:numPr>
        <w:ind w:hanging="567" w:left="709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949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0"/>
        <w:gridCol w:w="994"/>
        <w:gridCol w:w="850"/>
        <w:gridCol w:w="2126"/>
        <w:gridCol w:w="2558"/>
      </w:tblGrid>
      <w:tr>
        <w:trPr/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18"/>
                <w:szCs w:val="22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</w:tbl>
    <w:p>
      <w:pPr>
        <w:pStyle w:val="Normal"/>
        <w:jc w:val="both"/>
        <w:rPr>
          <w:sz w:val="18"/>
          <w:szCs w:val="22"/>
        </w:rPr>
      </w:pPr>
      <w:r>
        <w:rPr>
          <w:sz w:val="18"/>
          <w:szCs w:val="22"/>
        </w:rPr>
      </w:r>
    </w:p>
    <w:p>
      <w:pPr>
        <w:pStyle w:val="Normal"/>
        <w:ind w:hanging="0" w:left="360"/>
        <w:rPr>
          <w:sz w:val="20"/>
        </w:rPr>
      </w:pPr>
      <w:r>
        <w:rPr>
          <w:sz w:val="20"/>
        </w:rPr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Čl. III</w:t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>
      <w:pPr>
        <w:pStyle w:val="Normal"/>
        <w:ind w:hanging="0" w:left="1841"/>
        <w:jc w:val="center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numPr>
          <w:ilvl w:val="0"/>
          <w:numId w:val="10"/>
        </w:numPr>
        <w:ind w:hanging="567" w:left="709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949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283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hanging="0" w:left="1481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hanging="567" w:left="709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949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079"/>
        <w:gridCol w:w="1418"/>
      </w:tblGrid>
      <w:tr>
        <w:trPr>
          <w:trHeight w:val="283" w:hRule="atLeast"/>
        </w:trPr>
        <w:tc>
          <w:tcPr>
            <w:tcW w:w="8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4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Opis a spôsoby zabezpečenia záväzkov</w:t>
            </w:r>
          </w:p>
        </w:tc>
      </w:tr>
      <w:tr>
        <w:trPr>
          <w:trHeight w:val="283" w:hRule="atLeast"/>
        </w:trPr>
        <w:tc>
          <w:tcPr>
            <w:tcW w:w="8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hanging="0" w:left="1134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hanging="567" w:left="709"/>
        <w:jc w:val="both"/>
        <w:rPr>
          <w:sz w:val="20"/>
        </w:rPr>
      </w:pPr>
      <w:r>
        <w:rPr>
          <w:bCs/>
          <w:kern w:val="2"/>
          <w:sz w:val="20"/>
          <w:lang w:eastAsia="en-US"/>
        </w:rPr>
        <w:t>Informácie o vlastných akciách, a to</w:t>
      </w:r>
    </w:p>
    <w:p>
      <w:pPr>
        <w:pStyle w:val="Normal"/>
        <w:numPr>
          <w:ilvl w:val="0"/>
          <w:numId w:val="2"/>
        </w:numPr>
        <w:ind w:hanging="567" w:left="1276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>
      <w:pPr>
        <w:pStyle w:val="Normal"/>
        <w:numPr>
          <w:ilvl w:val="0"/>
          <w:numId w:val="2"/>
        </w:numPr>
        <w:ind w:hanging="567" w:left="1276"/>
        <w:jc w:val="both"/>
        <w:rPr>
          <w:sz w:val="20"/>
        </w:rPr>
      </w:pPr>
      <w:r>
        <w:rPr>
          <w:sz w:val="20"/>
        </w:rPr>
        <w:t>informáciách, ktorými sú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hanging="425" w:left="1701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4"/>
        </w:numPr>
        <w:tabs>
          <w:tab w:val="clear" w:pos="709"/>
          <w:tab w:val="left" w:pos="851" w:leader="none"/>
        </w:tabs>
        <w:ind w:hanging="425" w:left="1701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2"/>
        </w:numPr>
        <w:ind w:hanging="567" w:left="1276"/>
        <w:jc w:val="both"/>
        <w:rPr>
          <w:bCs/>
          <w:kern w:val="2"/>
          <w:sz w:val="20"/>
          <w:lang w:eastAsia="en-US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2"/>
          <w:sz w:val="20"/>
          <w:lang w:eastAsia="en-US"/>
        </w:rPr>
        <w:t>uvádza  sa aj ich percentuálny podiel na upísanom základnom imaní.</w:t>
      </w:r>
    </w:p>
    <w:p>
      <w:pPr>
        <w:pStyle w:val="Normal"/>
        <w:numPr>
          <w:ilvl w:val="0"/>
          <w:numId w:val="10"/>
        </w:numPr>
        <w:ind w:hanging="567" w:left="709"/>
        <w:jc w:val="both"/>
        <w:rPr>
          <w:sz w:val="20"/>
        </w:rPr>
      </w:pPr>
      <w:r>
        <w:rPr>
          <w:sz w:val="20"/>
        </w:rPr>
        <w:t>Informácie o orgánoch účtovnej jednotky</w:t>
      </w:r>
    </w:p>
    <w:p>
      <w:pPr>
        <w:pStyle w:val="Normal"/>
        <w:ind w:hanging="0" w:left="709"/>
        <w:jc w:val="both"/>
        <w:rPr>
          <w:sz w:val="20"/>
        </w:rPr>
      </w:pPr>
      <w:r>
        <w:rPr>
          <w:sz w:val="20"/>
        </w:rPr>
      </w:r>
    </w:p>
    <w:tbl>
      <w:tblPr>
        <w:tblW w:w="949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843"/>
        <w:gridCol w:w="1556"/>
        <w:gridCol w:w="429"/>
        <w:gridCol w:w="705"/>
        <w:gridCol w:w="964"/>
      </w:tblGrid>
      <w:tr>
        <w:trPr>
          <w:trHeight w:val="283" w:hRule="atLeast"/>
        </w:trPr>
        <w:tc>
          <w:tcPr>
            <w:tcW w:w="949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283" w:hRule="atLeast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6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6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6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/>
        <w:tc>
          <w:tcPr>
            <w:tcW w:w="949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61" w:hRule="atLeast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/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/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/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/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/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/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/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/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1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49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283" w:hRule="atLeast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6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6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5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6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hanging="1338" w:left="1480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>
      <w:pPr>
        <w:pStyle w:val="Normal"/>
        <w:numPr>
          <w:ilvl w:val="0"/>
          <w:numId w:val="3"/>
        </w:numPr>
        <w:ind w:hanging="567" w:left="1276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>
      <w:pPr>
        <w:pStyle w:val="Normal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3"/>
        </w:numPr>
        <w:ind w:hanging="567" w:left="1276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>
      <w:pPr>
        <w:pStyle w:val="Normal"/>
        <w:numPr>
          <w:ilvl w:val="0"/>
          <w:numId w:val="6"/>
        </w:numPr>
        <w:ind w:hanging="425" w:left="1701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>
      <w:pPr>
        <w:pStyle w:val="Normal"/>
        <w:numPr>
          <w:ilvl w:val="0"/>
          <w:numId w:val="6"/>
        </w:numPr>
        <w:ind w:hanging="425" w:left="1701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>
      <w:pPr>
        <w:pStyle w:val="Normal"/>
        <w:numPr>
          <w:ilvl w:val="0"/>
          <w:numId w:val="5"/>
        </w:numPr>
        <w:ind w:hanging="426" w:left="2127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>
      <w:pPr>
        <w:pStyle w:val="Normal"/>
        <w:tabs>
          <w:tab w:val="clear" w:pos="709"/>
          <w:tab w:val="left" w:pos="851" w:leader="none"/>
        </w:tabs>
        <w:jc w:val="both"/>
        <w:rPr>
          <w:sz w:val="20"/>
        </w:rPr>
      </w:pPr>
      <w:r>
        <w:rPr>
          <w:b/>
          <w:sz w:val="20"/>
        </w:rPr>
        <w:tab/>
        <w:tab/>
        <w:t xml:space="preserve">      </w:t>
      </w:r>
      <w:r>
        <w:rPr>
          <w:sz w:val="20"/>
        </w:rPr>
        <w:t xml:space="preserve">2b </w:t>
        <w:tab/>
        <w:t>výška tejto povinnosti sa nedá spoľahlivo oceniť,</w:t>
      </w:r>
    </w:p>
    <w:p>
      <w:pPr>
        <w:pStyle w:val="Normal"/>
        <w:numPr>
          <w:ilvl w:val="0"/>
          <w:numId w:val="3"/>
        </w:numPr>
        <w:ind w:hanging="567" w:left="1276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>
      <w:pPr>
        <w:pStyle w:val="Normal"/>
        <w:numPr>
          <w:ilvl w:val="0"/>
          <w:numId w:val="3"/>
        </w:numPr>
        <w:ind w:hanging="567" w:left="1276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>
      <w:pPr>
        <w:pStyle w:val="Normal"/>
        <w:numPr>
          <w:ilvl w:val="0"/>
          <w:numId w:val="3"/>
        </w:numPr>
        <w:ind w:hanging="567" w:left="1276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hanging="567" w:left="709"/>
        <w:jc w:val="both"/>
        <w:rPr>
          <w:sz w:val="20"/>
        </w:rPr>
      </w:pPr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1"/>
        </w:numPr>
        <w:ind w:hanging="567" w:left="1276"/>
        <w:jc w:val="both"/>
        <w:rPr>
          <w:sz w:val="20"/>
        </w:rPr>
      </w:pPr>
      <w:r>
        <w:rPr>
          <w:sz w:val="20"/>
        </w:rPr>
        <w:t>všetkých formách prijatej náhrady,</w:t>
      </w:r>
    </w:p>
    <w:p>
      <w:pPr>
        <w:pStyle w:val="Normal"/>
        <w:numPr>
          <w:ilvl w:val="0"/>
          <w:numId w:val="11"/>
        </w:numPr>
        <w:ind w:hanging="567" w:left="1276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>
      <w:pPr>
        <w:pStyle w:val="Normal"/>
        <w:numPr>
          <w:ilvl w:val="0"/>
          <w:numId w:val="11"/>
        </w:numPr>
        <w:ind w:hanging="567" w:left="1276"/>
        <w:jc w:val="both"/>
        <w:rPr>
          <w:sz w:val="20"/>
        </w:rPr>
      </w:pPr>
      <w:r>
        <w:rPr>
          <w:sz w:val="20"/>
        </w:rPr>
        <w:t>všetkých druhoch činností účtovnej jednotky.</w:t>
      </w:r>
    </w:p>
    <w:p>
      <w:pPr>
        <w:pStyle w:val="Normal"/>
        <w:numPr>
          <w:ilvl w:val="0"/>
          <w:numId w:val="0"/>
        </w:numPr>
        <w:ind w:hanging="0" w:left="0"/>
        <w:jc w:val="both"/>
        <w:rPr>
          <w:sz w:val="20"/>
        </w:rPr>
      </w:pPr>
      <w:bookmarkStart w:id="0" w:name="OLE_LINK1"/>
      <w:bookmarkEnd w:id="0"/>
      <w:r>
        <w:rPr>
          <w:sz w:val="20"/>
        </w:rPr>
        <w:t>7) bolo podané dodatočné DPPO za rok 2024, rozdeľ bol zaúčtovaný na účte 428.</w:t>
      </w:r>
    </w:p>
    <w:p>
      <w:pPr>
        <w:pStyle w:val="Normal"/>
        <w:ind w:firstLine="709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jc w:val="right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>
      <w:pPr>
        <w:pStyle w:val="Normal"/>
        <w:rPr>
          <w:sz w:val="20"/>
        </w:rPr>
      </w:pPr>
      <w:r>
        <w:rPr>
          <w:sz w:val="20"/>
        </w:rPr>
        <w:t>ÚJ - účtovná jednotka</w:t>
      </w:r>
    </w:p>
    <w:p>
      <w:pPr>
        <w:pStyle w:val="Normal"/>
        <w:rPr/>
      </w:pPr>
      <w:r>
        <w:rPr>
          <w:sz w:val="20"/>
        </w:rPr>
        <w:t>BO-bežné obdobie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021" w:right="1418" w:gutter="0" w:header="567" w:top="1418" w:footer="567" w:bottom="1418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2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2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08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4"/>
      <w:gridCol w:w="690"/>
      <w:gridCol w:w="371"/>
      <w:gridCol w:w="344"/>
      <w:gridCol w:w="351"/>
      <w:gridCol w:w="345"/>
      <w:gridCol w:w="345"/>
      <w:gridCol w:w="350"/>
      <w:gridCol w:w="345"/>
      <w:gridCol w:w="345"/>
      <w:gridCol w:w="687"/>
      <w:gridCol w:w="343"/>
      <w:gridCol w:w="346"/>
      <w:gridCol w:w="349"/>
      <w:gridCol w:w="345"/>
      <w:gridCol w:w="347"/>
      <w:gridCol w:w="346"/>
      <w:gridCol w:w="346"/>
      <w:gridCol w:w="348"/>
      <w:gridCol w:w="345"/>
      <w:gridCol w:w="313"/>
    </w:tblGrid>
    <w:tr>
      <w:trPr>
        <w:trHeight w:val="330" w:hRule="atLeast"/>
      </w:trPr>
      <w:tc>
        <w:tcPr>
          <w:tcW w:w="270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690" w:type="dxa"/>
          <w:tcBorders>
            <w:left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6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2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9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5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0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7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3</w:t>
          </w:r>
        </w:p>
      </w:tc>
      <w:tc>
        <w:tcPr>
          <w:tcW w:w="687" w:type="dxa"/>
          <w:tcBorders>
            <w:lef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1</w:t>
          </w:r>
        </w:p>
      </w:tc>
      <w:tc>
        <w:tcPr>
          <w:tcW w:w="34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2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2</w:t>
          </w:r>
        </w:p>
      </w:tc>
      <w:tc>
        <w:tcPr>
          <w:tcW w:w="34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3</w:t>
          </w:r>
        </w:p>
      </w:tc>
      <w:tc>
        <w:tcPr>
          <w:tcW w:w="34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6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7</w:t>
          </w:r>
        </w:p>
      </w:tc>
      <w:tc>
        <w:tcPr>
          <w:tcW w:w="31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0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08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704"/>
      <w:gridCol w:w="690"/>
      <w:gridCol w:w="371"/>
      <w:gridCol w:w="344"/>
      <w:gridCol w:w="351"/>
      <w:gridCol w:w="345"/>
      <w:gridCol w:w="345"/>
      <w:gridCol w:w="350"/>
      <w:gridCol w:w="345"/>
      <w:gridCol w:w="345"/>
      <w:gridCol w:w="687"/>
      <w:gridCol w:w="343"/>
      <w:gridCol w:w="346"/>
      <w:gridCol w:w="349"/>
      <w:gridCol w:w="345"/>
      <w:gridCol w:w="347"/>
      <w:gridCol w:w="346"/>
      <w:gridCol w:w="346"/>
      <w:gridCol w:w="348"/>
      <w:gridCol w:w="345"/>
      <w:gridCol w:w="313"/>
    </w:tblGrid>
    <w:tr>
      <w:trPr>
        <w:trHeight w:val="330" w:hRule="atLeast"/>
      </w:trPr>
      <w:tc>
        <w:tcPr>
          <w:tcW w:w="270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690" w:type="dxa"/>
          <w:tcBorders>
            <w:left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6</w:t>
          </w:r>
        </w:p>
      </w:tc>
      <w:tc>
        <w:tcPr>
          <w:tcW w:w="3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2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9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5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0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7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3</w:t>
          </w:r>
        </w:p>
      </w:tc>
      <w:tc>
        <w:tcPr>
          <w:tcW w:w="687" w:type="dxa"/>
          <w:tcBorders>
            <w:left w:val="single" w:sz="4" w:space="0" w:color="000000"/>
          </w:tcBorders>
          <w:shd w:fill="auto" w:val="clear"/>
          <w:vAlign w:val="bottom"/>
        </w:tcPr>
        <w:p>
          <w:pPr>
            <w:pStyle w:val="Normal"/>
            <w:rPr/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1</w:t>
          </w:r>
        </w:p>
      </w:tc>
      <w:tc>
        <w:tcPr>
          <w:tcW w:w="34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2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2</w:t>
          </w:r>
        </w:p>
      </w:tc>
      <w:tc>
        <w:tcPr>
          <w:tcW w:w="34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3</w:t>
          </w:r>
        </w:p>
      </w:tc>
      <w:tc>
        <w:tcPr>
          <w:tcW w:w="34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6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7</w:t>
          </w:r>
        </w:p>
      </w:tc>
      <w:tc>
        <w:tcPr>
          <w:tcW w:w="31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jc w:val="center"/>
            <w:rPr/>
          </w:pPr>
          <w:r>
            <w:rPr>
              <w:szCs w:val="22"/>
            </w:rPr>
            <w:t>0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/>
        <w:kern w:val="0"/>
        <w:szCs w:val="24"/>
        <w:iCs w:val="false"/>
        <w:bCs w:val="false"/>
        <w:em w:val="none"/>
        <w:vanish w:val="false"/>
        <w:rFonts w:cs="Times New Roman"/>
        <w:color w:val="00000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lowerLetter"/>
      <w:lvlText w:val="%1)"/>
      <w:lvlJc w:val="left"/>
      <w:pPr>
        <w:tabs>
          <w:tab w:val="num" w:pos="0"/>
        </w:tabs>
        <w:ind w:left="1920" w:hanging="360"/>
      </w:pPr>
      <w:rPr>
        <w:sz w:val="20"/>
        <w:b/>
        <w:szCs w:val="24"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6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3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40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8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5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2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9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68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841" w:hanging="360"/>
      </w:pPr>
      <w:rPr>
        <w:sz w:val="20"/>
        <w:szCs w:val="24"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4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a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561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3281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4001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4721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5441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6161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881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7601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8321" w:hanging="180"/>
      </w:pPr>
      <w:rPr/>
    </w:lvl>
  </w:abstractNum>
  <w:abstractNum w:abstractNumId="7"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sz w:val="20"/>
        <w:i w:val="false"/>
        <w:b w:val="false"/>
        <w:szCs w:val="24"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201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21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41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61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81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01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21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41" w:hanging="18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  <w:rPr/>
    </w:lvl>
  </w:abstractNum>
  <w:abstractNum w:abstractNumId="9">
    <w:lvl w:ilvl="0">
      <w:start w:val="1"/>
      <w:numFmt w:val="decimal"/>
      <w:lvlText w:val="(%1)"/>
      <w:lvlJc w:val="left"/>
      <w:pPr>
        <w:tabs>
          <w:tab w:val="num" w:pos="0"/>
        </w:tabs>
        <w:ind w:left="3479" w:hanging="360"/>
      </w:pPr>
      <w:rPr>
        <w:sz w:val="20"/>
        <w:i w:val="false"/>
        <w:b w:val="false"/>
        <w:szCs w:val="24"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decimal"/>
      <w:lvlText w:val="(%1)"/>
      <w:lvlJc w:val="left"/>
      <w:pPr>
        <w:tabs>
          <w:tab w:val="num" w:pos="0"/>
        </w:tabs>
        <w:ind w:left="1481" w:hanging="360"/>
      </w:pPr>
      <w:rPr>
        <w:sz w:val="20"/>
        <w:i w:val="false"/>
        <w:b w:val="false"/>
        <w:szCs w:val="24"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0"/>
        <w:szCs w:val="24"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sk-SK" w:bidi="ar-SA"/>
    </w:rPr>
  </w:style>
  <w:style w:type="paragraph" w:styleId="Heading1">
    <w:name w:val="heading 1"/>
    <w:next w:val="Heading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color w:val="auto"/>
      <w:kern w:val="2"/>
      <w:sz w:val="24"/>
      <w:szCs w:val="32"/>
      <w:lang w:val="sk-SK" w:eastAsia="sk-SK" w:bidi="ar-SA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 w:val="true"/>
      <w:ind w:hanging="0"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Ukotveniepoznmkypodiarouuser">
    <w:name w:val="Ukotvenie poznámky pod čiarou (user)"/>
    <w:qFormat/>
    <w:rPr>
      <w:vertAlign w:val="superscript"/>
    </w:rPr>
  </w:style>
  <w:style w:type="character" w:styleId="FootnoteCharacters">
    <w:name w:val="Footnote Characters"/>
    <w:semiHidden/>
    <w:qFormat/>
    <w:rPr>
      <w:vertAlign w:val="superscript"/>
    </w:rPr>
  </w:style>
  <w:style w:type="character" w:styleId="PageNumber">
    <w:name w:val="page number"/>
    <w:basedOn w:val="DefaultParagraphFont"/>
    <w:semiHidden/>
    <w:qFormat/>
    <w:rPr/>
  </w:style>
  <w:style w:type="character" w:styleId="PtaChar" w:customStyle="1">
    <w:name w:val="Päta Char"/>
    <w:uiPriority w:val="99"/>
    <w:qFormat/>
    <w:rsid w:val="00f570bd"/>
    <w:rPr>
      <w:sz w:val="24"/>
      <w:szCs w:val="24"/>
    </w:rPr>
  </w:style>
  <w:style w:type="character" w:styleId="TextvysvetlivkyChar" w:customStyle="1">
    <w:name w:val="Text vysvetlivky Char"/>
    <w:basedOn w:val="DefaultParagraphFont"/>
    <w:uiPriority w:val="99"/>
    <w:semiHidden/>
    <w:qFormat/>
    <w:rsid w:val="009502d0"/>
    <w:rPr/>
  </w:style>
  <w:style w:type="character" w:styleId="Ukotveniekoncovejpoznmkyuser">
    <w:name w:val="Ukotvenie koncovej poznámky (user)"/>
    <w:qFormat/>
    <w:rPr>
      <w:vertAlign w:val="superscript"/>
    </w:rPr>
  </w:style>
  <w:style w:type="character" w:styleId="EndnoteCharacters">
    <w:name w:val="Endnote Characters"/>
    <w:uiPriority w:val="99"/>
    <w:semiHidden/>
    <w:unhideWhenUsed/>
    <w:qFormat/>
    <w:rsid w:val="009502d0"/>
    <w:rPr>
      <w:vertAlign w:val="superscript"/>
    </w:rPr>
  </w:style>
  <w:style w:type="character" w:styleId="HlavikaChar" w:customStyle="1">
    <w:name w:val="Hlavička Char"/>
    <w:uiPriority w:val="99"/>
    <w:qFormat/>
    <w:rsid w:val="006c0f8a"/>
    <w:rPr>
      <w:sz w:val="24"/>
      <w:szCs w:val="24"/>
    </w:rPr>
  </w:style>
  <w:style w:type="character" w:styleId="TextbublinyChar" w:customStyle="1">
    <w:name w:val="Text bubliny Char"/>
    <w:uiPriority w:val="99"/>
    <w:semiHidden/>
    <w:qFormat/>
    <w:rsid w:val="005e6d20"/>
    <w:rPr>
      <w:rFonts w:ascii="Tahoma" w:hAnsi="Tahoma" w:cs="Tahoma"/>
      <w:sz w:val="16"/>
      <w:szCs w:val="16"/>
    </w:rPr>
  </w:style>
  <w:style w:type="character" w:styleId="tl" w:customStyle="1">
    <w:name w:val="tl"/>
    <w:basedOn w:val="DefaultParagraphFont"/>
    <w:qFormat/>
    <w:rsid w:val="000a4158"/>
    <w:rPr/>
  </w:style>
  <w:style w:type="character" w:styleId="tl1Char" w:customStyle="1">
    <w:name w:val="Štýl1 Char"/>
    <w:basedOn w:val="PtaChar"/>
    <w:qFormat/>
    <w:rsid w:val="007b7ebe"/>
    <w:rPr>
      <w:sz w:val="24"/>
      <w:szCs w:val="24"/>
    </w:rPr>
  </w:style>
  <w:style w:type="character" w:styleId="ra" w:customStyle="1">
    <w:name w:val="ra"/>
    <w:basedOn w:val="DefaultParagraphFont"/>
    <w:qFormat/>
    <w:rsid w:val="000a4158"/>
    <w:rPr/>
  </w:style>
  <w:style w:type="character" w:styleId="OdsekzoznamuChar" w:customStyle="1">
    <w:name w:val="Odsek zoznamu Char"/>
    <w:uiPriority w:val="34"/>
    <w:qFormat/>
    <w:locked/>
    <w:rsid w:val="00cd1488"/>
    <w:rPr>
      <w:sz w:val="24"/>
      <w:szCs w:val="24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semiHidden/>
    <w:pPr/>
    <w:rPr>
      <w:rFonts w:ascii="Arial" w:hAnsi="Arial" w:cs="Arial"/>
      <w:sz w:val="20"/>
      <w:szCs w:val="18"/>
      <w:lang w:val="en-GB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Nadpisuser">
    <w:name w:val="Nadpis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Zkladntext" w:customStyle="1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sk-SK" w:bidi="ar-SA"/>
    </w:rPr>
  </w:style>
  <w:style w:type="paragraph" w:styleId="FootnoteText">
    <w:name w:val="footnote text"/>
    <w:basedOn w:val="Normal"/>
    <w:semiHidden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link w:val="PtaChar"/>
    <w:uiPriority w:val="99"/>
    <w:rsid w:val="00f570bd"/>
    <w:pPr>
      <w:tabs>
        <w:tab w:val="clear" w:pos="709"/>
        <w:tab w:val="center" w:pos="4536" w:leader="none"/>
        <w:tab w:val="right" w:pos="9072" w:leader="none"/>
      </w:tabs>
      <w:jc w:val="right"/>
    </w:pPr>
    <w:rPr/>
  </w:style>
  <w:style w:type="paragraph" w:styleId="BodyText2">
    <w:name w:val="Body Text 2"/>
    <w:basedOn w:val="Normal"/>
    <w:semiHidden/>
    <w:qFormat/>
    <w:pPr>
      <w:jc w:val="both"/>
    </w:pPr>
    <w:rPr/>
  </w:style>
  <w:style w:type="paragraph" w:styleId="BodyTextIndent">
    <w:name w:val="Body Text Indent"/>
    <w:basedOn w:val="Normal"/>
    <w:semiHidden/>
    <w:pPr>
      <w:ind w:firstLine="360"/>
      <w:jc w:val="both"/>
    </w:pPr>
    <w:rPr/>
  </w:style>
  <w:style w:type="paragraph" w:styleId="BodyTextIndent2">
    <w:name w:val="Body Text Indent 2"/>
    <w:basedOn w:val="Normal"/>
    <w:semiHidden/>
    <w:qFormat/>
    <w:pPr>
      <w:ind w:firstLine="360"/>
    </w:pPr>
    <w:rPr/>
  </w:style>
  <w:style w:type="paragraph" w:styleId="BodyText3">
    <w:name w:val="Body Text 3"/>
    <w:basedOn w:val="Normal"/>
    <w:semiHidden/>
    <w:qFormat/>
    <w:pPr>
      <w:ind w:hanging="0" w:right="-468"/>
      <w:jc w:val="both"/>
    </w:pPr>
    <w:rPr>
      <w:b/>
      <w:bCs/>
    </w:rPr>
  </w:style>
  <w:style w:type="paragraph" w:styleId="BlockText">
    <w:name w:val="Block Text"/>
    <w:basedOn w:val="Normal"/>
    <w:semiHidden/>
    <w:qFormat/>
    <w:pPr>
      <w:ind w:hanging="240" w:left="1680" w:right="-468"/>
    </w:pPr>
    <w:rPr/>
  </w:style>
  <w:style w:type="paragraph" w:styleId="BodyTextIndent3">
    <w:name w:val="Body Text Indent 3"/>
    <w:basedOn w:val="Normal"/>
    <w:semiHidden/>
    <w:qFormat/>
    <w:pPr>
      <w:ind w:firstLine="720" w:right="-468"/>
      <w:jc w:val="both"/>
    </w:pPr>
    <w:rPr>
      <w:bCs/>
    </w:rPr>
  </w:style>
  <w:style w:type="paragraph" w:styleId="Header">
    <w:name w:val="header"/>
    <w:basedOn w:val="Normal"/>
    <w:link w:val="HlavikaChar"/>
    <w:uiPriority w:val="99"/>
    <w:pPr>
      <w:tabs>
        <w:tab w:val="clear" w:pos="709"/>
        <w:tab w:val="center" w:pos="4703" w:leader="none"/>
        <w:tab w:val="right" w:pos="9406" w:leader="none"/>
      </w:tabs>
    </w:pPr>
    <w:rPr/>
  </w:style>
  <w:style w:type="paragraph" w:styleId="ListParagraph">
    <w:name w:val="List Paragraph"/>
    <w:basedOn w:val="Normal"/>
    <w:link w:val="OdsekzoznamuChar"/>
    <w:uiPriority w:val="34"/>
    <w:qFormat/>
    <w:rsid w:val="00ab5218"/>
    <w:pPr>
      <w:ind w:hanging="0" w:left="708"/>
    </w:pPr>
    <w:rPr/>
  </w:style>
  <w:style w:type="paragraph" w:styleId="EndnoteText">
    <w:name w:val="endnote text"/>
    <w:basedOn w:val="Normal"/>
    <w:link w:val="TextvysvetlivkyChar"/>
    <w:uiPriority w:val="99"/>
    <w:semiHidden/>
    <w:unhideWhenUsed/>
    <w:rsid w:val="009502d0"/>
    <w:pPr/>
    <w:rPr>
      <w:sz w:val="20"/>
      <w:szCs w:val="20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5e6d20"/>
    <w:pPr/>
    <w:rPr>
      <w:rFonts w:ascii="Tahoma" w:hAnsi="Tahoma"/>
      <w:sz w:val="16"/>
      <w:szCs w:val="16"/>
    </w:rPr>
  </w:style>
  <w:style w:type="paragraph" w:styleId="tl1" w:customStyle="1">
    <w:name w:val="Štýl1"/>
    <w:basedOn w:val="Footer"/>
    <w:qFormat/>
    <w:rsid w:val="007b7ebe"/>
    <w:pPr/>
    <w:rPr/>
  </w:style>
  <w:style w:type="paragraph" w:styleId="Obsahtabukyuser">
    <w:name w:val="Obsah tabuľky (user)"/>
    <w:basedOn w:val="Normal"/>
    <w:qFormat/>
    <w:pPr>
      <w:suppressLineNumbers/>
    </w:pPr>
    <w:rPr/>
  </w:style>
  <w:style w:type="paragraph" w:styleId="Nadpistabuky">
    <w:name w:val="Nadpis tabuľky"/>
    <w:basedOn w:val="Obsahtabukyuser"/>
    <w:qFormat/>
    <w:pPr>
      <w:suppressLineNumbers/>
      <w:jc w:val="center"/>
    </w:pPr>
    <w:rPr>
      <w:b/>
      <w:bCs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6c0f8a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101C83-3D1A-46B8-B877-147F82D46B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Application>LibreOffice/25.2.7.2$Windows_X86_64 LibreOffice_project/5cbfd1ab6520636bb5f7b99185aa69bd7456825d</Application>
  <AppVersion>15.0000</AppVersion>
  <DocSecurity>0</DocSecurity>
  <Pages>4</Pages>
  <Words>1402</Words>
  <Characters>8229</Characters>
  <CharactersWithSpaces>9502</CharactersWithSpaces>
  <Paragraphs>174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2020-06-26T15:18:00Z</dcterms:created>
  <dc:creator>maria</dc:creator>
  <dc:description/>
  <dc:language>sk-SK</dc:language>
  <cp:lastModifiedBy/>
  <cp:lastPrinted>2025-02-02T20:30:06Z</cp:lastPrinted>
  <dcterms:modified xsi:type="dcterms:W3CDTF">2026-02-23T20:27:36Z</dcterms:modified>
  <cp:revision>10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