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>P</w:t>
      </w:r>
      <w:r w:rsidR="00A62AC9">
        <w:rPr>
          <w:rFonts w:ascii="Calibri" w:eastAsia="Calibri" w:hAnsi="Calibri" w:cs="Calibri"/>
          <w:b/>
        </w:rPr>
        <w:t>OZNÁMKY K ÚČTOVNEJ ZÁVIERKE 2025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zostavené podľa Opatrenia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 (FS č.12/2014), ktorým sa ustanovujú podrobnosti o individuálnej účtovnej závierke a rozsahu údajov určených z individuálnej účtovnej závierky na zverejnenie</w:t>
      </w:r>
    </w:p>
    <w:p w:rsidR="00A06734" w:rsidRDefault="00A06734" w:rsidP="00A06734">
      <w:pPr>
        <w:pStyle w:val="Standard"/>
        <w:jc w:val="center"/>
        <w:rPr>
          <w:rFonts w:hint="eastAsia"/>
        </w:rPr>
      </w:pPr>
      <w:r>
        <w:rPr>
          <w:rFonts w:ascii="Calibri" w:eastAsia="Calibri" w:hAnsi="Calibri" w:cs="Calibri"/>
          <w:b/>
        </w:rPr>
        <w:t xml:space="preserve">pre </w:t>
      </w:r>
      <w:proofErr w:type="spellStart"/>
      <w:r>
        <w:rPr>
          <w:rFonts w:ascii="Calibri" w:eastAsia="Calibri" w:hAnsi="Calibri" w:cs="Calibri"/>
          <w:b/>
        </w:rPr>
        <w:t>mikro</w:t>
      </w:r>
      <w:proofErr w:type="spellEnd"/>
      <w:r>
        <w:rPr>
          <w:rFonts w:ascii="Calibri" w:eastAsia="Calibri" w:hAnsi="Calibri" w:cs="Calibri"/>
          <w:b/>
        </w:rPr>
        <w:t xml:space="preserve"> účtovné jednotky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 – VŠEOBECNÉ INFORMÁCIE</w:t>
      </w: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A06734">
      <w:pPr>
        <w:pStyle w:val="Standard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Základné informácie o účtovnej jednotke:</w:t>
      </w:r>
    </w:p>
    <w:p w:rsidR="00A06734" w:rsidRDefault="00A06734" w:rsidP="00A06734">
      <w:pPr>
        <w:pStyle w:val="Standard"/>
        <w:rPr>
          <w:rFonts w:hint="eastAsia"/>
        </w:rPr>
      </w:pPr>
    </w:p>
    <w:tbl>
      <w:tblPr>
        <w:tblW w:w="9714" w:type="dxa"/>
        <w:tblInd w:w="-217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5"/>
        <w:gridCol w:w="6879"/>
      </w:tblGrid>
      <w:tr w:rsidR="00A06734" w:rsidTr="006C5333">
        <w:trPr>
          <w:trHeight w:val="34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2D2F07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 xml:space="preserve">KG </w:t>
            </w: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capital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 xml:space="preserve">, </w:t>
            </w:r>
            <w:proofErr w:type="spellStart"/>
            <w:r>
              <w:rPr>
                <w:rFonts w:ascii="Calibri" w:eastAsia="Calibri" w:hAnsi="Calibri" w:cs="Calibri"/>
                <w:shd w:val="clear" w:color="auto" w:fill="FFFFFF"/>
              </w:rPr>
              <w:t>s.r.o</w:t>
            </w:r>
            <w:proofErr w:type="spellEnd"/>
            <w:r>
              <w:rPr>
                <w:rFonts w:ascii="Calibri" w:eastAsia="Calibri" w:hAnsi="Calibri" w:cs="Calibri"/>
                <w:shd w:val="clear" w:color="auto" w:fill="FFFFFF"/>
              </w:rPr>
              <w:t>.</w:t>
            </w:r>
          </w:p>
        </w:tc>
      </w:tr>
      <w:tr w:rsidR="00A06734" w:rsidTr="006C5333">
        <w:trPr>
          <w:trHeight w:val="3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CE28DD" w:rsidP="006C5333">
            <w:pPr>
              <w:pStyle w:val="Standard"/>
              <w:jc w:val="both"/>
              <w:rPr>
                <w:rFonts w:ascii="Calibri" w:eastAsia="Calibri" w:hAnsi="Calibri" w:cs="Calibri"/>
                <w:shd w:val="clear" w:color="auto" w:fill="FFFFFF"/>
              </w:rPr>
            </w:pPr>
            <w:r>
              <w:rPr>
                <w:rFonts w:ascii="Calibri" w:eastAsia="Calibri" w:hAnsi="Calibri" w:cs="Calibri"/>
                <w:shd w:val="clear" w:color="auto" w:fill="FFFFFF"/>
              </w:rPr>
              <w:t>023 05  Nová Bystrica 767</w:t>
            </w:r>
          </w:p>
        </w:tc>
      </w:tr>
      <w:tr w:rsidR="00A06734" w:rsidTr="006C5333">
        <w:trPr>
          <w:trHeight w:val="180"/>
        </w:trPr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3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Spoločnosť s ručením obmedzeným</w:t>
            </w:r>
          </w:p>
        </w:tc>
      </w:tr>
      <w:tr w:rsidR="00A06734" w:rsidTr="006C5333">
        <w:trPr>
          <w:trHeight w:val="2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 xml:space="preserve">Zápis do obchodného registra: </w:t>
            </w:r>
            <w:r w:rsidR="002D2F07">
              <w:rPr>
                <w:rFonts w:ascii="Calibri" w:eastAsia="Calibri" w:hAnsi="Calibri" w:cs="Calibri"/>
                <w:shd w:val="clear" w:color="auto" w:fill="FFFFFF"/>
              </w:rPr>
              <w:t xml:space="preserve"> 1.7.2025</w:t>
            </w:r>
          </w:p>
        </w:tc>
      </w:tr>
      <w:tr w:rsidR="00A06734" w:rsidTr="006C5333">
        <w:trPr>
          <w:trHeight w:val="26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ind w:right="1027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hint="eastAsia"/>
              </w:rPr>
            </w:pPr>
          </w:p>
          <w:p w:rsidR="00A06734" w:rsidRDefault="002D2F07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Ostatné dokončovacie stavebné práce</w:t>
            </w:r>
          </w:p>
        </w:tc>
      </w:tr>
      <w:tr w:rsidR="00A06734" w:rsidTr="006C5333">
        <w:trPr>
          <w:trHeight w:val="52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CE28DD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 xml:space="preserve">Spoločnosť </w:t>
            </w:r>
            <w:r w:rsidR="00A06734">
              <w:rPr>
                <w:rFonts w:ascii="Calibri" w:eastAsia="Calibri" w:hAnsi="Calibri" w:cs="Calibri"/>
              </w:rPr>
              <w:t xml:space="preserve"> nie je subjektom verejného záujmu (§ 2/14 </w:t>
            </w:r>
            <w:proofErr w:type="spellStart"/>
            <w:r w:rsidR="00A06734">
              <w:rPr>
                <w:rFonts w:ascii="Calibri" w:eastAsia="Calibri" w:hAnsi="Calibri" w:cs="Calibri"/>
              </w:rPr>
              <w:t>ZoU</w:t>
            </w:r>
            <w:proofErr w:type="spellEnd"/>
            <w:r w:rsidR="00A06734">
              <w:rPr>
                <w:rFonts w:ascii="Calibri" w:eastAsia="Calibri" w:hAnsi="Calibri" w:cs="Calibri"/>
              </w:rPr>
              <w:t>).</w:t>
            </w:r>
          </w:p>
        </w:tc>
      </w:tr>
      <w:tr w:rsidR="00A06734" w:rsidTr="006C5333">
        <w:trPr>
          <w:trHeight w:val="300"/>
        </w:trPr>
        <w:tc>
          <w:tcPr>
            <w:tcW w:w="2835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9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1"/>
              <w:left w:val="single" w:sz="8" w:space="0" w:color="000001"/>
              <w:bottom w:val="single" w:sz="8" w:space="0" w:color="000001"/>
              <w:right w:val="single" w:sz="8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F12C10" w:rsidP="006C533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eastAsia="Calibri" w:hAnsi="Calibri" w:cs="Calibri"/>
              </w:rPr>
              <w:t>Kalendárny</w:t>
            </w:r>
            <w:r w:rsidR="00A62AC9">
              <w:rPr>
                <w:rFonts w:ascii="Calibri" w:eastAsia="Calibri" w:hAnsi="Calibri" w:cs="Calibri"/>
              </w:rPr>
              <w:t xml:space="preserve"> rok 2025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  <w:r>
        <w:rPr>
          <w:rFonts w:ascii="Calibri" w:eastAsia="Calibri" w:hAnsi="Calibri" w:cs="Calibri"/>
        </w:rPr>
        <w:t xml:space="preserve">UJ bola </w:t>
      </w:r>
      <w:r w:rsidR="001E3ED6">
        <w:rPr>
          <w:rFonts w:ascii="Calibri" w:eastAsia="Calibri" w:hAnsi="Calibri" w:cs="Calibri"/>
        </w:rPr>
        <w:t>v účtovnom období roku 202</w:t>
      </w:r>
      <w:r w:rsidR="00A62AC9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– </w:t>
      </w:r>
      <w:proofErr w:type="spellStart"/>
      <w:r>
        <w:rPr>
          <w:rFonts w:ascii="Calibri" w:eastAsia="Calibri" w:hAnsi="Calibri" w:cs="Calibri"/>
        </w:rPr>
        <w:t>mikro</w:t>
      </w:r>
      <w:proofErr w:type="spellEnd"/>
      <w:r>
        <w:rPr>
          <w:rFonts w:ascii="Calibri" w:eastAsia="Calibri" w:hAnsi="Calibri" w:cs="Calibri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</w:rPr>
        <w:t>č.MF</w:t>
      </w:r>
      <w:proofErr w:type="spellEnd"/>
      <w:r>
        <w:rPr>
          <w:rFonts w:ascii="Calibri" w:eastAsia="Calibri" w:hAnsi="Calibri" w:cs="Calibri"/>
        </w:rPr>
        <w:t>/23378/2014-74).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</w:p>
    <w:p w:rsidR="00A06734" w:rsidRDefault="00A06734" w:rsidP="00076332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Dátum schválenia účtovnej závierky za bezprostredne predchádzajúce účtovné obdobie príslušným orgánom účtovnej jednotky</w:t>
      </w:r>
      <w:r w:rsidR="00CE28DD">
        <w:rPr>
          <w:rFonts w:ascii="Calibri" w:eastAsia="Calibri" w:hAnsi="Calibri" w:cs="Calibri"/>
        </w:rPr>
        <w:t xml:space="preserve"> : </w:t>
      </w:r>
    </w:p>
    <w:p w:rsidR="00A06734" w:rsidRDefault="00A06734" w:rsidP="00A06734">
      <w:pPr>
        <w:pStyle w:val="Standard"/>
        <w:widowControl w:val="0"/>
        <w:rPr>
          <w:rFonts w:hint="eastAsia"/>
        </w:rPr>
      </w:pPr>
      <w:r>
        <w:rPr>
          <w:rFonts w:ascii="Calibri" w:eastAsia="Calibri" w:hAnsi="Calibri" w:cs="Calibri"/>
        </w:rPr>
        <w:t xml:space="preserve">3) Právny dôvod na zostavenie účtovnej závierky: Účtovná závierka Spoločnosti k 31.12. je zostavená ako riadna účtovná závierka podľa §17 ods. 6 Zákona č. 431/2002 </w:t>
      </w:r>
      <w:proofErr w:type="spellStart"/>
      <w:r>
        <w:rPr>
          <w:rFonts w:ascii="Calibri" w:eastAsia="Calibri" w:hAnsi="Calibri" w:cs="Calibri"/>
        </w:rPr>
        <w:t>Z.z</w:t>
      </w:r>
      <w:proofErr w:type="spellEnd"/>
      <w:r>
        <w:rPr>
          <w:rFonts w:ascii="Calibri" w:eastAsia="Calibri" w:hAnsi="Calibri" w:cs="Calibri"/>
        </w:rPr>
        <w:t>. o účtovníctve z</w:t>
      </w:r>
      <w:r w:rsidR="00F12C10">
        <w:rPr>
          <w:rFonts w:ascii="Calibri" w:eastAsia="Calibri" w:hAnsi="Calibri" w:cs="Calibri"/>
        </w:rPr>
        <w:t>a účtovn</w:t>
      </w:r>
      <w:r w:rsidR="002D2F07">
        <w:rPr>
          <w:rFonts w:ascii="Calibri" w:eastAsia="Calibri" w:hAnsi="Calibri" w:cs="Calibri"/>
        </w:rPr>
        <w:t>é obdobie od 1.7</w:t>
      </w:r>
      <w:r w:rsidR="00F12C10">
        <w:rPr>
          <w:rFonts w:ascii="Calibri" w:eastAsia="Calibri" w:hAnsi="Calibri" w:cs="Calibri"/>
        </w:rPr>
        <w:t xml:space="preserve"> 202</w:t>
      </w:r>
      <w:r w:rsidR="00A62AC9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do 31.</w:t>
      </w:r>
      <w:r w:rsidR="00A62AC9">
        <w:rPr>
          <w:rFonts w:ascii="Calibri" w:eastAsia="Calibri" w:hAnsi="Calibri" w:cs="Calibri"/>
        </w:rPr>
        <w:t xml:space="preserve"> 12.2025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nie je v skupine účtovných jednotiek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Priemerný prepočítaný počet zamestnancov účtovnej jednotky:</w:t>
      </w:r>
    </w:p>
    <w:tbl>
      <w:tblPr>
        <w:tblW w:w="9747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55"/>
        <w:gridCol w:w="2523"/>
        <w:gridCol w:w="2369"/>
      </w:tblGrid>
      <w:tr w:rsidR="00A06734" w:rsidTr="006C5333">
        <w:trPr>
          <w:trHeight w:val="52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right="459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160"/>
        </w:trPr>
        <w:tc>
          <w:tcPr>
            <w:tcW w:w="485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2D2F07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  <w:bookmarkStart w:id="0" w:name="_GoBack"/>
            <w:bookmarkEnd w:id="0"/>
          </w:p>
        </w:tc>
        <w:tc>
          <w:tcPr>
            <w:tcW w:w="23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CE28DD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A06734" w:rsidRDefault="00A06734" w:rsidP="00A06734">
      <w:pPr>
        <w:pStyle w:val="Standard"/>
        <w:ind w:left="928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 – INFORMÁCIE O ORGÁNOCH SPOLOČNOSTI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  <w:r>
        <w:rPr>
          <w:rFonts w:ascii="Calibri" w:eastAsia="Calibri" w:hAnsi="Calibri" w:cs="Calibri"/>
          <w:b/>
        </w:rPr>
        <w:t>Informácie o orgánoch účtovnej jednotky</w:t>
      </w:r>
      <w:r>
        <w:rPr>
          <w:rFonts w:ascii="Calibri" w:eastAsia="Calibri" w:hAnsi="Calibri" w:cs="Calibri"/>
        </w:rPr>
        <w:t xml:space="preserve"> – štatutárneho orgánu, dozorného orgánu a iného orgánu účtovnej jednotky, pričom sa uvádzajú najmä informácie – o podmienkach a výške jednotlivých </w:t>
      </w:r>
      <w:r>
        <w:rPr>
          <w:rFonts w:ascii="Calibri" w:eastAsia="Calibri" w:hAnsi="Calibri" w:cs="Calibri"/>
        </w:rPr>
        <w:lastRenderedPageBreak/>
        <w:t>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W w:w="98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A06734" w:rsidTr="006C5333">
        <w:trPr>
          <w:trHeight w:val="8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Orgány účtovnej jednotky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Štatutárny orgán/Spoločník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</w:p>
        </w:tc>
      </w:tr>
      <w:tr w:rsidR="00A06734" w:rsidTr="006C5333">
        <w:trPr>
          <w:trHeight w:val="2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4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4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5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 </w:t>
            </w: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Spoločník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pôžička celkovo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numPr>
                <w:ilvl w:val="0"/>
                <w:numId w:val="2"/>
              </w:numPr>
              <w:ind w:hanging="360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druh príjmu (výhody):</w:t>
            </w: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  <w:tr w:rsidR="00A06734" w:rsidTr="006C5333">
        <w:trPr>
          <w:trHeight w:val="160"/>
          <w:jc w:val="center"/>
        </w:trPr>
        <w:tc>
          <w:tcPr>
            <w:tcW w:w="49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ind w:left="720"/>
              <w:rPr>
                <w:rFonts w:hint="eastAsia"/>
              </w:rPr>
            </w:pPr>
          </w:p>
        </w:tc>
        <w:tc>
          <w:tcPr>
            <w:tcW w:w="24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  <w:tc>
          <w:tcPr>
            <w:tcW w:w="23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hint="eastAsia"/>
              </w:rPr>
            </w:pP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III – INFORMÁCIE O PRIJATÝCH POSTUPOCH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 v zmysle § 7 ods. 4 zákona o účtovníctve.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Účtovné metódy vychádzajúce z interných smerníc spoločnosti a všeobecné účtovné zásady boli účtovnou jednotkou konzistentne aplikované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3) ÚJ neeviduje žiadne transakcie, ktoré sa neuvádzajú v súvahe.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Spôsob a určenie oceňovania majetku a záväzkov (vrátane rozhodujúcich odhadov):</w:t>
      </w: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):</w:t>
      </w:r>
    </w:p>
    <w:p w:rsidR="00A06734" w:rsidRDefault="00A06734" w:rsidP="00A06734">
      <w:pPr>
        <w:pStyle w:val="Standard"/>
        <w:widowControl w:val="0"/>
        <w:tabs>
          <w:tab w:val="left" w:pos="808"/>
        </w:tabs>
        <w:jc w:val="both"/>
        <w:rPr>
          <w:rFonts w:hint="eastAsia"/>
        </w:rPr>
      </w:pP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Spôsob oceňovania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externe kúpený: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Dlhodobý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náklady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Reprodukčná 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lastRenderedPageBreak/>
              <w:t>14.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18.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Majetok a záväzky zabezpečené derivátmi: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19.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Obstarávacia cena</w:t>
            </w:r>
          </w:p>
        </w:tc>
      </w:tr>
      <w:tr w:rsidR="00A06734" w:rsidTr="006C5333">
        <w:tc>
          <w:tcPr>
            <w:tcW w:w="7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Splatná daň z príjmov a odložená daň z príjmov:</w:t>
            </w:r>
          </w:p>
        </w:tc>
        <w:tc>
          <w:tcPr>
            <w:tcW w:w="36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widowControl w:val="0"/>
              <w:tabs>
                <w:tab w:val="left" w:pos="808"/>
              </w:tabs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Menovitá hodnota</w:t>
            </w:r>
          </w:p>
        </w:tc>
      </w:tr>
    </w:tbl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b) Trvalé zníženie hodnoty majetku nebolo účtované.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c) Záväzky účtovná jednotka ocenila menovitou hodnotou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).</w:t>
      </w: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keepNext/>
        <w:tabs>
          <w:tab w:val="left" w:pos="1005"/>
        </w:tabs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f) Tvorba odpisového plánu pre dlhodobý majetok, pričom sa uvádza doba odpisovania, sadzby odpisov a odpisové metódy pre účtovné odpisy:</w:t>
      </w:r>
    </w:p>
    <w:tbl>
      <w:tblPr>
        <w:tblW w:w="9606" w:type="dxa"/>
        <w:tblInd w:w="-222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217"/>
        <w:gridCol w:w="1014"/>
        <w:gridCol w:w="2107"/>
        <w:gridCol w:w="2268"/>
      </w:tblGrid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Dlhodobý hmotný a nehmotný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odpisovaný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číslo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doba odpisovania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(počet rokov)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odpisová sadzba</w:t>
            </w:r>
          </w:p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(%)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Software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013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DNM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019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Stavby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Počítače s príslušenstvom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Ostatné stroje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  <w:tr w:rsidR="00A06734" w:rsidTr="006C5333">
        <w:tc>
          <w:tcPr>
            <w:tcW w:w="42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Ostatný dlhodobý hmotný majetok</w:t>
            </w:r>
          </w:p>
        </w:tc>
        <w:tc>
          <w:tcPr>
            <w:tcW w:w="10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25</w:t>
            </w:r>
          </w:p>
        </w:tc>
      </w:tr>
    </w:tbl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 </w:t>
      </w:r>
    </w:p>
    <w:p w:rsidR="00A06734" w:rsidRDefault="00A06734" w:rsidP="00A06734">
      <w:pPr>
        <w:pStyle w:val="Standard"/>
        <w:spacing w:after="120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Komentár k odpisovému plánu:</w:t>
      </w:r>
    </w:p>
    <w:p w:rsidR="00A06734" w:rsidRDefault="00A06734" w:rsidP="00A06734">
      <w:pPr>
        <w:pStyle w:val="Standard"/>
        <w:numPr>
          <w:ilvl w:val="0"/>
          <w:numId w:val="6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</w:rPr>
        <w:t>komponentné</w:t>
      </w:r>
      <w:proofErr w:type="spellEnd"/>
      <w:r>
        <w:rPr>
          <w:rFonts w:ascii="Calibri" w:eastAsia="Calibri" w:hAnsi="Calibri" w:cs="Calibri"/>
        </w:rPr>
        <w:t xml:space="preserve"> odpisovanie (odpisovanie častí majetku - komponentov).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hint="eastAsia"/>
        </w:rPr>
      </w:pPr>
      <w:r>
        <w:rPr>
          <w:rFonts w:ascii="Calibri" w:eastAsia="Calibri" w:hAnsi="Calibri" w:cs="Calibri"/>
        </w:rPr>
        <w:t>UJ nepoužila jednorazový odpis</w:t>
      </w:r>
      <w:r>
        <w:rPr>
          <w:rFonts w:ascii="Calibri" w:eastAsia="Calibri" w:hAnsi="Calibri" w:cs="Calibri"/>
          <w:b/>
        </w:rPr>
        <w:t xml:space="preserve"> </w:t>
      </w:r>
      <w:r>
        <w:rPr>
          <w:rFonts w:ascii="Calibri" w:eastAsia="Calibri" w:hAnsi="Calibri" w:cs="Calibri"/>
        </w:rPr>
        <w:t>dlhodobého majetku z dôvodu jednorazového trvalého zníženia hodnoty majetku (§ 21/5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kategóriu drobného dlhodobého nehmotného majetku - položky pod 2 400 eur jednotkovej ceny so životnosťou nad jeden rok (§ 13/2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kategóriu drobného dlhodobého hmotného majetku - položky pod 1 700 eur jednotkovej ceny so životnosťou nad jeden rok (§ 13/6 PU).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left="227" w:hanging="227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lastRenderedPageBreak/>
        <w:t>ÚJ nepoužíva dobrovoľné účtovanie podlimitného technického zhodnotenia do odpisovaného dlhodobého majetku – technické zhodnotenie pod 1 700 eur za účtovné obdobie (§ 21/3 PU; § 29/2 ZDP).</w:t>
      </w:r>
    </w:p>
    <w:p w:rsidR="00A06734" w:rsidRDefault="00A06734" w:rsidP="00A06734">
      <w:pPr>
        <w:pStyle w:val="Standard"/>
        <w:numPr>
          <w:ilvl w:val="0"/>
          <w:numId w:val="3"/>
        </w:numPr>
        <w:spacing w:after="120"/>
        <w:ind w:hanging="36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ÚJ nepoužíva dobrovoľnú kapitalizáciu úrokov do obstarávacej ceny odpisovaného dlhodobého hmotného majetku alebo dlhodobého nehmotného majetku (§ 34/1 PU; § 35/2/h PU).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>g) ÚJ neb</w:t>
      </w:r>
      <w:r w:rsidR="00F12C10">
        <w:rPr>
          <w:rFonts w:ascii="Calibri" w:eastAsia="Calibri" w:hAnsi="Calibri" w:cs="Calibri"/>
        </w:rPr>
        <w:t>o</w:t>
      </w:r>
      <w:r w:rsidR="00EE5FF0">
        <w:rPr>
          <w:rFonts w:ascii="Calibri" w:eastAsia="Calibri" w:hAnsi="Calibri" w:cs="Calibri"/>
        </w:rPr>
        <w:t>li v zdaňovacom období roku 202</w:t>
      </w:r>
      <w:r w:rsidR="00A62AC9">
        <w:rPr>
          <w:rFonts w:ascii="Calibri" w:eastAsia="Calibri" w:hAnsi="Calibri" w:cs="Calibri"/>
        </w:rPr>
        <w:t>5</w:t>
      </w:r>
      <w:r>
        <w:rPr>
          <w:rFonts w:ascii="Calibri" w:eastAsia="Calibri" w:hAnsi="Calibri" w:cs="Calibri"/>
        </w:rPr>
        <w:t xml:space="preserve"> poskytnuté žiadne dotácie</w:t>
      </w:r>
    </w:p>
    <w:p w:rsidR="00A06734" w:rsidRDefault="00A06734" w:rsidP="00A06734">
      <w:pPr>
        <w:pStyle w:val="Standard"/>
        <w:keepNext/>
        <w:spacing w:after="120"/>
        <w:jc w:val="both"/>
        <w:rPr>
          <w:rFonts w:hint="eastAsia"/>
        </w:rPr>
      </w:pPr>
    </w:p>
    <w:p w:rsidR="002345EF" w:rsidRDefault="00A06734" w:rsidP="00A06734">
      <w:pPr>
        <w:pStyle w:val="Standard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5) </w:t>
      </w:r>
      <w:r w:rsidR="00DD1BD9">
        <w:rPr>
          <w:rFonts w:ascii="Calibri" w:eastAsia="Calibri" w:hAnsi="Calibri" w:cs="Calibri"/>
        </w:rPr>
        <w:t>ÚJ v zdaňovacom období roku 202</w:t>
      </w:r>
      <w:r w:rsidR="00A62AC9">
        <w:rPr>
          <w:rFonts w:ascii="Calibri" w:eastAsia="Calibri" w:hAnsi="Calibri" w:cs="Calibri"/>
        </w:rPr>
        <w:t>5</w:t>
      </w:r>
    </w:p>
    <w:p w:rsidR="00A06734" w:rsidRDefault="00A06734" w:rsidP="00A06734">
      <w:pPr>
        <w:pStyle w:val="Standard"/>
        <w:rPr>
          <w:rFonts w:hint="eastAsia"/>
        </w:rPr>
      </w:pPr>
      <w:r>
        <w:rPr>
          <w:rFonts w:ascii="Calibri" w:eastAsia="Calibri" w:hAnsi="Calibri" w:cs="Calibri"/>
        </w:rPr>
        <w:t xml:space="preserve"> nevykonala žiadne opravy významných chýb.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IV – INFORMÁCIE, KTORÉ VYSVETĽUJÚ A DOPĹŇAJÚ SÚVAHU A VÝKAZ ZISKOV A STRÁT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neeviduje žiadne položky nehmotného majetku.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položky významných derivátov, majetku a záväzkoch zabezpečených derivátmi.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  <w:t xml:space="preserve"> ako 5 rokov:  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tbl>
      <w:tblPr>
        <w:tblW w:w="971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785"/>
        <w:gridCol w:w="2551"/>
        <w:gridCol w:w="2378"/>
      </w:tblGrid>
      <w:tr w:rsidR="00A06734" w:rsidTr="006C5333">
        <w:trPr>
          <w:trHeight w:val="68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Názov položky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Bežné účtovné obdobie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  <w:b/>
              </w:rPr>
            </w:pPr>
            <w:r>
              <w:rPr>
                <w:rFonts w:ascii="Calibri" w:eastAsia="Calibri" w:hAnsi="Calibri" w:cs="Calibri"/>
                <w:b/>
              </w:rPr>
              <w:t>Bezprostredne predchádzajúce účtovné obdobie</w:t>
            </w:r>
          </w:p>
        </w:tc>
      </w:tr>
      <w:tr w:rsidR="00A06734" w:rsidTr="006C5333">
        <w:trPr>
          <w:trHeight w:val="200"/>
          <w:jc w:val="center"/>
        </w:trPr>
        <w:tc>
          <w:tcPr>
            <w:tcW w:w="47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Záväzky so zostatkovou dobou splatnosti nad 5 rokov</w:t>
            </w:r>
          </w:p>
        </w:tc>
        <w:tc>
          <w:tcPr>
            <w:tcW w:w="255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A06734" w:rsidRDefault="00A06734" w:rsidP="006C5333">
            <w:pPr>
              <w:pStyle w:val="Standard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0</w:t>
            </w:r>
          </w:p>
        </w:tc>
      </w:tr>
    </w:tbl>
    <w:p w:rsidR="00A06734" w:rsidRDefault="00A06734" w:rsidP="00A06734">
      <w:pPr>
        <w:pStyle w:val="Standard"/>
        <w:spacing w:before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3b) ÚJ neeviduje žiadne položky zabezpečených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4) ÚJ neeviduje žiadne vlastné akcie.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5) ÚJ neeviduje žiadne položky nákladov alebo výnosov, ktoré majú výnimočný rozsah alebo výskyt.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 – INFORMÁCIE O INÝCH AKTÍVACH A INÝCH PASÍVACH</w:t>
      </w:r>
    </w:p>
    <w:p w:rsidR="00A06734" w:rsidRDefault="00A06734" w:rsidP="00A06734">
      <w:pPr>
        <w:pStyle w:val="Standard"/>
        <w:spacing w:after="120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1a) ÚJ neeviduje žiadne položky podmieneného majetku.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1b) ÚJ neeviduje žiadne položky podmienených záväzkov.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2) ÚJ neeviduje žiadne ostatné finančné povinnosti, ktoré a nevykazujú v účtovných výkazoch.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3 V účtovníctve ÚJ sa nenachádzajú žiadne položky evidované na podsúvahových účtoch.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 – UDALOSTI, KTORÉ NASTALI PO ZÁVIERKOVOM DNI</w:t>
      </w: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(Následné udalosti)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</w:rPr>
        <w:t>závierkovom</w:t>
      </w:r>
      <w:proofErr w:type="spellEnd"/>
      <w:r>
        <w:rPr>
          <w:rFonts w:ascii="Calibri" w:eastAsia="Calibri" w:hAnsi="Calibri" w:cs="Calibri"/>
        </w:rPr>
        <w:t xml:space="preserve"> dni.</w:t>
      </w: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hint="eastAsia"/>
        </w:rPr>
      </w:pPr>
    </w:p>
    <w:p w:rsidR="00A06734" w:rsidRDefault="00A06734" w:rsidP="00A06734">
      <w:pPr>
        <w:pStyle w:val="Standard"/>
        <w:jc w:val="center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Článok VII – OSTATNÉ INFORMÁCIE</w:t>
      </w:r>
    </w:p>
    <w:p w:rsidR="00A06734" w:rsidRDefault="00A06734" w:rsidP="00A06734">
      <w:pPr>
        <w:pStyle w:val="Standard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1) ÚJ nemá žiadne právo poskytovať služby vo verejnom záujme.</w:t>
      </w: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</w:rPr>
        <w:t>ZoU</w:t>
      </w:r>
      <w:proofErr w:type="spellEnd"/>
      <w:r>
        <w:rPr>
          <w:rFonts w:ascii="Calibri" w:eastAsia="Calibri" w:hAnsi="Calibri" w:cs="Calibri"/>
        </w:rPr>
        <w:t>)</w:t>
      </w:r>
    </w:p>
    <w:p w:rsidR="00A06734" w:rsidRDefault="00A06734" w:rsidP="00A06734">
      <w:pPr>
        <w:pStyle w:val="Standard"/>
        <w:spacing w:after="120"/>
        <w:jc w:val="both"/>
        <w:rPr>
          <w:rFonts w:hint="eastAsia"/>
        </w:rPr>
      </w:pPr>
    </w:p>
    <w:p w:rsidR="00A06734" w:rsidRDefault="00A06734" w:rsidP="00A06734">
      <w:pPr>
        <w:pStyle w:val="Standard"/>
        <w:spacing w:after="120"/>
        <w:rPr>
          <w:rFonts w:hint="eastAsia"/>
        </w:rPr>
      </w:pPr>
    </w:p>
    <w:p w:rsidR="00A06734" w:rsidRDefault="00A06734" w:rsidP="00A06734">
      <w:pPr>
        <w:pStyle w:val="Standard"/>
        <w:spacing w:after="120"/>
        <w:jc w:val="both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ab/>
      </w:r>
      <w:r>
        <w:rPr>
          <w:rFonts w:ascii="Calibri" w:eastAsia="Calibri" w:hAnsi="Calibri" w:cs="Calibri"/>
        </w:rPr>
        <w:tab/>
      </w:r>
    </w:p>
    <w:p w:rsidR="00173538" w:rsidRDefault="00173538">
      <w:pPr>
        <w:rPr>
          <w:rFonts w:hint="eastAsia"/>
        </w:rPr>
      </w:pPr>
    </w:p>
    <w:sectPr w:rsidR="00173538">
      <w:pgSz w:w="11906" w:h="16838"/>
      <w:pgMar w:top="1134" w:right="1134" w:bottom="1134" w:left="1134" w:header="708" w:footer="708" w:gutter="0"/>
      <w:pgNumType w:start="1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8C0F52"/>
    <w:multiLevelType w:val="multilevel"/>
    <w:tmpl w:val="D6421A8C"/>
    <w:styleLink w:val="WWNum1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1" w15:restartNumberingAfterBreak="0">
    <w:nsid w:val="596D7F61"/>
    <w:multiLevelType w:val="multilevel"/>
    <w:tmpl w:val="E6DE99E2"/>
    <w:styleLink w:val="WWNum3"/>
    <w:lvl w:ilvl="0">
      <w:numFmt w:val="bullet"/>
      <w:lvlText w:val="-"/>
      <w:lvlJc w:val="left"/>
      <w:pPr>
        <w:ind w:left="720" w:firstLine="36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440" w:firstLine="108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2160" w:firstLine="180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880" w:firstLine="252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600" w:firstLine="324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4320" w:firstLine="396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5040" w:firstLine="468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760" w:firstLine="540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480" w:firstLine="6120"/>
      </w:pPr>
      <w:rPr>
        <w:rFonts w:ascii="Arial" w:hAnsi="Arial" w:cs="Arial"/>
        <w:position w:val="0"/>
        <w:sz w:val="24"/>
        <w:vertAlign w:val="baseline"/>
      </w:rPr>
    </w:lvl>
  </w:abstractNum>
  <w:abstractNum w:abstractNumId="2" w15:restartNumberingAfterBreak="0">
    <w:nsid w:val="741A643E"/>
    <w:multiLevelType w:val="multilevel"/>
    <w:tmpl w:val="F9443828"/>
    <w:styleLink w:val="WWNum2"/>
    <w:lvl w:ilvl="0">
      <w:numFmt w:val="bullet"/>
      <w:lvlText w:val="➢"/>
      <w:lvlJc w:val="left"/>
      <w:pPr>
        <w:ind w:left="360" w:firstLine="0"/>
      </w:pPr>
      <w:rPr>
        <w:rFonts w:ascii="Arial" w:hAnsi="Arial" w:cs="Arial"/>
        <w:position w:val="0"/>
        <w:sz w:val="24"/>
        <w:vertAlign w:val="baseline"/>
      </w:rPr>
    </w:lvl>
    <w:lvl w:ilvl="1">
      <w:numFmt w:val="bullet"/>
      <w:lvlText w:val="o"/>
      <w:lvlJc w:val="left"/>
      <w:pPr>
        <w:ind w:left="1080" w:firstLine="720"/>
      </w:pPr>
      <w:rPr>
        <w:rFonts w:ascii="Arial" w:hAnsi="Arial" w:cs="Arial"/>
        <w:position w:val="0"/>
        <w:sz w:val="24"/>
        <w:vertAlign w:val="baseline"/>
      </w:rPr>
    </w:lvl>
    <w:lvl w:ilvl="2">
      <w:numFmt w:val="bullet"/>
      <w:lvlText w:val="▪"/>
      <w:lvlJc w:val="left"/>
      <w:pPr>
        <w:ind w:left="1800" w:firstLine="1440"/>
      </w:pPr>
      <w:rPr>
        <w:rFonts w:ascii="Arial" w:hAnsi="Arial" w:cs="Arial"/>
        <w:position w:val="0"/>
        <w:sz w:val="24"/>
        <w:vertAlign w:val="baseline"/>
      </w:rPr>
    </w:lvl>
    <w:lvl w:ilvl="3">
      <w:numFmt w:val="bullet"/>
      <w:lvlText w:val="●"/>
      <w:lvlJc w:val="left"/>
      <w:pPr>
        <w:ind w:left="2520" w:firstLine="2160"/>
      </w:pPr>
      <w:rPr>
        <w:rFonts w:ascii="Arial" w:hAnsi="Arial" w:cs="Arial"/>
        <w:position w:val="0"/>
        <w:sz w:val="24"/>
        <w:vertAlign w:val="baseline"/>
      </w:rPr>
    </w:lvl>
    <w:lvl w:ilvl="4">
      <w:numFmt w:val="bullet"/>
      <w:lvlText w:val="o"/>
      <w:lvlJc w:val="left"/>
      <w:pPr>
        <w:ind w:left="3240" w:firstLine="2880"/>
      </w:pPr>
      <w:rPr>
        <w:rFonts w:ascii="Arial" w:hAnsi="Arial" w:cs="Arial"/>
        <w:position w:val="0"/>
        <w:sz w:val="24"/>
        <w:vertAlign w:val="baseline"/>
      </w:rPr>
    </w:lvl>
    <w:lvl w:ilvl="5">
      <w:numFmt w:val="bullet"/>
      <w:lvlText w:val="▪"/>
      <w:lvlJc w:val="left"/>
      <w:pPr>
        <w:ind w:left="3960" w:firstLine="3600"/>
      </w:pPr>
      <w:rPr>
        <w:rFonts w:ascii="Arial" w:hAnsi="Arial" w:cs="Arial"/>
        <w:position w:val="0"/>
        <w:sz w:val="24"/>
        <w:vertAlign w:val="baseline"/>
      </w:rPr>
    </w:lvl>
    <w:lvl w:ilvl="6">
      <w:numFmt w:val="bullet"/>
      <w:lvlText w:val="●"/>
      <w:lvlJc w:val="left"/>
      <w:pPr>
        <w:ind w:left="4680" w:firstLine="4320"/>
      </w:pPr>
      <w:rPr>
        <w:rFonts w:ascii="Arial" w:hAnsi="Arial" w:cs="Arial"/>
        <w:position w:val="0"/>
        <w:sz w:val="24"/>
        <w:vertAlign w:val="baseline"/>
      </w:rPr>
    </w:lvl>
    <w:lvl w:ilvl="7">
      <w:numFmt w:val="bullet"/>
      <w:lvlText w:val="o"/>
      <w:lvlJc w:val="left"/>
      <w:pPr>
        <w:ind w:left="5400" w:firstLine="5040"/>
      </w:pPr>
      <w:rPr>
        <w:rFonts w:ascii="Arial" w:hAnsi="Arial" w:cs="Arial"/>
        <w:position w:val="0"/>
        <w:sz w:val="24"/>
        <w:vertAlign w:val="baseline"/>
      </w:rPr>
    </w:lvl>
    <w:lvl w:ilvl="8">
      <w:numFmt w:val="bullet"/>
      <w:lvlText w:val="▪"/>
      <w:lvlJc w:val="left"/>
      <w:pPr>
        <w:ind w:left="6120" w:firstLine="5760"/>
      </w:pPr>
      <w:rPr>
        <w:rFonts w:ascii="Arial" w:hAnsi="Arial" w:cs="Arial"/>
        <w:position w:val="0"/>
        <w:sz w:val="24"/>
        <w:vertAlign w:val="baseline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1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6734"/>
    <w:rsid w:val="00076332"/>
    <w:rsid w:val="00173538"/>
    <w:rsid w:val="001E3ED6"/>
    <w:rsid w:val="002345EF"/>
    <w:rsid w:val="002D2F07"/>
    <w:rsid w:val="00A06734"/>
    <w:rsid w:val="00A62AC9"/>
    <w:rsid w:val="00CE28DD"/>
    <w:rsid w:val="00DD1BD9"/>
    <w:rsid w:val="00EE5FF0"/>
    <w:rsid w:val="00F12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FF228D-D497-443C-AFBF-4E7BD72901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A06734"/>
    <w:pPr>
      <w:suppressAutoHyphens/>
      <w:autoSpaceDN w:val="0"/>
      <w:spacing w:after="0" w:line="240" w:lineRule="auto"/>
      <w:textAlignment w:val="baseline"/>
    </w:pPr>
    <w:rPr>
      <w:rFonts w:ascii="Liberation Serif" w:eastAsia="SimSun" w:hAnsi="Liberation Serif" w:cs="Arial"/>
      <w:kern w:val="3"/>
      <w:sz w:val="24"/>
      <w:szCs w:val="24"/>
      <w:lang w:eastAsia="zh-CN" w:bidi="hi-IN"/>
    </w:rPr>
  </w:style>
  <w:style w:type="numbering" w:customStyle="1" w:styleId="WWNum3">
    <w:name w:val="WWNum3"/>
    <w:basedOn w:val="Bezzoznamu"/>
    <w:rsid w:val="00A06734"/>
    <w:pPr>
      <w:numPr>
        <w:numId w:val="1"/>
      </w:numPr>
    </w:pPr>
  </w:style>
  <w:style w:type="numbering" w:customStyle="1" w:styleId="WWNum1">
    <w:name w:val="WWNum1"/>
    <w:basedOn w:val="Bezzoznamu"/>
    <w:rsid w:val="00A06734"/>
    <w:pPr>
      <w:numPr>
        <w:numId w:val="2"/>
      </w:numPr>
    </w:pPr>
  </w:style>
  <w:style w:type="numbering" w:customStyle="1" w:styleId="WWNum2">
    <w:name w:val="WWNum2"/>
    <w:basedOn w:val="Bezzoznamu"/>
    <w:rsid w:val="00A06734"/>
    <w:pPr>
      <w:numPr>
        <w:numId w:val="3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1190</Words>
  <Characters>6785</Characters>
  <Application>Microsoft Office Word</Application>
  <DocSecurity>0</DocSecurity>
  <Lines>56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</dc:creator>
  <cp:keywords/>
  <dc:description/>
  <cp:lastModifiedBy>Konto Microsoft</cp:lastModifiedBy>
  <cp:revision>2</cp:revision>
  <dcterms:created xsi:type="dcterms:W3CDTF">2026-03-27T17:22:00Z</dcterms:created>
  <dcterms:modified xsi:type="dcterms:W3CDTF">2026-03-27T17:22:00Z</dcterms:modified>
</cp:coreProperties>
</file>