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4E620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0" w:name="_gjdgxs" w:colFirst="0" w:colLast="0"/>
      <w:bookmarkEnd w:id="0"/>
    </w:p>
    <w:p w14:paraId="1A97A232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účtovnej jednotke</w:t>
      </w:r>
    </w:p>
    <w:p w14:paraId="24579D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4BB0794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Založenie spoločnosti</w:t>
      </w:r>
    </w:p>
    <w:p w14:paraId="085662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Spoločnosť: </w:t>
      </w:r>
      <w:r>
        <w:rPr>
          <w:rFonts w:hint="default"/>
          <w:color w:val="000000"/>
          <w:sz w:val="22"/>
          <w:szCs w:val="22"/>
          <w:lang w:val="sk-SK"/>
        </w:rPr>
        <w:t>KOMI GROUP</w:t>
      </w:r>
      <w:r>
        <w:rPr>
          <w:color w:val="000000"/>
          <w:sz w:val="22"/>
          <w:szCs w:val="22"/>
        </w:rPr>
        <w:t>, s.r.o. (ďalej len Spoločnosť)</w:t>
      </w:r>
    </w:p>
    <w:p w14:paraId="46A0269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Sídlo: Chotčanská 2, 091 01  Stropkov</w:t>
      </w:r>
    </w:p>
    <w:p w14:paraId="06F17DC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color w:val="000000"/>
          <w:sz w:val="22"/>
          <w:szCs w:val="22"/>
        </w:rPr>
        <w:t>Založená dňa:  2</w:t>
      </w:r>
      <w:r>
        <w:rPr>
          <w:rFonts w:hint="default"/>
          <w:color w:val="000000"/>
          <w:sz w:val="22"/>
          <w:szCs w:val="22"/>
          <w:lang w:val="sk-SK"/>
        </w:rPr>
        <w:t>2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10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2001</w:t>
      </w:r>
    </w:p>
    <w:p w14:paraId="784FAD2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Do obchodného registra bola zapísaná dňa: 2</w:t>
      </w:r>
      <w:r>
        <w:rPr>
          <w:rFonts w:hint="default"/>
          <w:color w:val="000000"/>
          <w:sz w:val="22"/>
          <w:szCs w:val="22"/>
          <w:lang w:val="sk-SK"/>
        </w:rPr>
        <w:t>2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10</w:t>
      </w:r>
      <w:r>
        <w:rPr>
          <w:color w:val="000000"/>
          <w:sz w:val="22"/>
          <w:szCs w:val="22"/>
        </w:rPr>
        <w:t>.</w:t>
      </w:r>
      <w:r>
        <w:rPr>
          <w:rFonts w:hint="default"/>
          <w:color w:val="000000"/>
          <w:sz w:val="22"/>
          <w:szCs w:val="22"/>
          <w:lang w:val="sk-SK"/>
        </w:rPr>
        <w:t>2001</w:t>
      </w:r>
      <w:r>
        <w:rPr>
          <w:color w:val="000000"/>
          <w:sz w:val="22"/>
          <w:szCs w:val="22"/>
        </w:rPr>
        <w:t xml:space="preserve"> </w:t>
      </w:r>
    </w:p>
    <w:p w14:paraId="46ACE9D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(Obchodný register Okresného súdu Prešov, oddiel s.r.o., vložka </w:t>
      </w:r>
      <w:r>
        <w:rPr>
          <w:rFonts w:hint="default"/>
          <w:color w:val="000000"/>
          <w:sz w:val="22"/>
          <w:szCs w:val="22"/>
          <w:lang w:val="sk-SK"/>
        </w:rPr>
        <w:t>1</w:t>
      </w:r>
      <w:r>
        <w:rPr>
          <w:color w:val="000000"/>
          <w:sz w:val="22"/>
          <w:szCs w:val="22"/>
        </w:rPr>
        <w:t>3</w:t>
      </w:r>
      <w:r>
        <w:rPr>
          <w:rFonts w:hint="default"/>
          <w:color w:val="000000"/>
          <w:sz w:val="22"/>
          <w:szCs w:val="22"/>
          <w:lang w:val="sk-SK"/>
        </w:rPr>
        <w:t>1</w:t>
      </w:r>
      <w:r>
        <w:rPr>
          <w:color w:val="000000"/>
          <w:sz w:val="22"/>
          <w:szCs w:val="22"/>
        </w:rPr>
        <w:t xml:space="preserve">14/P). </w:t>
      </w:r>
    </w:p>
    <w:p w14:paraId="737D681E">
      <w:pPr>
        <w:pStyle w:val="3"/>
        <w:rPr>
          <w:sz w:val="22"/>
          <w:szCs w:val="22"/>
        </w:rPr>
      </w:pPr>
    </w:p>
    <w:p w14:paraId="17FBA69B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rFonts w:hint="default"/>
          <w:b w:val="0"/>
          <w:bCs/>
          <w:color w:val="000000"/>
          <w:sz w:val="22"/>
          <w:szCs w:val="22"/>
          <w:lang w:val="sk-SK"/>
        </w:rPr>
      </w:pPr>
      <w:bookmarkStart w:id="1" w:name="_30j0zll" w:colFirst="0" w:colLast="0"/>
      <w:bookmarkEnd w:id="1"/>
      <w:r>
        <w:rPr>
          <w:b/>
          <w:color w:val="000000"/>
          <w:sz w:val="22"/>
          <w:szCs w:val="22"/>
        </w:rPr>
        <w:t xml:space="preserve">Hlavnými činnosťami Spoločnosti sú: 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>Pripravné práce k realizácií stavby, uskutočňovanie stavieb a ich zmien, prenájom hnuteľných vecí a nehnuteľností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ab/>
      </w:r>
    </w:p>
    <w:p w14:paraId="2BB1BD0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4E0B111B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Údaje o neobmedzenom ručení</w:t>
      </w:r>
    </w:p>
    <w:p w14:paraId="27E42047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Spoločnosť nie je neobmedzene ručiacim spoločníkom v iných spoločnostiach podľa § 56 ods. 5 Obchodného zákonníka.</w:t>
      </w:r>
    </w:p>
    <w:p w14:paraId="1DE4DA0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8036D33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Právny dôvod na zostavenie účtovnej závierky</w:t>
      </w:r>
    </w:p>
    <w:p w14:paraId="08DEFD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Účtovná závierka Spoločnosti k 31. decembru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 xml:space="preserve"> je zostavená ako riadna účtovná závierka podľa § 17 ods. 6 zákona NR SR č. 431/2002 Z. z. o účtovníctve za účtovné obdobie od 1. januára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 xml:space="preserve"> do 31. decembra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>.</w:t>
      </w:r>
    </w:p>
    <w:p w14:paraId="283248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4DA226AE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 w:firstLine="330" w:firstLineChars="150"/>
        <w:rPr>
          <w:rFonts w:hint="default"/>
          <w:b/>
          <w:color w:val="000000"/>
          <w:sz w:val="22"/>
          <w:szCs w:val="22"/>
          <w:lang w:val="sk-SK"/>
        </w:rPr>
      </w:pPr>
      <w:r>
        <w:rPr>
          <w:b/>
          <w:color w:val="000000"/>
          <w:sz w:val="22"/>
          <w:szCs w:val="22"/>
        </w:rPr>
        <w:t>Dátum schválenia účtovnej závierky za predchádzajúce účtovné obdobie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. </w:t>
      </w:r>
    </w:p>
    <w:p w14:paraId="5F9C1DA6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40" w:leftChars="220" w:firstLine="0" w:firstLineChars="0"/>
        <w:rPr>
          <w:rFonts w:hint="default"/>
          <w:b w:val="0"/>
          <w:bCs/>
          <w:color w:val="000000"/>
          <w:sz w:val="22"/>
          <w:szCs w:val="22"/>
          <w:lang w:val="sk-SK"/>
        </w:rPr>
      </w:pPr>
      <w:r>
        <w:rPr>
          <w:rFonts w:hint="default"/>
          <w:b w:val="0"/>
          <w:bCs/>
          <w:color w:val="000000"/>
          <w:sz w:val="22"/>
          <w:szCs w:val="22"/>
          <w:lang w:val="sk-SK"/>
        </w:rPr>
        <w:t>Účtovná závierka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 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>za rok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 </w:t>
      </w:r>
      <w:r>
        <w:rPr>
          <w:rFonts w:hint="default"/>
          <w:b w:val="0"/>
          <w:bCs/>
          <w:color w:val="000000"/>
          <w:sz w:val="22"/>
          <w:szCs w:val="22"/>
          <w:lang w:val="sk-SK"/>
        </w:rPr>
        <w:t>2024 bola schválená 26.3.2025. Zisk za rok 2024 vo výške 31 084,47 Eur bol schválený ako nerozdelený zisk.</w:t>
      </w:r>
    </w:p>
    <w:p w14:paraId="7F66463B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/>
        <w:rPr>
          <w:rFonts w:hint="default"/>
          <w:b/>
          <w:color w:val="000000"/>
          <w:sz w:val="22"/>
          <w:szCs w:val="22"/>
          <w:lang w:val="sk-SK"/>
        </w:rPr>
      </w:pPr>
    </w:p>
    <w:p w14:paraId="1F74B6B8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Počet zamestnancov </w:t>
      </w:r>
    </w:p>
    <w:p w14:paraId="27AB21D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BD9A4D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FDE5BD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Údaje o počte zamestnancov za bežné účtovné obdobie sú uvedené v nasledujúcom prehľade:</w:t>
      </w:r>
    </w:p>
    <w:p w14:paraId="35586C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EDA07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  </w:t>
      </w:r>
    </w:p>
    <w:p w14:paraId="4E4B83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tbl>
      <w:tblPr>
        <w:tblStyle w:val="16"/>
        <w:tblW w:w="651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93"/>
        <w:gridCol w:w="2718"/>
      </w:tblGrid>
      <w:tr w14:paraId="6A272DA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3793" w:type="dxa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7749134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1694730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31937A4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3793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068FC17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</w:tcPr>
          <w:p w14:paraId="338D56E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0</w:t>
            </w:r>
          </w:p>
          <w:p w14:paraId="356210F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14:paraId="0AD875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0C6D6943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 orgánoch účtovnej jednotky</w:t>
      </w:r>
    </w:p>
    <w:p w14:paraId="2B41625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C5B6175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Výška jednotlivých druhov záruk alebo iných zabezpečení poskytnutých pre členov štatutárneho orgánu, dozorného orgánu a iného orgánu ÚJ:</w:t>
      </w:r>
    </w:p>
    <w:p w14:paraId="590F1A51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Informácia o pôžičkách:</w:t>
      </w:r>
    </w:p>
    <w:p w14:paraId="440AF0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poskytnutých pôžičiek k 31.12. bežného obdobia podľa jednotlivých orgánov:</w:t>
      </w:r>
    </w:p>
    <w:p w14:paraId="2539CE3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Konateľ:</w:t>
      </w:r>
    </w:p>
    <w:p w14:paraId="3022092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1761000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6DA5DBA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splatených pôžičiek za posledné účtovné obdobie:</w:t>
      </w:r>
    </w:p>
    <w:p w14:paraId="44C217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 w:firstLine="63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Konateľ:</w:t>
      </w:r>
    </w:p>
    <w:p w14:paraId="34E91EC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186C9FA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554FDB8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odpustených pôžičiek a odpísaných pôžičiek k 31.12. bežného obdobia: 0,- €</w:t>
      </w:r>
    </w:p>
    <w:p w14:paraId="33A3D04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 aktuálnom účtovnom období neboli odpustené ani odpísané žiadne pôžičky.</w:t>
      </w:r>
    </w:p>
    <w:p w14:paraId="53C1332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1F88F37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7D0DE0FD">
      <w:pPr>
        <w:pStyle w:val="3"/>
        <w:rPr>
          <w:sz w:val="22"/>
          <w:szCs w:val="22"/>
        </w:rPr>
      </w:pPr>
    </w:p>
    <w:p w14:paraId="44EBF0FB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konsolidovanom celku</w:t>
      </w:r>
    </w:p>
    <w:p w14:paraId="00E0448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 xml:space="preserve">        Spoločnosť není súčasťou konsolidovaného celku.</w:t>
      </w:r>
    </w:p>
    <w:p w14:paraId="4B091329">
      <w:pPr>
        <w:pStyle w:val="3"/>
        <w:rPr>
          <w:sz w:val="22"/>
          <w:szCs w:val="22"/>
        </w:rPr>
      </w:pPr>
      <w:bookmarkStart w:id="2" w:name="_1fob9te" w:colFirst="0" w:colLast="0"/>
      <w:bookmarkEnd w:id="2"/>
    </w:p>
    <w:p w14:paraId="35299033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 xml:space="preserve">Informácie o účtovných zásadách a účtovných metódach  </w:t>
      </w:r>
    </w:p>
    <w:p w14:paraId="1FFF8C6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466B7C8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Východiská pre zostavenie účtovnej závierky</w:t>
      </w:r>
    </w:p>
    <w:p w14:paraId="0B1194E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Účtovná závierka bola zostavená za predpokladu, že Spoločnosť bude nepretržite pokračovať vo svojej činnosti (goingconcern).</w:t>
      </w:r>
    </w:p>
    <w:p w14:paraId="65DA6C9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V účtovnom období 2025</w:t>
      </w:r>
      <w:bookmarkStart w:id="8" w:name="_GoBack"/>
      <w:bookmarkEnd w:id="8"/>
      <w:r>
        <w:rPr>
          <w:rFonts w:hint="default"/>
          <w:color w:val="000000"/>
          <w:sz w:val="22"/>
          <w:szCs w:val="22"/>
          <w:lang w:val="sk-SK"/>
        </w:rPr>
        <w:t xml:space="preserve"> spoločnosť neúčtovala o výzmnamných skutočnostiach nimulých období.</w:t>
      </w:r>
    </w:p>
    <w:p w14:paraId="2BBB5E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23F6F0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59B188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12832F12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Počas účtovného obdobia neboli prijaté zmeny účtovných zásad a účtovných metód</w:t>
      </w:r>
    </w:p>
    <w:p w14:paraId="17A539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73DEBDD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3642831F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Účtovné metódy a všeobecné účtovné zásady pri oceňovaní</w:t>
      </w:r>
    </w:p>
    <w:p w14:paraId="0D34F6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01C10A4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Dlhodobý nehmotný majetok a dlhodobý hmotný majetok</w:t>
      </w:r>
    </w:p>
    <w:p w14:paraId="69E33D4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8F974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074512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A11021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61B20E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14:paraId="049F32B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CF6BE4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14F397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6EBFA46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Cenné papiere a podiely</w:t>
      </w:r>
    </w:p>
    <w:p w14:paraId="3C645CB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7566747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D3BF4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na obchodovanie sa pri ich obstaraní oceňujú reálnou hodnotou. </w:t>
      </w:r>
    </w:p>
    <w:p w14:paraId="19DF254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66CF8DD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Zásoby </w:t>
      </w:r>
    </w:p>
    <w:p w14:paraId="4792281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Zásoby sa oceňujú obstarávacou cenou.</w:t>
      </w:r>
    </w:p>
    <w:p w14:paraId="0EA0969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7B3C0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7501EE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2FA66A6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</w:p>
    <w:p w14:paraId="29878BE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účtuje  zásoby spôsobom B.</w:t>
      </w:r>
    </w:p>
    <w:p w14:paraId="7600A90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24F348C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Peňažné prostriedky a ceniny</w:t>
      </w:r>
    </w:p>
    <w:p w14:paraId="244F03A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Peňažné prostriedky a ceniny sa oceňujú ich menovitou hodnotou. Zníženie ich hodnoty sa vyjadruje opravnou položkou.</w:t>
      </w:r>
    </w:p>
    <w:p w14:paraId="1DE3B15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40DC69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5F9E5D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17100E4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444B70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Cudzia mena</w:t>
      </w:r>
    </w:p>
    <w:p w14:paraId="102D7F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BFB62A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932647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Na ocenenie prírastku cudzej meny nakúpenej za euro sa použije kurz, za ktorý bola táto cudzia mena nakúpená.</w:t>
      </w:r>
    </w:p>
    <w:p w14:paraId="765AF4B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BF43A5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326FFE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BA6489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687BFB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E98211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83B063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AE1F8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5E0095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AE0695E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Výnosy</w:t>
      </w:r>
    </w:p>
    <w:p w14:paraId="49AD097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980BE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8A28F55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výroba</w:t>
      </w:r>
    </w:p>
    <w:p w14:paraId="588F9AE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Nemáme</w:t>
      </w:r>
    </w:p>
    <w:p w14:paraId="2C87FEF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4191DC2C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výstavba nehnuteľnosti</w:t>
      </w:r>
    </w:p>
    <w:p w14:paraId="62714D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16E5CB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Nemáme</w:t>
      </w:r>
    </w:p>
    <w:p w14:paraId="2EB084F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1D5C1004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Pohľadávky</w:t>
      </w:r>
    </w:p>
    <w:p w14:paraId="6F2E2AF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D9705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23BE46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A4233AB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Náklady budúcich období a príjmy budúcich období</w:t>
      </w:r>
    </w:p>
    <w:p w14:paraId="431305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31D5EB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8EB4E31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Rezervy</w:t>
      </w:r>
    </w:p>
    <w:p w14:paraId="32F8BE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4E84E88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2BF7499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1C4A52F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707A00F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3F96523A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Záväzky</w:t>
      </w:r>
    </w:p>
    <w:p w14:paraId="77690B8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3FACA5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7BDCD0E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ADCB92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Výdavky budúcich období a výnosy budúcich období</w:t>
      </w:r>
    </w:p>
    <w:p w14:paraId="42D7D68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7D9FF1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62145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CE0DFA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Prenájom (lízing)</w:t>
      </w:r>
    </w:p>
    <w:p w14:paraId="2DE63E1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Majetok prenajatý na základe operatívneho prenájmu vykazuje ako svoj majetok jeho vlastník, nie nájomca.</w:t>
      </w:r>
    </w:p>
    <w:p w14:paraId="3DC6807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691C9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1224E83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AC595E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646AB55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D60861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53E867C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904ABA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074D5F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C8EC5FF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Odložené dane</w:t>
      </w:r>
    </w:p>
    <w:p w14:paraId="138DB4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Odložené dane (odložená daňová pohľadávka a odložený daňový záväzok) sa vzťahujú na: </w:t>
      </w:r>
    </w:p>
    <w:p w14:paraId="5941B733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63A1ECDD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umorovať daňovú stratu v budúcnosti, ktorou sa rozumie možnosť odpočítať daňovú stratu od základu dane v budúcnosti,</w:t>
      </w:r>
    </w:p>
    <w:p w14:paraId="72A432CA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previesť nevyužité daňové odpočty a iné daňové nároky do budúcich období.</w:t>
      </w:r>
    </w:p>
    <w:p w14:paraId="444B111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9DA30AB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bookmarkStart w:id="3" w:name="_3znysh7" w:colFirst="0" w:colLast="0"/>
      <w:bookmarkEnd w:id="3"/>
      <w:r>
        <w:rPr>
          <w:b/>
          <w:color w:val="000000"/>
          <w:sz w:val="22"/>
          <w:szCs w:val="22"/>
        </w:rPr>
        <w:t>Tvorba odpisovaného plánu</w:t>
      </w:r>
    </w:p>
    <w:p w14:paraId="008A966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4F8278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1FAA8B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4D6E41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4E6CD2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F6262F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78AB7F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tbl>
      <w:tblPr>
        <w:tblStyle w:val="17"/>
        <w:tblW w:w="8788" w:type="dxa"/>
        <w:tblInd w:w="45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56"/>
        <w:gridCol w:w="160"/>
        <w:gridCol w:w="1972"/>
        <w:gridCol w:w="160"/>
        <w:gridCol w:w="1690"/>
        <w:gridCol w:w="160"/>
        <w:gridCol w:w="1690"/>
      </w:tblGrid>
      <w:tr w14:paraId="45745B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19D8B15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7E3D65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0FF3632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2F69F6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A9B376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306BF8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Ročná odpisová</w:t>
            </w:r>
          </w:p>
        </w:tc>
      </w:tr>
      <w:tr w14:paraId="50B7BA1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76" w:type="dxa"/>
            <w:tcBorders>
              <w:bottom w:val="single" w:color="000000" w:sz="4" w:space="0"/>
            </w:tcBorders>
          </w:tcPr>
          <w:p w14:paraId="2F8AF19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7108DFB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color="000000" w:sz="4" w:space="0"/>
            </w:tcBorders>
          </w:tcPr>
          <w:p w14:paraId="2886EE3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color="000000" w:sz="4" w:space="0"/>
            </w:tcBorders>
          </w:tcPr>
          <w:p w14:paraId="688D070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7D902BB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6607CA5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4E2A871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sadzba v %</w:t>
            </w:r>
          </w:p>
        </w:tc>
      </w:tr>
      <w:tr w14:paraId="38691AF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76" w:type="dxa"/>
            <w:tcBorders>
              <w:bottom w:val="single" w:color="000000" w:sz="4" w:space="0"/>
            </w:tcBorders>
          </w:tcPr>
          <w:p w14:paraId="384DA2B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administratívu, bytové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5C51CBF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color="000000" w:sz="4" w:space="0"/>
            </w:tcBorders>
          </w:tcPr>
          <w:p w14:paraId="11AB938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40</w:t>
            </w:r>
          </w:p>
        </w:tc>
        <w:tc>
          <w:tcPr>
            <w:tcW w:w="141" w:type="dxa"/>
            <w:tcBorders>
              <w:bottom w:val="single" w:color="000000" w:sz="4" w:space="0"/>
            </w:tcBorders>
          </w:tcPr>
          <w:p w14:paraId="4892FE8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2CD1A9A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linárna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 w14:paraId="656095C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 w14:paraId="01FF24E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2,5</w:t>
            </w:r>
          </w:p>
        </w:tc>
      </w:tr>
      <w:tr w14:paraId="0C3F6A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  <w:tcBorders>
              <w:top w:val="single" w:color="000000" w:sz="4" w:space="0"/>
            </w:tcBorders>
          </w:tcPr>
          <w:p w14:paraId="08C814C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obchod, priemysel</w:t>
            </w:r>
          </w:p>
        </w:tc>
        <w:tc>
          <w:tcPr>
            <w:tcW w:w="1985" w:type="dxa"/>
            <w:tcBorders>
              <w:top w:val="single" w:color="000000" w:sz="4" w:space="0"/>
            </w:tcBorders>
          </w:tcPr>
          <w:p w14:paraId="16C149C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color="000000" w:sz="4" w:space="0"/>
            </w:tcBorders>
          </w:tcPr>
          <w:p w14:paraId="281D9ED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color="000000" w:sz="4" w:space="0"/>
            </w:tcBorders>
          </w:tcPr>
          <w:p w14:paraId="614AD05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color="000000" w:sz="4" w:space="0"/>
            </w:tcBorders>
          </w:tcPr>
          <w:p w14:paraId="541B109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color="000000" w:sz="4" w:space="0"/>
            </w:tcBorders>
          </w:tcPr>
          <w:p w14:paraId="411DE7B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</w:tr>
      <w:tr w14:paraId="58B601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4414091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Lode, lietadlá, železničné lokomotívy</w:t>
            </w:r>
          </w:p>
        </w:tc>
        <w:tc>
          <w:tcPr>
            <w:tcW w:w="1985" w:type="dxa"/>
          </w:tcPr>
          <w:p w14:paraId="50179FD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</w:t>
            </w:r>
          </w:p>
        </w:tc>
        <w:tc>
          <w:tcPr>
            <w:tcW w:w="141" w:type="dxa"/>
          </w:tcPr>
          <w:p w14:paraId="62ECD25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6E9D7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1829297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6C2FA3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8,3</w:t>
            </w:r>
          </w:p>
        </w:tc>
      </w:tr>
      <w:tr w14:paraId="2132F39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17068D4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Elektrické motory,turbíny, pece,horáky</w:t>
            </w:r>
          </w:p>
        </w:tc>
        <w:tc>
          <w:tcPr>
            <w:tcW w:w="1985" w:type="dxa"/>
          </w:tcPr>
          <w:p w14:paraId="591BABE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</w:t>
            </w:r>
          </w:p>
        </w:tc>
        <w:tc>
          <w:tcPr>
            <w:tcW w:w="141" w:type="dxa"/>
          </w:tcPr>
          <w:p w14:paraId="3F5D5C7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DAD94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33683A3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CAE947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12,5</w:t>
            </w:r>
          </w:p>
        </w:tc>
      </w:tr>
      <w:tr w14:paraId="698662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6A2B98A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Benzinový os. automobil, počítač, projek</w:t>
            </w:r>
          </w:p>
        </w:tc>
        <w:tc>
          <w:tcPr>
            <w:tcW w:w="1985" w:type="dxa"/>
          </w:tcPr>
          <w:p w14:paraId="1103B9F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</w:t>
            </w:r>
          </w:p>
        </w:tc>
        <w:tc>
          <w:tcPr>
            <w:tcW w:w="141" w:type="dxa"/>
          </w:tcPr>
          <w:p w14:paraId="7EEFD47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C3E452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42" w:type="dxa"/>
          </w:tcPr>
          <w:p w14:paraId="4C05C3C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4EE8CF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25</w:t>
            </w:r>
          </w:p>
        </w:tc>
      </w:tr>
      <w:tr w14:paraId="59DEA0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3EAF64C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Elektromobil</w:t>
            </w:r>
          </w:p>
        </w:tc>
        <w:tc>
          <w:tcPr>
            <w:tcW w:w="1985" w:type="dxa"/>
          </w:tcPr>
          <w:p w14:paraId="4D5C859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</w:t>
            </w:r>
          </w:p>
        </w:tc>
        <w:tc>
          <w:tcPr>
            <w:tcW w:w="141" w:type="dxa"/>
          </w:tcPr>
          <w:p w14:paraId="7153C85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3611D0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42" w:type="dxa"/>
          </w:tcPr>
          <w:p w14:paraId="7286749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CC06ED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50</w:t>
            </w:r>
          </w:p>
        </w:tc>
      </w:tr>
      <w:tr w14:paraId="10CA6E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6AE0FC8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6D4CA37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14:paraId="1A47517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6A5483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14:paraId="19BB387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D1F49A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100</w:t>
            </w:r>
          </w:p>
        </w:tc>
      </w:tr>
      <w:tr w14:paraId="2E478B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 w14:paraId="4877DFC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92F4A2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" w:type="dxa"/>
          </w:tcPr>
          <w:p w14:paraId="5D277B4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8B6FD5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2" w:type="dxa"/>
          </w:tcPr>
          <w:p w14:paraId="03965B1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EFAB8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1D03E3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5B2C4E6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121CD79D">
      <w:pPr>
        <w:pStyle w:val="3"/>
        <w:bidi w:val="0"/>
        <w:rPr>
          <w:rFonts w:hint="default"/>
          <w:sz w:val="22"/>
          <w:szCs w:val="22"/>
          <w:lang w:val="sk-SK"/>
        </w:rPr>
      </w:pPr>
      <w:r>
        <w:rPr>
          <w:rFonts w:hint="default"/>
          <w:sz w:val="22"/>
          <w:szCs w:val="22"/>
          <w:lang w:val="sk-SK"/>
        </w:rPr>
        <w:t xml:space="preserve"> Výška daňových odpisov bola v roku 2025   306 659.23 EUR.</w:t>
      </w:r>
    </w:p>
    <w:p w14:paraId="16411B2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42D234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22"/>
          <w:szCs w:val="22"/>
          <w:lang w:val="sk-SK"/>
        </w:rPr>
      </w:pPr>
    </w:p>
    <w:p w14:paraId="0D83C04B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Dotácie zo štátneho rozpočtu</w:t>
      </w:r>
    </w:p>
    <w:p w14:paraId="0328A7BE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D098F39">
      <w:pPr>
        <w:pStyle w:val="3"/>
        <w:ind w:left="450"/>
        <w:jc w:val="both"/>
        <w:rPr>
          <w:sz w:val="22"/>
          <w:szCs w:val="22"/>
        </w:rPr>
      </w:pPr>
    </w:p>
    <w:p w14:paraId="64DF7EC6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8412C39">
      <w:pPr>
        <w:pStyle w:val="3"/>
        <w:ind w:left="450"/>
        <w:jc w:val="both"/>
        <w:rPr>
          <w:sz w:val="22"/>
          <w:szCs w:val="22"/>
        </w:rPr>
      </w:pPr>
    </w:p>
    <w:p w14:paraId="1A0F7B70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22"/>
          <w:szCs w:val="22"/>
        </w:rPr>
        <w:br w:type="textWrapping"/>
      </w:r>
      <w:r>
        <w:rPr>
          <w:sz w:val="22"/>
          <w:szCs w:val="22"/>
        </w:rPr>
        <w:t xml:space="preserve">z tohto dlhodobého majetku. </w:t>
      </w:r>
    </w:p>
    <w:p w14:paraId="35FAF10F">
      <w:pPr>
        <w:pStyle w:val="3"/>
        <w:ind w:left="450"/>
        <w:jc w:val="both"/>
        <w:rPr>
          <w:sz w:val="22"/>
          <w:szCs w:val="22"/>
        </w:rPr>
      </w:pPr>
    </w:p>
    <w:p w14:paraId="4C4DCA3D">
      <w:pPr>
        <w:pStyle w:val="3"/>
        <w:ind w:left="450"/>
        <w:jc w:val="both"/>
        <w:rPr>
          <w:sz w:val="22"/>
          <w:szCs w:val="22"/>
        </w:rPr>
      </w:pPr>
    </w:p>
    <w:p w14:paraId="402C5968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Oprava významných chýb minulých účtovných období</w:t>
      </w:r>
    </w:p>
    <w:p w14:paraId="128FD881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0F9E63FE">
      <w:pPr>
        <w:pStyle w:val="3"/>
        <w:ind w:left="450"/>
        <w:jc w:val="both"/>
        <w:rPr>
          <w:sz w:val="22"/>
          <w:szCs w:val="22"/>
        </w:rPr>
      </w:pPr>
    </w:p>
    <w:p w14:paraId="617DD217">
      <w:pPr>
        <w:pStyle w:val="3"/>
        <w:ind w:left="450"/>
        <w:jc w:val="both"/>
        <w:rPr>
          <w:sz w:val="22"/>
          <w:szCs w:val="22"/>
        </w:rPr>
      </w:pPr>
    </w:p>
    <w:p w14:paraId="1A729DE7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aktív súvahy</w:t>
      </w:r>
    </w:p>
    <w:p w14:paraId="47899AC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center" w:pos="4536"/>
          <w:tab w:val="right" w:pos="9072"/>
        </w:tabs>
        <w:jc w:val="both"/>
        <w:rPr>
          <w:color w:val="000000"/>
          <w:sz w:val="22"/>
          <w:szCs w:val="22"/>
        </w:rPr>
      </w:pPr>
    </w:p>
    <w:p w14:paraId="6402600F">
      <w:pPr>
        <w:pStyle w:val="3"/>
        <w:keepNext/>
        <w:numPr>
          <w:ilvl w:val="0"/>
          <w:numId w:val="6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4" w:name="_2et92p0" w:colFirst="0" w:colLast="0"/>
      <w:bookmarkEnd w:id="4"/>
      <w:r>
        <w:rPr>
          <w:b/>
          <w:color w:val="000000"/>
          <w:sz w:val="22"/>
          <w:szCs w:val="22"/>
        </w:rPr>
        <w:t>Informácia o goodwille</w:t>
      </w:r>
    </w:p>
    <w:p w14:paraId="273ED77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ED59C4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Dôvod vzniku goodvilu:</w:t>
      </w:r>
    </w:p>
    <w:p w14:paraId="7254257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Spôsob výpočtu:</w:t>
      </w:r>
    </w:p>
    <w:p w14:paraId="2DA5E2F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Odpisovanie:</w:t>
      </w:r>
    </w:p>
    <w:p w14:paraId="66A89389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34A056DE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06F723C6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40E47C39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7C10A079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pasív súvahy</w:t>
      </w:r>
    </w:p>
    <w:p w14:paraId="70E012E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DEF2E7A">
      <w:pPr>
        <w:pStyle w:val="3"/>
        <w:keepNext/>
        <w:numPr>
          <w:ilvl w:val="0"/>
          <w:numId w:val="7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 záväzkoch</w:t>
      </w:r>
    </w:p>
    <w:p w14:paraId="329566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0FE568A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Celková suma záväzkov so zostatkovou dobou splatnosti dlhšou ako 5 rokov:  0</w:t>
      </w:r>
    </w:p>
    <w:p w14:paraId="6B2A1727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</w:p>
    <w:tbl>
      <w:tblPr>
        <w:tblStyle w:val="18"/>
        <w:tblW w:w="9466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2978"/>
        <w:gridCol w:w="2660"/>
      </w:tblGrid>
      <w:tr w14:paraId="74CC5F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82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2219768F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7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8" w:space="0"/>
            </w:tcBorders>
            <w:vAlign w:val="center"/>
          </w:tcPr>
          <w:p w14:paraId="5F3FBDA7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660" w:type="dxa"/>
            <w:tcBorders>
              <w:top w:val="single" w:color="000000" w:sz="8" w:space="0"/>
              <w:left w:val="nil"/>
              <w:bottom w:val="single" w:color="000000" w:sz="12" w:space="0"/>
              <w:right w:val="single" w:color="000000" w:sz="12" w:space="0"/>
            </w:tcBorders>
            <w:vAlign w:val="center"/>
          </w:tcPr>
          <w:p w14:paraId="517C5DAA">
            <w:pPr>
              <w:pStyle w:val="3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0</w:t>
            </w:r>
          </w:p>
        </w:tc>
      </w:tr>
    </w:tbl>
    <w:p w14:paraId="765D8D5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p w14:paraId="6AEEC68E">
      <w:pPr>
        <w:pStyle w:val="3"/>
        <w:rPr>
          <w:sz w:val="22"/>
          <w:szCs w:val="22"/>
        </w:rPr>
      </w:pPr>
    </w:p>
    <w:p w14:paraId="0F889054">
      <w:pPr>
        <w:pStyle w:val="3"/>
        <w:rPr>
          <w:sz w:val="22"/>
          <w:szCs w:val="22"/>
        </w:rPr>
      </w:pPr>
    </w:p>
    <w:p w14:paraId="09C46E4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i/>
          <w:color w:val="000000"/>
          <w:sz w:val="22"/>
          <w:szCs w:val="22"/>
        </w:rPr>
      </w:pPr>
    </w:p>
    <w:p w14:paraId="3789F655">
      <w:pPr>
        <w:pStyle w:val="3"/>
        <w:numPr>
          <w:ilvl w:val="0"/>
          <w:numId w:val="9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ascii="Arial Narrow" w:hAnsi="Arial Narrow" w:eastAsia="Arial Narrow" w:cs="Arial Narrow"/>
          <w:b/>
          <w:color w:val="000000"/>
          <w:sz w:val="22"/>
          <w:szCs w:val="22"/>
        </w:rPr>
      </w:pPr>
      <w:r>
        <w:rPr>
          <w:rFonts w:ascii="Arial Narrow" w:hAnsi="Arial Narrow" w:eastAsia="Arial Narrow" w:cs="Arial Narrow"/>
          <w:b/>
          <w:color w:val="000000"/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p w14:paraId="49144179">
      <w:pPr>
        <w:pStyle w:val="3"/>
        <w:rPr>
          <w:sz w:val="22"/>
          <w:szCs w:val="22"/>
        </w:rPr>
      </w:pPr>
    </w:p>
    <w:tbl>
      <w:tblPr>
        <w:tblStyle w:val="19"/>
        <w:tblW w:w="9466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878"/>
        <w:gridCol w:w="2331"/>
        <w:gridCol w:w="2257"/>
      </w:tblGrid>
      <w:tr w14:paraId="1FEE20F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restart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2210885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Opis predmetu záložného práva</w:t>
            </w:r>
          </w:p>
        </w:tc>
        <w:tc>
          <w:tcPr>
            <w:tcW w:w="4588" w:type="dxa"/>
            <w:gridSpan w:val="2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7695BE3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412ADF1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continue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07F78256">
            <w:pPr>
              <w:pStyle w:val="3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line="276" w:lineRule="auto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7B03319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 predmetu záložného práva</w:t>
            </w:r>
          </w:p>
        </w:tc>
        <w:tc>
          <w:tcPr>
            <w:tcW w:w="2257" w:type="dxa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082B996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</w:t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br w:type="textWrapping"/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 pohľadávky</w:t>
            </w:r>
          </w:p>
        </w:tc>
      </w:tr>
      <w:tr w14:paraId="144B960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4878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5ABF883B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</w:tcBorders>
            <w:vAlign w:val="center"/>
          </w:tcPr>
          <w:p w14:paraId="09F38323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257" w:type="dxa"/>
            <w:tcBorders>
              <w:top w:val="single" w:color="000000" w:sz="12" w:space="0"/>
            </w:tcBorders>
            <w:vAlign w:val="center"/>
          </w:tcPr>
          <w:p w14:paraId="4E825591">
            <w:pPr>
              <w:pStyle w:val="3"/>
              <w:rPr>
                <w:sz w:val="22"/>
                <w:szCs w:val="22"/>
              </w:rPr>
            </w:pPr>
          </w:p>
        </w:tc>
      </w:tr>
      <w:tr w14:paraId="709991E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4878" w:type="dxa"/>
            <w:tcBorders>
              <w:bottom w:val="single" w:color="000000" w:sz="12" w:space="0"/>
              <w:right w:val="single" w:color="000000" w:sz="12" w:space="0"/>
            </w:tcBorders>
            <w:vAlign w:val="center"/>
          </w:tcPr>
          <w:p w14:paraId="55F9F048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331" w:type="dxa"/>
            <w:tcBorders>
              <w:left w:val="single" w:color="000000" w:sz="12" w:space="0"/>
              <w:bottom w:val="single" w:color="000000" w:sz="12" w:space="0"/>
            </w:tcBorders>
            <w:vAlign w:val="center"/>
          </w:tcPr>
          <w:p w14:paraId="4EDF2029">
            <w:pPr>
              <w:pStyle w:val="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257" w:type="dxa"/>
            <w:tcBorders>
              <w:bottom w:val="single" w:color="000000" w:sz="12" w:space="0"/>
            </w:tcBorders>
            <w:vAlign w:val="center"/>
          </w:tcPr>
          <w:p w14:paraId="2D471F9C">
            <w:pPr>
              <w:pStyle w:val="3"/>
              <w:rPr>
                <w:sz w:val="22"/>
                <w:szCs w:val="22"/>
              </w:rPr>
            </w:pPr>
          </w:p>
        </w:tc>
      </w:tr>
    </w:tbl>
    <w:p w14:paraId="3679577E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rPr>
          <w:b/>
          <w:smallCaps/>
          <w:color w:val="000000"/>
          <w:sz w:val="22"/>
          <w:szCs w:val="22"/>
        </w:rPr>
      </w:pPr>
    </w:p>
    <w:p w14:paraId="7A406976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</w:t>
      </w:r>
      <w:r>
        <w:rPr>
          <w:b w:val="0"/>
          <w:bCs/>
          <w:smallCaps/>
          <w:color w:val="000000"/>
          <w:sz w:val="22"/>
          <w:szCs w:val="22"/>
        </w:rPr>
        <w:t xml:space="preserve">NÁKLADOCH </w:t>
      </w:r>
      <w:r>
        <w:rPr>
          <w:b/>
          <w:smallCaps/>
          <w:color w:val="000000"/>
          <w:sz w:val="22"/>
          <w:szCs w:val="22"/>
        </w:rPr>
        <w:t>A výnosoch</w:t>
      </w:r>
    </w:p>
    <w:p w14:paraId="131C83A0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</w:p>
    <w:p w14:paraId="6C6D1EE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Celkový hospodársky výsledok za rok 2025 po zdanení je  446 082,93 Eur</w:t>
      </w:r>
    </w:p>
    <w:p w14:paraId="7DC0BDEB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5" w:name="_tyjcwt" w:colFirst="0" w:colLast="0"/>
      <w:bookmarkEnd w:id="5"/>
    </w:p>
    <w:p w14:paraId="3FEB6963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 nákladoch a výnosoch, ktoré majú výnimočný rozsah alebo výskyt:</w:t>
      </w:r>
    </w:p>
    <w:p w14:paraId="114839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9620E8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Nenastali</w:t>
      </w:r>
    </w:p>
    <w:p w14:paraId="422DE01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FC748F1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iných aktívach a iných pasívach</w:t>
      </w:r>
    </w:p>
    <w:p w14:paraId="23CA1ED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4980EB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neeviduje iné aktíva a iné pasíva</w:t>
      </w:r>
    </w:p>
    <w:p w14:paraId="46560F6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40459B4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340C9DCF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Významné položky prenajatého majetku</w:t>
      </w:r>
    </w:p>
    <w:p w14:paraId="6588EC5F">
      <w:pPr>
        <w:pStyle w:val="3"/>
        <w:rPr>
          <w:sz w:val="22"/>
          <w:szCs w:val="22"/>
        </w:rPr>
      </w:pPr>
    </w:p>
    <w:p w14:paraId="61FCE60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BFA6322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odpísaných pohľadávkach</w:t>
      </w:r>
    </w:p>
    <w:p w14:paraId="31BA2D7C">
      <w:pPr>
        <w:pStyle w:val="3"/>
        <w:rPr>
          <w:sz w:val="22"/>
          <w:szCs w:val="22"/>
        </w:rPr>
      </w:pPr>
    </w:p>
    <w:p w14:paraId="647D384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na podsúvahovej evidencii eviduje odpísané pohľadávky vo hodnote  0,- EUR</w:t>
      </w:r>
    </w:p>
    <w:p w14:paraId="18DDCE5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314BF0F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4CE622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poistení majetk</w:t>
      </w:r>
      <w:r>
        <w:rPr>
          <w:color w:val="000000"/>
          <w:sz w:val="22"/>
          <w:szCs w:val="22"/>
        </w:rPr>
        <w:t>u:</w:t>
      </w:r>
    </w:p>
    <w:p w14:paraId="54AA0C0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Celý majetok spoločnosti </w:t>
      </w:r>
      <w:r>
        <w:rPr>
          <w:rFonts w:hint="default"/>
          <w:color w:val="000000"/>
          <w:sz w:val="22"/>
          <w:szCs w:val="22"/>
          <w:lang w:val="sk-SK"/>
        </w:rPr>
        <w:t>KOMI GROUP,</w:t>
      </w:r>
      <w:r>
        <w:rPr>
          <w:color w:val="000000"/>
          <w:sz w:val="22"/>
          <w:szCs w:val="22"/>
        </w:rPr>
        <w:t xml:space="preserve"> s.r.o., je poistený v spoločnosti KOOPERATÍVA poisťovňa a.s.</w:t>
      </w:r>
    </w:p>
    <w:p w14:paraId="7CAB0E4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F2695DF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6" w:name="_3dy6vkm" w:colFirst="0" w:colLast="0"/>
      <w:bookmarkEnd w:id="6"/>
      <w:r>
        <w:rPr>
          <w:b/>
          <w:smallCaps/>
          <w:color w:val="000000"/>
          <w:sz w:val="22"/>
          <w:szCs w:val="22"/>
        </w:rPr>
        <w:t>Informácie o skutočnostiach, ktoré nastali po dni, ku ktorému sa zostavuje účtovná závierka, do dňa zostavenia účtovnej závierky</w:t>
      </w:r>
    </w:p>
    <w:p w14:paraId="50E8F7D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800D23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 31. decembri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 xml:space="preserve"> nenastali žiadne zmeny, ktoré by mali významný vplyv na verné zobrazenie skutočnosti, ktoré sú predmetom účtovníctva.</w:t>
      </w:r>
    </w:p>
    <w:p w14:paraId="257327A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E0EE8A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90028F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bookmarkStart w:id="7" w:name="_1t3h5sf" w:colFirst="0" w:colLast="0"/>
      <w:bookmarkEnd w:id="7"/>
    </w:p>
    <w:p w14:paraId="0CE90C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B53CF5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3EB6F6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3D9A55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A2FDC8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2E0F2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401D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0D5417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D4E512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CA47D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513AD8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90BCAD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BA732A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1BF82E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11688C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C82839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C73D6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A33D70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3A7770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A0E2E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207D07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616EF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D206B9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373A1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3FC2E3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D66FD4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3B4AD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6FF30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719BCA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BBF9B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2BD80C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5F9E4A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566D2A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C3E925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3DF331C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53AEBD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4D2FA9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16D77C1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3BBFA34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3500FF8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1287A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DFE0F2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111" w:right="992" w:bottom="284" w:left="1418" w:header="425" w:footer="408" w:gutter="0"/>
      <w:pgNumType w:start="1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C657AE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</w:instrText>
    </w:r>
    <w:r>
      <w:rPr>
        <w:color w:val="000000"/>
      </w:rPr>
      <w:fldChar w:fldCharType="separate"/>
    </w:r>
    <w:r>
      <w:rPr>
        <w:color w:val="000000"/>
      </w:rPr>
      <w:t>5</w:t>
    </w:r>
    <w:r>
      <w:rPr>
        <w:color w:val="000000"/>
      </w:rPr>
      <w:fldChar w:fldCharType="end"/>
    </w:r>
  </w:p>
  <w:p w14:paraId="4F7E4F7B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E66C66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  <w:tab w:val="right" w:pos="9214"/>
      </w:tabs>
      <w:rPr>
        <w:color w:val="000000"/>
        <w:sz w:val="16"/>
        <w:szCs w:val="1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F37AD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1"/>
      <w:tblW w:w="9637" w:type="dxa"/>
      <w:jc w:val="center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14:paraId="5CBDDA9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  <w:jc w:val="center"/>
      </w:trPr>
      <w:tc>
        <w:tcPr>
          <w:tcW w:w="278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72FD7894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 w14:paraId="27D71F30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color="000000" w:sz="4" w:space="0"/>
          </w:tcBorders>
          <w:vAlign w:val="center"/>
        </w:tcPr>
        <w:p w14:paraId="043B2883"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271A43F3">
          <w:pPr>
            <w:pStyle w:val="3"/>
            <w:jc w:val="center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3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5289AE6">
          <w:pPr>
            <w:pStyle w:val="3"/>
            <w:jc w:val="center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6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5703EF0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4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24C70F05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7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13A12E75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5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5E40A910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9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57F6E28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6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2985B152"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3</w:t>
          </w:r>
        </w:p>
      </w:tc>
      <w:tc>
        <w:tcPr>
          <w:tcW w:w="43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  <w:vAlign w:val="center"/>
        </w:tcPr>
        <w:p w14:paraId="7FF8154E">
          <w:pPr>
            <w:pStyle w:val="3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single" w:color="000000" w:sz="4" w:space="0"/>
            <w:bottom w:val="nil"/>
            <w:right w:val="nil"/>
          </w:tcBorders>
          <w:vAlign w:val="center"/>
        </w:tcPr>
        <w:p w14:paraId="038B839C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088BA1E4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FB73DBC">
          <w:pPr>
            <w:pStyle w:val="3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73303D09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CD0DEAC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298AAB9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6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458AC5E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4AD0B178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0506C09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46EAED0"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29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28EDBB9">
          <w:pPr>
            <w:pStyle w:val="3"/>
            <w:jc w:val="center"/>
          </w:pPr>
          <w:r>
            <w:t>8</w:t>
          </w:r>
        </w:p>
      </w:tc>
    </w:tr>
  </w:tbl>
  <w:p w14:paraId="33B03A43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  <w:p w14:paraId="0C11EE98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8C93B7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0"/>
      <w:tblW w:w="8325" w:type="dxa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14:paraId="2028229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</w:trPr>
      <w:tc>
        <w:tcPr>
          <w:tcW w:w="27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5F63002F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541FC0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818D6B1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12FBE5E0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994925B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F802050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0D498BE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A2D5C38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5973E88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7205C3D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E0ED0A0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FB15F7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F5D73EE">
          <w:pPr>
            <w:pStyle w:val="3"/>
            <w:jc w:val="center"/>
          </w:pPr>
          <w:r>
            <w:t> </w:t>
          </w:r>
        </w:p>
      </w:tc>
    </w:tr>
  </w:tbl>
  <w:p w14:paraId="29A28FB4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6A3DBC"/>
    <w:multiLevelType w:val="multilevel"/>
    <w:tmpl w:val="026A3D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45843A5"/>
    <w:multiLevelType w:val="multilevel"/>
    <w:tmpl w:val="045843A5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7CF6FBC"/>
    <w:multiLevelType w:val="multilevel"/>
    <w:tmpl w:val="27CF6F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9AD16FD"/>
    <w:multiLevelType w:val="multilevel"/>
    <w:tmpl w:val="29AD16FD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C86998"/>
    <w:multiLevelType w:val="multilevel"/>
    <w:tmpl w:val="2AC86998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2DCF1E74"/>
    <w:multiLevelType w:val="multilevel"/>
    <w:tmpl w:val="2DCF1E74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BF10FF9"/>
    <w:multiLevelType w:val="multilevel"/>
    <w:tmpl w:val="4BF10FF9"/>
    <w:lvl w:ilvl="0" w:tentative="0">
      <w:start w:val="1"/>
      <w:numFmt w:val="lowerLetter"/>
      <w:lvlText w:val="(%1)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57A81F07"/>
    <w:multiLevelType w:val="multilevel"/>
    <w:tmpl w:val="57A81F0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9F0E58"/>
    <w:multiLevelType w:val="multilevel"/>
    <w:tmpl w:val="589F0E58"/>
    <w:lvl w:ilvl="0" w:tentative="0">
      <w:start w:val="0"/>
      <w:numFmt w:val="bullet"/>
      <w:lvlText w:val="-"/>
      <w:lvlJc w:val="left"/>
      <w:pPr>
        <w:ind w:left="72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66347"/>
    <w:multiLevelType w:val="multilevel"/>
    <w:tmpl w:val="7E166347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5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674CFE"/>
    <w:rsid w:val="003275FE"/>
    <w:rsid w:val="00344DBA"/>
    <w:rsid w:val="003D3483"/>
    <w:rsid w:val="004D775C"/>
    <w:rsid w:val="0064194B"/>
    <w:rsid w:val="00674CFE"/>
    <w:rsid w:val="007D2615"/>
    <w:rsid w:val="008810A2"/>
    <w:rsid w:val="00A53DA6"/>
    <w:rsid w:val="00AA0C7F"/>
    <w:rsid w:val="00C37BBF"/>
    <w:rsid w:val="00F17219"/>
    <w:rsid w:val="027E6C9D"/>
    <w:rsid w:val="22102F35"/>
    <w:rsid w:val="268F3244"/>
    <w:rsid w:val="28BB6272"/>
    <w:rsid w:val="28FF1D8F"/>
    <w:rsid w:val="2D2506EA"/>
    <w:rsid w:val="34B6466F"/>
    <w:rsid w:val="36190512"/>
    <w:rsid w:val="46446E14"/>
    <w:rsid w:val="4AF34671"/>
    <w:rsid w:val="5E336982"/>
    <w:rsid w:val="64AD6003"/>
    <w:rsid w:val="67BD0FD7"/>
    <w:rsid w:val="6C2C3FD5"/>
    <w:rsid w:val="6F1A6C9D"/>
    <w:rsid w:val="714F1030"/>
    <w:rsid w:val="771A18F3"/>
    <w:rsid w:val="77F677C3"/>
    <w:rsid w:val="7FCC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2">
    <w:name w:val="heading 1"/>
    <w:basedOn w:val="3"/>
    <w:next w:val="3"/>
    <w:uiPriority w:val="0"/>
    <w:pPr>
      <w:keepNext/>
      <w:ind w:left="786" w:hanging="360"/>
      <w:outlineLvl w:val="0"/>
    </w:pPr>
    <w:rPr>
      <w:b/>
      <w:smallCaps/>
      <w:sz w:val="18"/>
      <w:szCs w:val="18"/>
    </w:rPr>
  </w:style>
  <w:style w:type="paragraph" w:styleId="4">
    <w:name w:val="heading 2"/>
    <w:basedOn w:val="3"/>
    <w:next w:val="3"/>
    <w:qFormat/>
    <w:uiPriority w:val="0"/>
    <w:pPr>
      <w:keepNext/>
      <w:ind w:left="360" w:hanging="360"/>
      <w:outlineLvl w:val="1"/>
    </w:pPr>
    <w:rPr>
      <w:b/>
      <w:sz w:val="18"/>
      <w:szCs w:val="18"/>
    </w:rPr>
  </w:style>
  <w:style w:type="paragraph" w:styleId="5">
    <w:name w:val="heading 3"/>
    <w:basedOn w:val="3"/>
    <w:next w:val="3"/>
    <w:qFormat/>
    <w:uiPriority w:val="0"/>
    <w:pPr>
      <w:keepNext/>
      <w:spacing w:before="240" w:after="60"/>
      <w:outlineLvl w:val="2"/>
    </w:pPr>
    <w:rPr>
      <w:rFonts w:ascii="Cambria" w:hAnsi="Cambria" w:eastAsia="Cambria" w:cs="Cambria"/>
      <w:b/>
      <w:sz w:val="26"/>
      <w:szCs w:val="26"/>
    </w:rPr>
  </w:style>
  <w:style w:type="paragraph" w:styleId="6">
    <w:name w:val="heading 4"/>
    <w:basedOn w:val="3"/>
    <w:next w:val="3"/>
    <w:qFormat/>
    <w:uiPriority w:val="0"/>
    <w:pPr>
      <w:keepNext/>
      <w:spacing w:before="240" w:after="60"/>
      <w:outlineLvl w:val="3"/>
    </w:pPr>
    <w:rPr>
      <w:rFonts w:ascii="Arial Narrow" w:hAnsi="Arial Narrow" w:eastAsia="Arial Narrow" w:cs="Arial Narrow"/>
      <w:b/>
      <w:sz w:val="28"/>
      <w:szCs w:val="28"/>
    </w:rPr>
  </w:style>
  <w:style w:type="paragraph" w:styleId="7">
    <w:name w:val="heading 5"/>
    <w:basedOn w:val="3"/>
    <w:next w:val="3"/>
    <w:qFormat/>
    <w:uiPriority w:val="0"/>
    <w:pPr>
      <w:spacing w:before="240" w:after="60"/>
      <w:outlineLvl w:val="4"/>
    </w:pPr>
    <w:rPr>
      <w:rFonts w:ascii="Arial Narrow" w:hAnsi="Arial Narrow" w:eastAsia="Arial Narrow" w:cs="Arial Narrow"/>
      <w:b/>
      <w:i/>
      <w:sz w:val="26"/>
      <w:szCs w:val="26"/>
    </w:rPr>
  </w:style>
  <w:style w:type="paragraph" w:styleId="8">
    <w:name w:val="heading 6"/>
    <w:basedOn w:val="3"/>
    <w:next w:val="3"/>
    <w:qFormat/>
    <w:uiPriority w:val="0"/>
    <w:pPr>
      <w:keepNext/>
      <w:outlineLvl w:val="5"/>
    </w:pPr>
    <w:rPr>
      <w:b/>
      <w:smallCap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11">
    <w:name w:val="footer"/>
    <w:basedOn w:val="1"/>
    <w:link w:val="23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2">
    <w:name w:val="header"/>
    <w:basedOn w:val="1"/>
    <w:link w:val="22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3">
    <w:name w:val="Subtitle"/>
    <w:basedOn w:val="3"/>
    <w:next w:val="3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60"/>
      <w:jc w:val="center"/>
    </w:pPr>
    <w:rPr>
      <w:rFonts w:ascii="Cambria" w:hAnsi="Cambria" w:eastAsia="Cambria" w:cs="Cambria"/>
      <w:color w:val="000000"/>
      <w:sz w:val="22"/>
      <w:szCs w:val="22"/>
    </w:rPr>
  </w:style>
  <w:style w:type="paragraph" w:styleId="14">
    <w:name w:val="Title"/>
    <w:basedOn w:val="3"/>
    <w:next w:val="3"/>
    <w:qFormat/>
    <w:uiPriority w:val="0"/>
    <w:pPr>
      <w:keepNext/>
      <w:spacing w:after="220"/>
      <w:jc w:val="center"/>
    </w:pPr>
    <w:rPr>
      <w:rFonts w:ascii="Arial Narrow" w:hAnsi="Arial Narrow" w:eastAsia="Arial Narrow" w:cs="Arial Narrow"/>
      <w:b/>
      <w:sz w:val="22"/>
      <w:szCs w:val="22"/>
    </w:rPr>
  </w:style>
  <w:style w:type="table" w:customStyle="1" w:styleId="15">
    <w:name w:val="Table Normal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6">
    <w:name w:val="_Style 13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7">
    <w:name w:val="_Style 14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8">
    <w:name w:val="_Style 15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9">
    <w:name w:val="_Style 16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0">
    <w:name w:val="_Style 17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1">
    <w:name w:val="_Style 18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character" w:customStyle="1" w:styleId="22">
    <w:name w:val="Hlavička Char"/>
    <w:basedOn w:val="9"/>
    <w:link w:val="12"/>
    <w:semiHidden/>
    <w:qFormat/>
    <w:uiPriority w:val="99"/>
  </w:style>
  <w:style w:type="character" w:customStyle="1" w:styleId="23">
    <w:name w:val="Päta Char"/>
    <w:basedOn w:val="9"/>
    <w:link w:val="11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1801</Words>
  <Characters>10272</Characters>
  <Lines>85</Lines>
  <Paragraphs>24</Paragraphs>
  <TotalTime>22</TotalTime>
  <ScaleCrop>false</ScaleCrop>
  <LinksUpToDate>false</LinksUpToDate>
  <CharactersWithSpaces>12049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2022-06-24T06:00:00Z</dcterms:created>
  <dc:creator>PC</dc:creator>
  <cp:lastModifiedBy>Renáta Surmánková</cp:lastModifiedBy>
  <cp:lastPrinted>2026-03-20T14:02:35Z</cp:lastPrinted>
  <dcterms:modified xsi:type="dcterms:W3CDTF">2026-03-20T14:02:40Z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16571832BFD548B097B0AE04C53E3D07</vt:lpwstr>
  </property>
</Properties>
</file>