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D68113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14:paraId="51229DFA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</w:p>
    <w:p w14:paraId="38136520">
      <w:pPr>
        <w:suppressAutoHyphens/>
        <w:rPr>
          <w:b/>
          <w:bCs/>
          <w:color w:val="000000"/>
          <w:lang w:val="en-US"/>
        </w:rPr>
      </w:pPr>
    </w:p>
    <w:p w14:paraId="5B1B4647">
      <w:pPr>
        <w:suppressAutoHyphens/>
        <w:rPr>
          <w:rFonts w:hint="default"/>
          <w:color w:val="000000"/>
          <w:lang w:val="sk-SK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2022177817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31.12.202</w:t>
      </w:r>
      <w:r>
        <w:rPr>
          <w:rFonts w:hint="default"/>
          <w:color w:val="000000"/>
          <w:lang w:val="sk-SK"/>
        </w:rPr>
        <w:t>5</w:t>
      </w:r>
    </w:p>
    <w:p w14:paraId="406400D6">
      <w:pPr>
        <w:suppressAutoHyphens/>
        <w:rPr>
          <w:b/>
          <w:bCs/>
          <w:color w:val="000000"/>
          <w:lang w:val="en-US"/>
        </w:rPr>
      </w:pPr>
    </w:p>
    <w:p w14:paraId="5780F2EC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LO, s.r.o.</w:t>
      </w:r>
    </w:p>
    <w:p w14:paraId="08F43821">
      <w:pPr>
        <w:suppressAutoHyphens/>
        <w:rPr>
          <w:color w:val="000000"/>
          <w:lang w:val="en-US"/>
        </w:rPr>
      </w:pPr>
    </w:p>
    <w:p w14:paraId="1C1A0F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Strmá 30</w:t>
      </w:r>
    </w:p>
    <w:p w14:paraId="2EC3F16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974 11</w:t>
      </w:r>
      <w:bookmarkStart w:id="0" w:name="_GoBack"/>
      <w:bookmarkEnd w:id="0"/>
      <w:r>
        <w:rPr>
          <w:color w:val="000000"/>
          <w:lang w:val="en-US"/>
        </w:rPr>
        <w:t xml:space="preserve">  Banská Bystrica</w:t>
      </w:r>
    </w:p>
    <w:p w14:paraId="2E100881">
      <w:pPr>
        <w:suppressAutoHyphens/>
        <w:rPr>
          <w:color w:val="000000"/>
          <w:lang w:val="en-US"/>
        </w:rPr>
      </w:pPr>
    </w:p>
    <w:p w14:paraId="382316C7">
      <w:pPr>
        <w:pStyle w:val="3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352DA8EF">
      <w:pPr>
        <w:suppressAutoHyphens/>
        <w:rPr>
          <w:color w:val="000000"/>
          <w:lang w:val="en-US"/>
        </w:rPr>
      </w:pPr>
    </w:p>
    <w:p w14:paraId="33B6AE1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Obchodné meno účtovnej jednotky – LO, s.r.o.</w:t>
      </w:r>
    </w:p>
    <w:p w14:paraId="02419D5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Strmá 30, 974 09  Banská Bystrica</w:t>
      </w:r>
    </w:p>
    <w:p w14:paraId="3618E24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05426C8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5.5.2006</w:t>
      </w:r>
    </w:p>
    <w:p w14:paraId="604B56FB">
      <w:pPr>
        <w:suppressAutoHyphens/>
        <w:rPr>
          <w:color w:val="000000"/>
          <w:lang w:val="en-US"/>
        </w:rPr>
      </w:pPr>
    </w:p>
    <w:p w14:paraId="4554BB6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Podnikateľská činnosť:</w:t>
      </w:r>
    </w:p>
    <w:p w14:paraId="5EA5CDDB">
      <w:pPr>
        <w:suppressAutoHyphens/>
        <w:rPr>
          <w:color w:val="000000"/>
          <w:lang w:val="en-US"/>
        </w:rPr>
      </w:pPr>
    </w:p>
    <w:tbl>
      <w:tblPr>
        <w:tblStyle w:val="5"/>
        <w:tblW w:w="0" w:type="auto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43"/>
        <w:gridCol w:w="3049"/>
      </w:tblGrid>
      <w:tr w14:paraId="36790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D7454B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pohostinská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28A15F3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12F44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C02A9B">
            <w:pPr>
              <w:pStyle w:val="8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vyučovanie v odbore cudzích jazykov: nemecký jazyk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2F62F5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6C193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0FBFA17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sprievodca cestovného ruchu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DB60CE3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3C4C7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E19F64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3AC83E2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46DB8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D6515D6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0A039799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5E45B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001BCC9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reklamná a propagačná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0DB47052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09694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E3D211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činnosť organizačných, ekonomických a účtovných poradcov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8FE9364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14:paraId="4F923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7A9B1C8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sprostredkovanie obchodu a služieb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4161E39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>
              <w:rPr>
                <w:color w:val="FFFFFF"/>
                <w:lang w:val="en-US"/>
              </w:rPr>
              <w:t xml:space="preserve">  </w:t>
            </w:r>
          </w:p>
        </w:tc>
      </w:tr>
    </w:tbl>
    <w:p w14:paraId="38880273">
      <w:pPr>
        <w:suppressAutoHyphens/>
        <w:rPr>
          <w:color w:val="000000"/>
          <w:lang w:val="en-US"/>
        </w:rPr>
      </w:pPr>
    </w:p>
    <w:p w14:paraId="54D2BDA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Priemerný počet zamestnancov: 11, z toho riadiacich 1</w:t>
      </w:r>
    </w:p>
    <w:p w14:paraId="33C1D11C">
      <w:pPr>
        <w:suppressAutoHyphens/>
        <w:rPr>
          <w:color w:val="000000"/>
          <w:lang w:val="en-US"/>
        </w:rPr>
      </w:pPr>
    </w:p>
    <w:p w14:paraId="2D7FF02C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Podniky, v ktorých je podnik neobmedzene ručiacim spoločníkom: 0</w:t>
      </w:r>
    </w:p>
    <w:p w14:paraId="202D8906">
      <w:pPr>
        <w:suppressAutoHyphens/>
        <w:rPr>
          <w:color w:val="000000"/>
          <w:lang w:val="en-US"/>
        </w:rPr>
      </w:pPr>
    </w:p>
    <w:p w14:paraId="0DEE782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Právny dôvod na zostavenie účtovnej závierky: riadna</w:t>
      </w:r>
    </w:p>
    <w:p w14:paraId="108378BC">
      <w:pPr>
        <w:suppressAutoHyphens/>
        <w:rPr>
          <w:color w:val="000000"/>
          <w:lang w:val="en-US"/>
        </w:rPr>
      </w:pPr>
    </w:p>
    <w:p w14:paraId="1EBB899C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Dátum schválenia účtovnej závierky za predchádzajúce obdobie: 27</w:t>
      </w:r>
      <w:r>
        <w:rPr>
          <w:color w:val="000000"/>
        </w:rPr>
        <w:t>.3.2025</w:t>
      </w:r>
    </w:p>
    <w:p w14:paraId="1B9AD9D3">
      <w:pPr>
        <w:suppressAutoHyphens/>
        <w:rPr>
          <w:color w:val="000000"/>
          <w:lang w:val="en-US"/>
        </w:rPr>
      </w:pPr>
    </w:p>
    <w:p w14:paraId="1EA33751">
      <w:pPr>
        <w:suppressAutoHyphens/>
        <w:rPr>
          <w:color w:val="000000"/>
          <w:lang w:val="en-US"/>
        </w:rPr>
      </w:pPr>
    </w:p>
    <w:p w14:paraId="768DD2B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D9FB2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A85731D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C9E1F3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Štatutárne, dozorné a iné orgány:</w:t>
      </w:r>
    </w:p>
    <w:p w14:paraId="0920483E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Podhorský - konateľ</w:t>
      </w:r>
      <w:r>
        <w:rPr>
          <w:color w:val="000000"/>
          <w:lang w:val="en-US"/>
        </w:rPr>
        <w:tab/>
      </w:r>
    </w:p>
    <w:p w14:paraId="36801C1C">
      <w:pPr>
        <w:suppressAutoHyphens/>
        <w:ind w:left="708"/>
        <w:rPr>
          <w:color w:val="000000"/>
          <w:lang w:val="en-US"/>
        </w:rPr>
      </w:pPr>
    </w:p>
    <w:p w14:paraId="6BC330B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Štruktúra spoločníkov a akcionárov:</w:t>
      </w:r>
    </w:p>
    <w:p w14:paraId="3A31C94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>Peter Podhorský- spoločník</w:t>
      </w:r>
    </w:p>
    <w:p w14:paraId="23049EE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35127DD">
      <w:pPr>
        <w:pStyle w:val="3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5B730D3E">
      <w:pPr>
        <w:suppressAutoHyphens/>
        <w:rPr>
          <w:color w:val="000000"/>
          <w:lang w:val="en-US"/>
        </w:rPr>
      </w:pPr>
    </w:p>
    <w:p w14:paraId="67CFFA0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30B90FEE">
      <w:pPr>
        <w:pStyle w:val="3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46A4E85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F713083">
      <w:pPr>
        <w:suppressAutoHyphens/>
        <w:rPr>
          <w:color w:val="000000"/>
          <w:lang w:val="en-US"/>
        </w:rPr>
      </w:pPr>
    </w:p>
    <w:p w14:paraId="745ED732">
      <w:pPr>
        <w:suppressAutoHyphens/>
        <w:rPr>
          <w:color w:val="000000"/>
          <w:lang w:val="en-US"/>
        </w:rPr>
      </w:pPr>
    </w:p>
    <w:p w14:paraId="75728F8C">
      <w:pPr>
        <w:pStyle w:val="3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46F9EDC3">
      <w:pPr>
        <w:suppressAutoHyphens/>
        <w:rPr>
          <w:color w:val="000000"/>
          <w:lang w:val="en-US"/>
        </w:rPr>
      </w:pPr>
    </w:p>
    <w:p w14:paraId="7D232E1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Účtovná jednotka bude nepretržite pokračovať vo svojej činnosti: Áno</w:t>
      </w:r>
    </w:p>
    <w:p w14:paraId="49AB7FBE">
      <w:pPr>
        <w:suppressAutoHyphens/>
        <w:rPr>
          <w:color w:val="000000"/>
          <w:lang w:val="en-US"/>
        </w:rPr>
      </w:pPr>
    </w:p>
    <w:p w14:paraId="53508B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Zmeny účtovných zásad a metód – žiadne</w:t>
      </w:r>
    </w:p>
    <w:p w14:paraId="53F6CC3A">
      <w:pPr>
        <w:suppressAutoHyphens/>
        <w:rPr>
          <w:color w:val="000000"/>
          <w:lang w:val="en-US"/>
        </w:rPr>
      </w:pPr>
    </w:p>
    <w:p w14:paraId="3E05B95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Spôsob oceňovania jednotlivých zložiek majetku a záväzkov: obstarávacia cena</w:t>
      </w:r>
    </w:p>
    <w:p w14:paraId="7CA42A80">
      <w:pPr>
        <w:suppressAutoHyphens/>
        <w:rPr>
          <w:color w:val="000000"/>
          <w:lang w:val="en-US"/>
        </w:rPr>
      </w:pPr>
    </w:p>
    <w:p w14:paraId="40FF5F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Spôsob zostavenia odpisového plánu dlhodobého majetku: rovnomerný</w:t>
      </w:r>
    </w:p>
    <w:p w14:paraId="200F981C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4B269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Dotácie poskytnuté na obstaranie majetku: žiadne</w:t>
      </w:r>
    </w:p>
    <w:p w14:paraId="0B134B97">
      <w:pPr>
        <w:suppressAutoHyphens/>
        <w:rPr>
          <w:color w:val="000000"/>
          <w:lang w:val="en-US"/>
        </w:rPr>
      </w:pPr>
    </w:p>
    <w:p w14:paraId="7E479B32">
      <w:pPr>
        <w:pStyle w:val="3"/>
        <w:keepNext/>
        <w:suppressAutoHyphens/>
        <w:rPr>
          <w:color w:val="000000"/>
          <w:sz w:val="28"/>
          <w:szCs w:val="28"/>
          <w:lang w:val="en-US"/>
        </w:rPr>
      </w:pPr>
    </w:p>
    <w:p w14:paraId="1C19C7F9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24196A35">
      <w:pPr>
        <w:suppressAutoHyphens/>
        <w:rPr>
          <w:color w:val="000000"/>
          <w:lang w:val="en-US"/>
        </w:rPr>
      </w:pPr>
    </w:p>
    <w:p w14:paraId="7E0C496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Prehľad o pohybe dlhodobého majetku: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022 Samostatne hn.veci –</w:t>
      </w:r>
      <w:r>
        <w:rPr>
          <w:rFonts w:hint="default"/>
          <w:color w:val="000000"/>
          <w:lang w:val="sk-SK"/>
        </w:rPr>
        <w:t xml:space="preserve"> 4537</w:t>
      </w:r>
      <w:r>
        <w:rPr>
          <w:color w:val="000000"/>
          <w:lang w:val="en-US"/>
        </w:rPr>
        <w:t>,- €</w:t>
      </w:r>
    </w:p>
    <w:p w14:paraId="386989B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3D588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Spôsob a výška poistenia dlhodobého majetku: žiadna</w:t>
      </w:r>
    </w:p>
    <w:p w14:paraId="71D50300">
      <w:pPr>
        <w:suppressAutoHyphens/>
        <w:rPr>
          <w:color w:val="000000"/>
          <w:lang w:val="en-US"/>
        </w:rPr>
      </w:pPr>
    </w:p>
    <w:p w14:paraId="13E1181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Prehľad o dlhodobom nehmotnom a hmotnom majetku, na ktorý je zriadené záložné právo, alebo pri ktorom má účtovná jednotka obmedzené právo s ním nakladať: žiadny</w:t>
      </w:r>
    </w:p>
    <w:p w14:paraId="3D667616">
      <w:pPr>
        <w:suppressAutoHyphens/>
        <w:rPr>
          <w:color w:val="000000"/>
          <w:lang w:val="en-US"/>
        </w:rPr>
      </w:pPr>
    </w:p>
    <w:p w14:paraId="1ECCFF4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39697BF1">
      <w:pPr>
        <w:suppressAutoHyphens/>
        <w:rPr>
          <w:color w:val="000000"/>
          <w:lang w:val="en-US"/>
        </w:rPr>
      </w:pPr>
    </w:p>
    <w:p w14:paraId="1EC494C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žiadny</w:t>
      </w:r>
    </w:p>
    <w:p w14:paraId="768C9A63">
      <w:pPr>
        <w:suppressAutoHyphens/>
        <w:rPr>
          <w:color w:val="000000"/>
          <w:lang w:val="en-US"/>
        </w:rPr>
      </w:pPr>
    </w:p>
    <w:p w14:paraId="0B0BD116">
      <w:pPr>
        <w:pStyle w:val="3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>
        <w:rPr>
          <w:rFonts w:hint="default"/>
          <w:color w:val="000000"/>
          <w:lang w:val="sk-SK"/>
        </w:rPr>
        <w:t>2205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5F60FC0D">
      <w:pPr>
        <w:suppressAutoHyphens/>
        <w:rPr>
          <w:color w:val="000000"/>
          <w:lang w:val="en-US"/>
        </w:rPr>
      </w:pPr>
    </w:p>
    <w:p w14:paraId="26B26E5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640D85A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0B8C41F">
      <w:pPr>
        <w:rPr>
          <w:lang w:val="en-US"/>
        </w:rPr>
      </w:pPr>
    </w:p>
    <w:p w14:paraId="6B48A16A">
      <w:pPr>
        <w:pStyle w:val="3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5C655CA3">
      <w:pPr>
        <w:suppressAutoHyphens/>
        <w:rPr>
          <w:color w:val="000000"/>
          <w:lang w:val="en-US"/>
        </w:rPr>
      </w:pPr>
    </w:p>
    <w:p w14:paraId="379FC03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Údaje o vlastnom imaní – 6639,- €</w:t>
      </w:r>
    </w:p>
    <w:p w14:paraId="069EDB00">
      <w:pPr>
        <w:suppressAutoHyphens/>
        <w:rPr>
          <w:color w:val="000000"/>
          <w:lang w:val="en-US"/>
        </w:rPr>
      </w:pPr>
    </w:p>
    <w:p w14:paraId="174445A0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Rozdelenie účtovného zisku alebo straty z predchádzajúceho roka: neuhradená strata</w:t>
      </w:r>
    </w:p>
    <w:p w14:paraId="312FCE90">
      <w:pPr>
        <w:suppressAutoHyphens/>
        <w:ind w:left="1410" w:hanging="1410"/>
        <w:rPr>
          <w:color w:val="000000"/>
          <w:lang w:val="en-US"/>
        </w:rPr>
      </w:pPr>
    </w:p>
    <w:p w14:paraId="12143013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Prehľad o zisku a strate, ktorá nebola účtovaná ako náklad alebo výnos, ale priamo na účty vlastného imania: žiadna</w:t>
      </w:r>
    </w:p>
    <w:p w14:paraId="2B850080">
      <w:pPr>
        <w:suppressAutoHyphens/>
        <w:rPr>
          <w:color w:val="000000"/>
          <w:lang w:val="en-US"/>
        </w:rPr>
      </w:pPr>
    </w:p>
    <w:p w14:paraId="2870FF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Žiadne</w:t>
      </w:r>
    </w:p>
    <w:p w14:paraId="12121206">
      <w:pPr>
        <w:suppressAutoHyphens/>
        <w:rPr>
          <w:color w:val="000000"/>
          <w:lang w:val="en-US"/>
        </w:rPr>
      </w:pPr>
    </w:p>
    <w:p w14:paraId="5A4A2C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Záväzky po lehote splatnosti: </w:t>
      </w:r>
      <w:r>
        <w:rPr>
          <w:rFonts w:hint="default"/>
          <w:color w:val="000000"/>
          <w:lang w:val="sk-SK"/>
        </w:rPr>
        <w:t>292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6A9FA62F">
      <w:pPr>
        <w:suppressAutoHyphens/>
        <w:rPr>
          <w:color w:val="000000"/>
          <w:lang w:val="en-US"/>
        </w:rPr>
      </w:pPr>
    </w:p>
    <w:p w14:paraId="09B736A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žiadny</w:t>
      </w:r>
    </w:p>
    <w:p w14:paraId="54B8C636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4F98F722">
      <w:pPr>
        <w:rPr>
          <w:lang w:val="en-US"/>
        </w:rPr>
      </w:pPr>
    </w:p>
    <w:p w14:paraId="3A4DB44F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20B163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Údaje o tržbách za vlastné výkony a tovar:</w:t>
      </w:r>
    </w:p>
    <w:p w14:paraId="0E5F00F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602 Tržby z predaja služieb – </w:t>
      </w:r>
      <w:r>
        <w:rPr>
          <w:rFonts w:hint="default"/>
          <w:color w:val="000000"/>
          <w:lang w:val="sk-SK"/>
        </w:rPr>
        <w:t>389 586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6DB4A8D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6BD56C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žiadne</w:t>
      </w:r>
    </w:p>
    <w:p w14:paraId="68B61BA1">
      <w:pPr>
        <w:suppressAutoHyphens/>
        <w:rPr>
          <w:color w:val="000000"/>
          <w:lang w:val="en-US"/>
        </w:rPr>
      </w:pPr>
    </w:p>
    <w:p w14:paraId="2D4ED07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39F80E7">
      <w:pPr>
        <w:suppressAutoHyphens/>
        <w:rPr>
          <w:color w:val="000000"/>
          <w:lang w:val="en-US"/>
        </w:rPr>
      </w:pPr>
    </w:p>
    <w:p w14:paraId="5920EF7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žiadne</w:t>
      </w:r>
    </w:p>
    <w:p w14:paraId="5F8E8D81">
      <w:pPr>
        <w:suppressAutoHyphens/>
        <w:rPr>
          <w:color w:val="000000"/>
          <w:lang w:val="en-US"/>
        </w:rPr>
      </w:pPr>
    </w:p>
    <w:p w14:paraId="7AD76454">
      <w:pPr>
        <w:suppressAutoHyphens/>
        <w:rPr>
          <w:color w:val="000000"/>
          <w:lang w:val="en-US"/>
        </w:rPr>
      </w:pPr>
    </w:p>
    <w:p w14:paraId="3430DBE2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5170403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Významné položky nákladov:</w:t>
      </w:r>
    </w:p>
    <w:p w14:paraId="5A5BA8DC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501 Spotreba materiálu – </w:t>
      </w:r>
      <w:r>
        <w:rPr>
          <w:rFonts w:hint="default"/>
          <w:color w:val="000000"/>
          <w:lang w:val="sk-SK"/>
        </w:rPr>
        <w:t>216 799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0969F2F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518 Ostatné služby – </w:t>
      </w:r>
      <w:r>
        <w:rPr>
          <w:rFonts w:hint="default"/>
          <w:color w:val="000000"/>
          <w:lang w:val="sk-SK"/>
        </w:rPr>
        <w:t>61 628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14:paraId="4099B40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521 Mzdové náklady – </w:t>
      </w:r>
      <w:r>
        <w:rPr>
          <w:rFonts w:hint="default"/>
          <w:color w:val="000000"/>
          <w:lang w:val="sk-SK"/>
        </w:rPr>
        <w:t>91 688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14:paraId="639D793E">
      <w:pPr>
        <w:suppressAutoHyphens/>
        <w:rPr>
          <w:color w:val="000000"/>
          <w:lang w:val="en-US"/>
        </w:rPr>
      </w:pPr>
    </w:p>
    <w:p w14:paraId="2B4118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žiadne</w:t>
      </w:r>
    </w:p>
    <w:p w14:paraId="7B5737E0">
      <w:pPr>
        <w:suppressAutoHyphens/>
        <w:rPr>
          <w:color w:val="000000"/>
          <w:lang w:val="en-US"/>
        </w:rPr>
      </w:pPr>
    </w:p>
    <w:p w14:paraId="5C079318">
      <w:pPr>
        <w:suppressAutoHyphens/>
        <w:rPr>
          <w:color w:val="000000"/>
          <w:lang w:val="en-US"/>
        </w:rPr>
      </w:pPr>
    </w:p>
    <w:p w14:paraId="29A2F056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6AEAED4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Daň z príjmov právnickej osoby za rok 202</w:t>
      </w:r>
      <w:r>
        <w:rPr>
          <w:rFonts w:hint="default"/>
          <w:color w:val="000000"/>
          <w:lang w:val="sk-SK"/>
        </w:rPr>
        <w:t>5</w:t>
      </w:r>
      <w:r>
        <w:rPr>
          <w:color w:val="000000"/>
          <w:lang w:val="en-US"/>
        </w:rPr>
        <w:t xml:space="preserve"> – žiadna</w:t>
      </w:r>
    </w:p>
    <w:p w14:paraId="519EAFE9">
      <w:pPr>
        <w:suppressAutoHyphens/>
        <w:rPr>
          <w:color w:val="000000"/>
          <w:lang w:val="en-US"/>
        </w:rPr>
      </w:pPr>
    </w:p>
    <w:p w14:paraId="4FCF711C">
      <w:pPr>
        <w:suppressAutoHyphens/>
        <w:rPr>
          <w:color w:val="000000"/>
          <w:lang w:val="en-US"/>
        </w:rPr>
      </w:pPr>
    </w:p>
    <w:p w14:paraId="6433157D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16CC3FD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žiadne</w:t>
      </w:r>
    </w:p>
    <w:p w14:paraId="34B9F65F">
      <w:pPr>
        <w:suppressAutoHyphens/>
        <w:rPr>
          <w:color w:val="000000"/>
          <w:lang w:val="en-US"/>
        </w:rPr>
      </w:pPr>
    </w:p>
    <w:p w14:paraId="5D2D5721">
      <w:pPr>
        <w:suppressAutoHyphens/>
        <w:rPr>
          <w:color w:val="000000"/>
          <w:lang w:val="en-US"/>
        </w:rPr>
      </w:pPr>
    </w:p>
    <w:p w14:paraId="2F7464CE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1F4C082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2E2A247">
      <w:pPr>
        <w:pStyle w:val="3"/>
        <w:keepNext/>
        <w:suppressAutoHyphens/>
        <w:rPr>
          <w:color w:val="000000"/>
          <w:sz w:val="28"/>
          <w:szCs w:val="28"/>
          <w:lang w:val="en-US"/>
        </w:rPr>
      </w:pPr>
    </w:p>
    <w:p w14:paraId="0B786845">
      <w:pPr>
        <w:rPr>
          <w:lang w:val="en-US"/>
        </w:rPr>
      </w:pPr>
    </w:p>
    <w:p w14:paraId="2544D6D1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5CF1C8CB">
      <w:pPr>
        <w:suppressAutoHyphens/>
        <w:rPr>
          <w:color w:val="000000"/>
          <w:lang w:val="en-US"/>
        </w:rPr>
      </w:pPr>
    </w:p>
    <w:p w14:paraId="42B10EC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D90CBE0">
      <w:pPr>
        <w:suppressAutoHyphens/>
        <w:rPr>
          <w:color w:val="000000"/>
          <w:sz w:val="28"/>
          <w:szCs w:val="28"/>
          <w:lang w:val="en-US"/>
        </w:rPr>
      </w:pPr>
    </w:p>
    <w:p w14:paraId="56EA1336">
      <w:pPr>
        <w:suppressAutoHyphens/>
        <w:rPr>
          <w:color w:val="000000"/>
          <w:sz w:val="28"/>
          <w:szCs w:val="28"/>
          <w:lang w:val="en-US"/>
        </w:rPr>
      </w:pPr>
    </w:p>
    <w:p w14:paraId="6CEFD95A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487250A0">
      <w:pPr>
        <w:suppressAutoHyphens/>
        <w:rPr>
          <w:color w:val="000000"/>
          <w:lang w:val="en-US"/>
        </w:rPr>
      </w:pPr>
    </w:p>
    <w:p w14:paraId="648BD89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400600F">
      <w:pPr>
        <w:suppressAutoHyphens/>
        <w:rPr>
          <w:color w:val="000000"/>
          <w:lang w:val="en-US"/>
        </w:rPr>
      </w:pPr>
    </w:p>
    <w:p w14:paraId="7D72056C">
      <w:pPr>
        <w:suppressAutoHyphens/>
        <w:rPr>
          <w:color w:val="000000"/>
          <w:lang w:val="en-US"/>
        </w:rPr>
      </w:pPr>
    </w:p>
    <w:p w14:paraId="1A47089B">
      <w:pPr>
        <w:pStyle w:val="3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221EC4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A71AAE4">
      <w:pPr>
        <w:suppressAutoHyphens/>
        <w:rPr>
          <w:color w:val="000000"/>
          <w:lang w:val="en-US"/>
        </w:rPr>
      </w:pPr>
    </w:p>
    <w:p w14:paraId="55B5E3E3">
      <w:pPr>
        <w:suppressAutoHyphens/>
        <w:rPr>
          <w:color w:val="000000"/>
          <w:lang w:val="en-US"/>
        </w:rPr>
      </w:pPr>
    </w:p>
    <w:p w14:paraId="3DF46D5B">
      <w:pPr>
        <w:suppressAutoHyphens/>
        <w:rPr>
          <w:color w:val="000000"/>
          <w:lang w:val="en-US"/>
        </w:rPr>
      </w:pPr>
    </w:p>
    <w:p w14:paraId="6514197E">
      <w:pPr>
        <w:suppressAutoHyphens/>
        <w:rPr>
          <w:color w:val="000000"/>
          <w:lang w:val="en-US"/>
        </w:rPr>
      </w:pPr>
    </w:p>
    <w:p w14:paraId="4F22E405">
      <w:pPr>
        <w:suppressAutoHyphens/>
        <w:rPr>
          <w:color w:val="000000"/>
          <w:lang w:val="en-US"/>
        </w:rPr>
      </w:pPr>
    </w:p>
    <w:p w14:paraId="0892673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Dátum:   27. marca 202</w:t>
      </w:r>
      <w:r>
        <w:rPr>
          <w:rFonts w:hint="default"/>
          <w:color w:val="000000"/>
          <w:lang w:val="sk-SK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</w:p>
    <w:p w14:paraId="738E62D3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      Podpis štatutárneho orgánu</w:t>
      </w:r>
    </w:p>
    <w:p w14:paraId="38721B2F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68A"/>
    <w:rsid w:val="000177D8"/>
    <w:rsid w:val="000F3DB0"/>
    <w:rsid w:val="001B0597"/>
    <w:rsid w:val="002819ED"/>
    <w:rsid w:val="004A5431"/>
    <w:rsid w:val="007D511A"/>
    <w:rsid w:val="00A70951"/>
    <w:rsid w:val="00AB575D"/>
    <w:rsid w:val="00AF0E6E"/>
    <w:rsid w:val="00B157CC"/>
    <w:rsid w:val="00BE5EC0"/>
    <w:rsid w:val="00E12FAE"/>
    <w:rsid w:val="00E17698"/>
    <w:rsid w:val="00E77978"/>
    <w:rsid w:val="00E848B1"/>
    <w:rsid w:val="00ED6994"/>
    <w:rsid w:val="00EE568A"/>
    <w:rsid w:val="7BA32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1"/>
    <w:link w:val="6"/>
    <w:qFormat/>
    <w:uiPriority w:val="99"/>
    <w:pPr>
      <w:outlineLvl w:val="0"/>
    </w:pPr>
  </w:style>
  <w:style w:type="paragraph" w:styleId="3">
    <w:name w:val="heading 2"/>
    <w:basedOn w:val="1"/>
    <w:next w:val="1"/>
    <w:link w:val="7"/>
    <w:semiHidden/>
    <w:unhideWhenUsed/>
    <w:qFormat/>
    <w:uiPriority w:val="99"/>
    <w:pPr>
      <w:outlineLvl w:val="1"/>
    </w:p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Nadpis 1 Char"/>
    <w:link w:val="2"/>
    <w:uiPriority w:val="99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customStyle="1" w:styleId="7">
    <w:name w:val="Nadpis 2 Char"/>
    <w:link w:val="3"/>
    <w:semiHidden/>
    <w:uiPriority w:val="99"/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8">
    <w:name w:val="No Spacing"/>
    <w:qFormat/>
    <w:uiPriority w:val="1"/>
    <w:pPr>
      <w:widowControl w:val="0"/>
      <w:autoSpaceDE w:val="0"/>
      <w:autoSpaceDN w:val="0"/>
      <w:adjustRightInd w:val="0"/>
    </w:pPr>
    <w:rPr>
      <w:rFonts w:ascii="Times New Roman" w:hAnsi="Times New Roman" w:eastAsia="Times New Roman" w:cs="Times New Roman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608</Words>
  <Characters>3469</Characters>
  <Lines>28</Lines>
  <Paragraphs>8</Paragraphs>
  <TotalTime>21</TotalTime>
  <ScaleCrop>false</ScaleCrop>
  <LinksUpToDate>false</LinksUpToDate>
  <CharactersWithSpaces>4069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2025-03-27T09:16:00Z</dcterms:created>
  <dc:creator>Monika</dc:creator>
  <cp:lastModifiedBy>SuperKlodi22</cp:lastModifiedBy>
  <cp:lastPrinted>2025-03-27T09:14:00Z</cp:lastPrinted>
  <dcterms:modified xsi:type="dcterms:W3CDTF">2026-03-30T07:46:58Z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907A69FAEC1545E595C04B6A7F1AFF28_12</vt:lpwstr>
  </property>
</Properties>
</file>