
<file path=[Content_Types].xml><?xml version="1.0" encoding="utf-8"?>
<Types xmlns="http://schemas.openxmlformats.org/package/2006/content-types">
  <Default ContentType="image/png" Extension="png"/>
  <Default ContentType="image/jpeg" Extension="jpeg"/>
  <Default ContentType="image/jpeg" Extension="jpg"/>
  <Default ContentType="image/bmp" Extension="bmp"/>
  <Default ContentType="image/gif" Extension="gif"/>
  <Default ContentType="image/svg+xml" Extension="svg"/>
  <Default ContentType="application/vnd.openxmlformats-package.relationships+xml" Extension="rels"/>
  <Default ContentType="application/xml" Extension="xml"/>
  <Default ContentType="application/vnd.openxmlformats-officedocument.obfuscatedFont" Extension="odttf"/>
  <Override ContentType="application/vnd.openxmlformats-officedocument.wordprocessingml.document.main+xml" PartName="/word/document.xml"/>
  <Override ContentType="application/vnd.openxmlformats-officedocument.wordprocessingml.styles+xml" PartName="/word/styles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extended-properties+xml" PartName="/docProps/app.xml"/>
  <Override ContentType="application/vnd.openxmlformats-officedocument.wordprocessingml.numbering+xml" PartName="/word/numbering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comments+xml" PartName="/word/comments.xml"/>
  <Override ContentType="application/vnd.openxmlformats-officedocument.wordprocessingml.fontTable+xml" PartName="/word/fontTable.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p14">
  <w:body>
    <w:p>
      <w:pPr>
        <w:spacing w:before="0" w:after="60"/>
        <w:jc w:val="center"/>
      </w:pPr>
      <w:r>
        <w:rPr>
          <w:rFonts w:ascii="Times New Roman" w:cs="Times New Roman" w:eastAsia="Times New Roman" w:hAnsi="Times New Roman"/>
          <w:b/>
          <w:bCs/>
          <w:sz w:val="28"/>
          <w:szCs w:val="28"/>
        </w:rPr>
        <w:t xml:space="preserve">POZNÁMKY</w:t>
      </w:r>
    </w:p>
    <w:p>
      <w:pPr>
        <w:spacing w:before="0" w:after="60"/>
        <w:jc w:val="center"/>
      </w:pPr>
      <w:r>
        <w:rPr>
          <w:rFonts w:ascii="Times New Roman" w:cs="Times New Roman" w:eastAsia="Times New Roman" w:hAnsi="Times New Roman"/>
          <w:b/>
          <w:bCs/>
          <w:sz w:val="22"/>
          <w:szCs w:val="22"/>
        </w:rPr>
        <w:t xml:space="preserve">(Úč NUJ 3-01)</w:t>
      </w:r>
    </w:p>
    <w:p>
      <w:pPr>
        <w:spacing w:before="0" w:after="60"/>
        <w:jc w:val="center"/>
      </w:pPr>
      <w:r>
        <w:rPr>
          <w:rFonts w:ascii="Times New Roman" w:cs="Times New Roman" w:eastAsia="Times New Roman" w:hAnsi="Times New Roman"/>
          <w:sz w:val="20"/>
          <w:szCs w:val="20"/>
        </w:rPr>
        <w:t xml:space="preserve">k účtovnej závierke za účtovné obdobie 01.01.2025 – 31.12.2025</w:t>
      </w:r>
    </w:p>
    <w:p>
      <w:pPr>
        <w:spacing w:before="0" w:after="200"/>
        <w:jc w:val="center"/>
      </w:pPr>
      <w:r>
        <w:rPr>
          <w:rFonts w:ascii="Times New Roman" w:cs="Times New Roman" w:eastAsia="Times New Roman" w:hAnsi="Times New Roman"/>
          <w:b/>
          <w:bCs/>
          <w:sz w:val="22"/>
          <w:szCs w:val="22"/>
        </w:rPr>
        <w:t xml:space="preserve">Femtech.sk  |  IČO: 53709853</w:t>
      </w:r>
    </w:p>
    <w:p>
      <w:pPr>
        <w:spacing w:before="180" w:after="100"/>
      </w:pPr>
      <w:r>
        <w:rPr>
          <w:rFonts w:ascii="Times New Roman" w:cs="Times New Roman" w:eastAsia="Times New Roman" w:hAnsi="Times New Roman"/>
          <w:b/>
          <w:bCs/>
          <w:sz w:val="24"/>
          <w:szCs w:val="24"/>
          <w:u w:val="single"/>
        </w:rPr>
        <w:t xml:space="preserve">Čl. I  Všeobecné informácie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(1)  Názov účtovnej jednotky: Femtech.sk, IČO: 53709853. Účtovná jednotka bola zaregistrovaná a začala svoju činnosť v súlade s príslušnými právnymi predpismi Slovenskej republiky. [Doplniť: dátum zriadenia a údaje o zakladateľovi/zriaďovateľovi.]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(2)  Štatutárny orgán a ostatné orgány účtovnej jednotky: [Doplniť: mená a priezviská členov štatutárneho orgánu, dozorného orgánu a prípadných ďalších orgánov.]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(3)  Predmet činnosti: Femtech.sk je nezisková organizácia zameraná na podporu a rozvoj oblasti femtech (technológie pre zdravie žien) na Slovensku. Hlavnou nezdaňovanou činnosťou je organizovanie webinárov, seminárov a osveta v oblasti ženského zdravia a technológií. V rámci zdaňovanej činnosti poskytuje reklamné služby.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(4)  Priemerný prepočítaný počet zamestnancov v roku 2025: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5600"/>
        <w:gridCol w:w="1800"/>
        <w:gridCol w:w="1800"/>
      </w:tblGrid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Položka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Bežné účtovné obdobie 2025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Predchádzajúce obdobie 2024</w:t>
            </w:r>
          </w:p>
        </w:tc>
      </w:tr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Priemerný prepočítaný počet zamestnancov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z toho: počet vedúcich zamestnancov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Počet dobrovoľníkov vyslaných účtovnou jednotkou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Počet dobrovoľníkov vykonávajúcich činnosť pre ÚJ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  <w:tr>
        <w:tc>
          <w:tcPr>
            <w:tcW w:type="dxa" w:w="5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Počet hodín vykonávania dobrovoľníckej činnosti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  <w:tc>
          <w:tcPr>
            <w:tcW w:type="dxa" w:w="18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(5)  Organizačná štruktúra: Účtovná jednotka nemá organizačné zložky.</w:t>
      </w:r>
    </w:p>
    <w:p>
      <w:pPr>
        <w:spacing w:before="180" w:after="100"/>
      </w:pPr>
      <w:r>
        <w:rPr>
          <w:rFonts w:ascii="Times New Roman" w:cs="Times New Roman" w:eastAsia="Times New Roman" w:hAnsi="Times New Roman"/>
          <w:b/>
          <w:bCs/>
          <w:sz w:val="24"/>
          <w:szCs w:val="24"/>
          <w:u w:val="single"/>
        </w:rPr>
        <w:t xml:space="preserve">Čl. II  Informácie o účtovných zásadách a účtovných metódach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(1)  Predpoklad nepretržitého pokračovania činnosti: Účtovná závierka bola zostavená za predpokladu, že účtovná jednotka bude nepretržite pokračovať vo svojej činnosti.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(2)  Zmeny účtovných zásad a metód: V účtovnom období 2025 nedošlo k žiadnym zmenám účtovných zásad ani účtovných metód oproti predchádzajúcemu obdobiu.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(3)  Spôsoby ocenenia majetku a záväzkov: Peňažné prostriedky sú ocenené menovitou hodnotou. Pohľadávky a záväzky sú ocenené menovitou hodnotou. Zásoby materiálu sú ocenené v skutočných obstarávacích cenách. Kurzové rozdiely sú účtované výsledkovo.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(4)  Odpisový plán dlhodobého majetku: Účtovná jednotka nevlastní dlhodobý hmotný ani nehmotný majetok, preto odpisový plán nebol zostavený.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(5)  Opravné položky a rezervy: Účtovná jednotka netvorila žiadne opravné položky ani rezervy. Pohľadávky nevykazujú znaky znehodnotenia.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(6)  Opravy chýb minulých účtovných období: V bežnom účtovnom období neboli účtované žiadne opravy chýb minulých účtovných období.</w:t>
      </w:r>
    </w:p>
    <w:p>
      <w:pPr>
        <w:spacing w:before="180" w:after="100"/>
      </w:pPr>
      <w:r>
        <w:rPr>
          <w:rFonts w:ascii="Times New Roman" w:cs="Times New Roman" w:eastAsia="Times New Roman" w:hAnsi="Times New Roman"/>
          <w:b/>
          <w:bCs/>
          <w:sz w:val="24"/>
          <w:szCs w:val="24"/>
          <w:u w:val="single"/>
        </w:rPr>
        <w:t xml:space="preserve">Čl. III  Informácie doplňujúce a vysvetľujúce údaje v súvahe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(1)  Dlhodobý majetok: Účtovná jednotka nevlastní žiadny dlhodobý nehmotný, hmotný ani finančný majetok.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(2)  Zásoby: Účtovná jednotka eviduje spotrebu materiálu vo výške 101,37 EUR. Na konci účtovného obdobia nevykazuje žiadne zásoby materiálu.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(3)  Pohľadávky: Na konci účtovného obdobia 31.12.2025 účtovná jednotka nevykazuje žiadne pohľadávky. V priebehu roka boli vyfakturované a inkasované pohľadávky z obchodného styku vo výške 2 301,03 EUR (tržby za webináre a reklamu) a ostatné pohľadávky vo výške 784,00 EUR. Všetky pohľadávky boli k dátumu zostavenia závierky vysporiadané.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Prehľad pohľadávok k 31.12.2025 (v EUR):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400"/>
        <w:gridCol w:w="1600"/>
        <w:gridCol w:w="1600"/>
        <w:gridCol w:w="1600"/>
      </w:tblGrid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Druh pohľadávky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k 31.12.2024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k 31.12.2025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z toho po lehote splatnosti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Pohľadávky z obchodného styku (311)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Ostatné pohľadávky (315)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SPOLU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0,00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(4)  Finančné účty: Zostatok na bankovom účte k 31.12.2025 predstavuje 6 259,44 EUR. V roku 2025 boli na bankový účet prijaté platby v celkovej výške 9 829,28 EUR a uskutočnené platby v celkovej výške 5 989,16 EUR. Počiatočný stav bankového účtu k 1.1.2025 bol 2 419,32 EUR.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(5)  Zmeny vlastného imania v priebehu bežného účtovného obdobia (v EUR):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400"/>
        <w:gridCol w:w="1600"/>
        <w:gridCol w:w="1600"/>
        <w:gridCol w:w="1600"/>
      </w:tblGrid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Položka vlastného imania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na začiatku 01.01.2025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Zmena (+/-)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na konci 31.12.2025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Nevysporiadaný výsledok hospodárenia minulých rokov (428)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2 359,32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2 359,32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Výsledok hospodárenia za bežné účtovné obdobie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—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+3 840,12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3 840,12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VLASTNÉ IMANIE SPOLU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2 359,32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+3 840,12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6 199,44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Nevysporiadaný výsledok hospodárenia minulých rokov vo výške 2 359,32 EUR predstavuje zisk z predchádzajúceho účtovného obdobia (2024) prevedený na účet 428. O rozdelení zisku roku 2025 rozhodne príslušný orgán účtovnej jednotky.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(6)  Záväzky: K 31.12.2025 vykazuje účtovná jednotka záväzky z obchodného styku voči dodávateľom vo výške 60,00 EUR (nezmenené oproti počiatočnému stavu). Účtovná jednotka nemá žiadne dlhodobé záväzky, bankové úvery ani iné výpomoci. Záväzky po lehote splatnosti: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400"/>
        <w:gridCol w:w="1600"/>
        <w:gridCol w:w="1600"/>
        <w:gridCol w:w="1600"/>
      </w:tblGrid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Druh záväzku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k 31.12.2024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Stav k 31.12.2025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z toho po lehote splatnosti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Záväzky z obchodného styku (321)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4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SPOLU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60,00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60,00</w:t>
            </w:r>
          </w:p>
        </w:tc>
        <w:tc>
          <w:tcPr>
            <w:tcW w:type="dxa" w:w="16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[doplniť]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(7)  Rezervy: Účtovná jednotka netvorila žiadne zákonné ani ostatné rezervy.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(8)  Časové rozlíšenie: Účtovná jednotka nevykazuje žiadne položky časového rozlíšenia na strane aktív ani pasív.</w:t>
      </w:r>
    </w:p>
    <w:p>
      <w:pPr>
        <w:spacing w:before="180" w:after="100"/>
      </w:pPr>
      <w:r>
        <w:rPr>
          <w:rFonts w:ascii="Times New Roman" w:cs="Times New Roman" w:eastAsia="Times New Roman" w:hAnsi="Times New Roman"/>
          <w:b/>
          <w:bCs/>
          <w:sz w:val="24"/>
          <w:szCs w:val="24"/>
          <w:u w:val="single"/>
        </w:rPr>
        <w:t xml:space="preserve">Čl. IV  Informácie doplňujúce a vysvetľujúce údaje vo výkaze ziskov a strát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(1)  Všetky výnosy a náklady sú zaradené do hlavnej nezdaňovanej činnosti, s výnimkou tržieb z reklamy (602002), ktoré sú zaradené do zdaňovanej činnosti.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(2)  Prehľad výnosov za rok 2025 (v EUR):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000"/>
        <w:gridCol w:w="1400"/>
        <w:gridCol w:w="1400"/>
        <w:gridCol w:w="1200"/>
        <w:gridCol w:w="1200"/>
      </w:tblGrid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Výnosy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Číslo účtu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Hlavná nezdaňovaná činnosť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Zdaňovaná činnosť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Spolu 2025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Tržby z predaja služieb – webináre/semináre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602001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1 084,00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1 084,00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Tržby z predaja služieb – reklama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602002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2 001,03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2 001,03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Prijaté dary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646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4 648,00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4 648,00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Príspevky z podielu zaplatenej dane (2 %)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665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2 118,32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2 118,32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VÝNOSY SPOLU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7 850,32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2 001,03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9 851,35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(3)  Prehľad nákladov za rok 2025 (v EUR):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4000"/>
        <w:gridCol w:w="1400"/>
        <w:gridCol w:w="1400"/>
        <w:gridCol w:w="1200"/>
        <w:gridCol w:w="1200"/>
      </w:tblGrid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Náklady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Číslo účtu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Hlavná nezdaňovaná činnosť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Zdaňovaná činnosť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Spolu 2025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Spotreba materiálu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501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101,37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101,37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Ostatné služby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518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3 826,95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2 001,03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5 827,98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Ostatné dane a poplatky (netto)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538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Kurzové straty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545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6,61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6,61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Iné ostatné náklady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549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75,27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75,27</w:t>
            </w:r>
          </w:p>
        </w:tc>
      </w:tr>
      <w:tr>
        <w:tc>
          <w:tcPr>
            <w:tcW w:type="dxa" w:w="4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NÁKLADY SPOLU</w:t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/>
            </w:r>
          </w:p>
        </w:tc>
        <w:tc>
          <w:tcPr>
            <w:tcW w:type="dxa" w:w="14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4 010,20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2 001,03</w:t>
            </w:r>
          </w:p>
        </w:tc>
        <w:tc>
          <w:tcPr>
            <w:tcW w:type="dxa" w:w="12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6 011,23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Poznámka k účtu 538 – Ostatné dane a poplatky: Na ťarchu účtu 538 bol v priebehu roka zaúčtovaný poplatok vo výške 20,56 EUR; následne bola táto suma refundovaná (storno), takže konečný zostatok účtu 538 je 0,00 EUR.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Poznámka k účtu 518 – Ostatné služby: Celkové debetné obraty na účte 518 predstavujú 5 831,96 EUR, kreditná oprava (dobropis) 3,98 EUR, čistá hodnota nákladov na služby za rok 2025 je 5 827,98 EUR. Náklady zahŕňajú najmä výdavky na prevádzku webu, online platformy, marketing a iné prevádzkové služby.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(4)  Výsledok hospodárenia:</w:t>
      </w:r>
    </w:p>
    <w:tbl>
      <w:tblPr>
        <w:tblW w:type="dxa" w:w="9200"/>
        <w:tblBorders>
          <w:top w:val="single" w:color="auto" w:sz="4"/>
          <w:left w:val="single" w:color="auto" w:sz="4"/>
          <w:bottom w:val="single" w:color="auto" w:sz="4"/>
          <w:right w:val="single" w:color="auto" w:sz="4"/>
          <w:insideH w:val="single" w:color="auto" w:sz="4"/>
          <w:insideV w:val="single" w:color="auto" w:sz="4"/>
        </w:tblBorders>
      </w:tblPr>
      <w:tblGrid>
        <w:gridCol w:w="5000"/>
        <w:gridCol w:w="2100"/>
        <w:gridCol w:w="2100"/>
      </w:tblGrid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Položka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Rok 2025 (EUR)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shd w:fill="D9E2F3" w:val="clear"/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center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Rok 2024 (EUR)</w:t>
            </w:r>
          </w:p>
        </w:tc>
      </w:tr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Výnosy spolu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9 851,35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Náklady spolu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6 011,23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Výsledok hospodárenia pred zdanením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3 840,12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Daň z príjmov (591)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0,00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 w:val="false"/>
                <w:bCs w:val="false"/>
                <w:sz w:val="18"/>
                <w:szCs w:val="18"/>
              </w:rPr>
              <w:t xml:space="preserve">[doplniť]</w:t>
            </w:r>
          </w:p>
        </w:tc>
      </w:tr>
      <w:tr>
        <w:tc>
          <w:tcPr>
            <w:tcW w:type="dxa" w:w="50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lef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Výsledok hospodárenia po zdanení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3 840,12</w:t>
            </w:r>
          </w:p>
        </w:tc>
        <w:tc>
          <w:tcPr>
            <w:tcW w:type="dxa" w:w="2100"/>
            <w:tcBorders>
              <w:top w:val="single" w:color="999999" w:sz="1"/>
              <w:left w:val="single" w:color="999999" w:sz="1"/>
              <w:bottom w:val="single" w:color="999999" w:sz="1"/>
              <w:right w:val="single" w:color="999999" w:sz="1"/>
            </w:tcBorders>
            <w:tcMar>
              <w:top w:type="dxa" w:w="60"/>
              <w:left w:type="dxa" w:w="100"/>
              <w:bottom w:type="dxa" w:w="60"/>
              <w:right w:type="dxa" w:w="100"/>
            </w:tcMar>
          </w:tcPr>
          <w:p>
            <w:pPr>
              <w:jc w:val="right"/>
            </w:pPr>
            <w:r>
              <w:rPr>
                <w:rFonts w:ascii="Times New Roman" w:cs="Times New Roman" w:eastAsia="Times New Roman" w:hAnsi="Times New Roman"/>
                <w:b/>
                <w:bCs/>
                <w:sz w:val="18"/>
                <w:szCs w:val="18"/>
              </w:rPr>
              <w:t xml:space="preserve">2 359,32</w:t>
            </w:r>
          </w:p>
        </w:tc>
      </w:tr>
    </w:tbl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Zdaňovaná činnosť (reklama): výnosy 2 001,03 EUR, priamo alokované náklady 2 001,03 EUR, výsledok z tejto činnosti 0,00 EUR. Daňová povinnosť z príjmov je 0,00 EUR.</w:t>
      </w:r>
    </w:p>
    <w:p>
      <w:pPr>
        <w:spacing w:before="180" w:after="100"/>
      </w:pPr>
      <w:r>
        <w:rPr>
          <w:rFonts w:ascii="Times New Roman" w:cs="Times New Roman" w:eastAsia="Times New Roman" w:hAnsi="Times New Roman"/>
          <w:b/>
          <w:bCs/>
          <w:sz w:val="24"/>
          <w:szCs w:val="24"/>
          <w:u w:val="single"/>
        </w:rPr>
        <w:t xml:space="preserve">Čl. V  Ostatné informácie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(1)  Podmienené záväzky a aktíva: Účtovná jednotka nemá žiadne podmienené záväzky ani podmienené aktíva.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(2)  Udalosti po súvahovom dni: Po dni, ku ktorému sa zostavuje táto účtovná závierka (31.12.2025), nenastali žiadne udalosti, ktoré by mali významný vplyv na vykazovanie majetku, záväzkov alebo výsledku hospodárenia.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(3)  Transakcie so spriaznenými osobami: Účtovná jednotka neuskutočnila žiadne transakcie so spriaznenými osobami, ktoré by neboli realizované za bežných trhových podmienok.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(4)  Prijaté granty a dotácie: Účtovná jednotka neprijala žiadne dotácie zo štátneho rozpočtu ani z rozpočtov územnej samosprávy. V roku 2025 boli prijaté príspevky z podielu zaplatenej dane (tzv. 2 %) vo výške 2 118,32 EUR a dary od fyzických a právnických osôb vo výške 4 648,00 EUR.</w:t>
      </w:r>
    </w:p>
    <w:p>
      <w:pPr>
        <w:spacing w:before="60" w:after="60"/>
        <w:jc w:val="both"/>
      </w:pPr>
      <w:r>
        <w:rPr>
          <w:rFonts w:ascii="Times New Roman" w:cs="Times New Roman" w:eastAsia="Times New Roman" w:hAnsi="Times New Roman"/>
          <w:b w:val="false"/>
          <w:bCs w:val="false"/>
          <w:i w:val="false"/>
          <w:iCs w:val="false"/>
          <w:sz w:val="20"/>
          <w:szCs w:val="20"/>
        </w:rPr>
        <w:t xml:space="preserve">(5)  Informácia o zostavení a schválení závierky: Účtovná závierka bola zostavená dňa 30.03.2026. Schválená bola dňa 30.03.2026.</w:t>
      </w:r>
    </w:p>
    <w:sectPr>
      <w:pgSz w:w="11906" w:h="16838" w:orient="portrait"/>
      <w:pgMar w:top="1134" w:right="1134" w:bottom="1134" w:left="1134" w:header="708" w:footer="708" w:gutter="0"/>
      <w:pgNumType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rPr>
          <w:rStyle w:val="FootnoteReference"/>
        </w:rPr>
        <w:footnoteRef/>
      </w:r>
      <w:r>
        <w:separator/>
      </w:r>
    </w:p>
  </w:footnote>
  <w:footnote w:type="continuationSeparator" w:id="0">
    <w:p>
      <w:pPr>
        <w:spacing w:after="0" w:line="240" w:lineRule="auto"/>
      </w:pPr>
      <w:r>
        <w:rPr>
          <w:rStyle w:val="FootnoteReference"/>
        </w:rPr>
        <w:footnoteRef/>
      </w: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1" w15:restartNumberingAfterBreak="0">
    <w:multiLevelType w:val="hybridMultilevel"/>
    <w:lvl w:ilvl="0" w15:tentative="1">
      <w:start w:val="1"/>
      <w:numFmt w:val="bullet"/>
      <w:lvlText w:val="●"/>
      <w:lvlJc w:val="left"/>
      <w:pPr>
        <w:ind w:left="720" w:hanging="360"/>
      </w:pPr>
    </w:lvl>
    <w:lvl w:ilvl="1" w15:tentative="1">
      <w:start w:val="1"/>
      <w:numFmt w:val="bullet"/>
      <w:lvlText w:val="○"/>
      <w:lvlJc w:val="left"/>
      <w:pPr>
        <w:ind w:left="1440" w:hanging="360"/>
      </w:pPr>
    </w:lvl>
    <w:lvl w:ilvl="2" w15:tentative="1">
      <w:start w:val="1"/>
      <w:numFmt w:val="bullet"/>
      <w:lvlText w:val="■"/>
      <w:lvlJc w:val="left"/>
      <w:pPr>
        <w:ind w:left="2160" w:hanging="360"/>
      </w:pPr>
    </w:lvl>
    <w:lvl w:ilvl="3" w15:tentative="1">
      <w:start w:val="1"/>
      <w:numFmt w:val="bullet"/>
      <w:lvlText w:val="●"/>
      <w:lvlJc w:val="left"/>
      <w:pPr>
        <w:ind w:left="2880" w:hanging="360"/>
      </w:pPr>
    </w:lvl>
    <w:lvl w:ilvl="4" w15:tentative="1">
      <w:start w:val="1"/>
      <w:numFmt w:val="bullet"/>
      <w:lvlText w:val="○"/>
      <w:lvlJc w:val="left"/>
      <w:pPr>
        <w:ind w:left="3600" w:hanging="360"/>
      </w:pPr>
    </w:lvl>
    <w:lvl w:ilvl="5" w15:tentative="1">
      <w:start w:val="1"/>
      <w:numFmt w:val="bullet"/>
      <w:lvlText w:val="■"/>
      <w:lvlJc w:val="left"/>
      <w:pPr>
        <w:ind w:left="4320" w:hanging="360"/>
      </w:pPr>
    </w:lvl>
    <w:lvl w:ilvl="6" w15:tentative="1">
      <w:start w:val="1"/>
      <w:numFmt w:val="bullet"/>
      <w:lvlText w:val="●"/>
      <w:lvlJc w:val="left"/>
      <w:pPr>
        <w:ind w:left="5040" w:hanging="360"/>
      </w:pPr>
    </w:lvl>
    <w:lvl w:ilvl="7" w15:tentative="1">
      <w:start w:val="1"/>
      <w:numFmt w:val="bullet"/>
      <w:lvlText w:val="●"/>
      <w:lvlJc w:val="left"/>
      <w:pPr>
        <w:ind w:left="5760" w:hanging="360"/>
      </w:pPr>
    </w:lvl>
    <w:lvl w:ilvl="8" w15:tentative="1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1"/>
    <w:lvlOverride w:ilvl="0">
      <w:startOverride w:val="1"/>
    </w:lvlOverride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isplayBackgroundShape/>
  <w:evenAndOddHeaders w:val="false"/>
  <w:compat>
    <w:compatSetting w:val="15" w:uri="http://schemas.microsoft.com/office/word" w:name="compatibilityMode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cs="Times New Roman" w:eastAsia="Times New Roman" w:hAnsi="Times New Roman"/>
        <w:sz w:val="20"/>
        <w:szCs w:val="20"/>
      </w:rPr>
    </w:rPrDefault>
    <w:pPrDefault/>
  </w:docDefaults>
  <w:style w:type="paragraph" w:styleId="Title">
    <w:name w:val="Title"/>
    <w:basedOn w:val="Normal"/>
    <w:next w:val="Normal"/>
    <w:qFormat/>
    <w:rPr>
      <w:sz w:val="56"/>
      <w:szCs w:val="56"/>
    </w:rPr>
  </w:style>
  <w:style w:type="paragraph" w:styleId="Heading1">
    <w:name w:val="Heading 1"/>
    <w:basedOn w:val="Normal"/>
    <w:next w:val="Normal"/>
    <w:qFormat/>
    <w:rPr>
      <w:color w:val="2E74B5"/>
      <w:sz w:val="32"/>
      <w:szCs w:val="32"/>
    </w:rPr>
  </w:style>
  <w:style w:type="paragraph" w:styleId="Heading2">
    <w:name w:val="Heading 2"/>
    <w:basedOn w:val="Normal"/>
    <w:next w:val="Normal"/>
    <w:qFormat/>
    <w:rPr>
      <w:color w:val="2E74B5"/>
      <w:sz w:val="26"/>
      <w:szCs w:val="26"/>
    </w:rPr>
  </w:style>
  <w:style w:type="paragraph" w:styleId="Heading3">
    <w:name w:val="Heading 3"/>
    <w:basedOn w:val="Normal"/>
    <w:next w:val="Normal"/>
    <w:qFormat/>
    <w:rPr>
      <w:color w:val="1F4D78"/>
      <w:sz w:val="24"/>
      <w:szCs w:val="24"/>
    </w:rPr>
  </w:style>
  <w:style w:type="paragraph" w:styleId="Heading4">
    <w:name w:val="Heading 4"/>
    <w:basedOn w:val="Normal"/>
    <w:next w:val="Normal"/>
    <w:qFormat/>
    <w:rPr>
      <w:i/>
      <w:iCs/>
      <w:color w:val="2E74B5"/>
    </w:rPr>
  </w:style>
  <w:style w:type="paragraph" w:styleId="Heading5">
    <w:name w:val="Heading 5"/>
    <w:basedOn w:val="Normal"/>
    <w:next w:val="Normal"/>
    <w:qFormat/>
    <w:rPr>
      <w:color w:val="2E74B5"/>
    </w:rPr>
  </w:style>
  <w:style w:type="paragraph" w:styleId="Heading6">
    <w:name w:val="Heading 6"/>
    <w:basedOn w:val="Normal"/>
    <w:next w:val="Normal"/>
    <w:qFormat/>
    <w:rPr>
      <w:color w:val="1F4D78"/>
    </w:rPr>
  </w:style>
  <w:style w:type="paragraph" w:styleId="Strong">
    <w:name w:val="Strong"/>
    <w:basedOn w:val="Normal"/>
    <w:next w:val="Normal"/>
    <w:qFormat/>
    <w:rPr>
      <w:b/>
      <w:bCs/>
    </w:rPr>
  </w:style>
  <w:style w:type="paragraph" w:styleId="ListParagraph">
    <w:name w:val="List Paragraph"/>
    <w:basedOn w:val="Normal"/>
    <w:qFormat/>
  </w:style>
  <w:style w:type="character" w:styleId="Hyperlink">
    <w:name w:val="Hyperlink"/>
    <w:basedOn w:val="DefaultParagraphFont"/>
    <w:uiPriority w:val="99"/>
    <w:unhideWhenUsed/>
    <w:rPr>
      <w:color w:val="0563C1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FootnoteTextChar">
    <w:name w:val="Footnote Text Char"/>
    <w:basedOn w:val="DefaultParagraphFont"/>
    <w:link w:val="FootnoteText"/>
    <w:uiPriority w:val="99"/>
    <w:semiHidden/>
    <w:unhideWhenUsed/>
    <w:rPr>
      <w:sz w:val="20"/>
      <w:szCs w:val="20"/>
    </w:rPr>
  </w:style>
</w:styles>
</file>

<file path=word/_rels/comments.xml.rels><?xml version="1.0" encoding="UTF-8"?><Relationships xmlns="http://schemas.openxmlformats.org/package/2006/relationships"/>
</file>

<file path=word/_rels/document.xml.rels><?xml version="1.0" encoding="UTF-8"?>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otnotes" Target="footnotes.xml"/><Relationship Id="rId4" Type="http://schemas.openxmlformats.org/officeDocument/2006/relationships/settings" Target="settings.xml"/><Relationship Id="rId5" Type="http://schemas.openxmlformats.org/officeDocument/2006/relationships/comments" Target="comments.xml"/><Relationship Id="rId6" Type="http://schemas.openxmlformats.org/officeDocument/2006/relationships/fontTable" Target="fontTable.xml"/></Relationships>
</file>

<file path=word/_rels/fontTable.xml.rels><?xml version="1.0" encoding="UTF-8"?><Relationships xmlns="http://schemas.openxmlformats.org/package/2006/relationships"/>
</file>

<file path=word/_rels/footnotes.xml.rels><?xml version="1.0" encoding="UTF-8"?><Relationships xmlns="http://schemas.openxmlformats.org/package/2006/relationships"/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Un-named</cp:lastModifiedBy>
  <cp:revision>1</cp:revision>
  <dcterms:created xsi:type="dcterms:W3CDTF">2026-03-30T17:28:41.533Z</dcterms:created>
  <dcterms:modified xsi:type="dcterms:W3CDTF">2026-03-30T17:28:41.533Z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