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5124B" w14:textId="77777777" w:rsidR="004D1E78" w:rsidRPr="004D1E78" w:rsidRDefault="004D1E78" w:rsidP="004D1E7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Čl. I – Všeobecné informácie</w:t>
      </w:r>
    </w:p>
    <w:p w14:paraId="322B8A15" w14:textId="77777777" w:rsidR="004D1E78" w:rsidRPr="004D1E78" w:rsidRDefault="004D1E78" w:rsidP="004D1E7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(1) Zakladateľ:</w:t>
      </w:r>
      <w:r w:rsidRPr="004D1E78">
        <w:rPr>
          <w:rFonts w:ascii="Times New Roman" w:hAnsi="Times New Roman" w:cs="Times New Roman"/>
          <w:sz w:val="24"/>
          <w:szCs w:val="24"/>
        </w:rPr>
        <w:t xml:space="preserve"> Členovia prípravného výboru v zmysle zákona o združovaní občanov. Dátum vzniku: 15. 11. 1993.</w:t>
      </w:r>
    </w:p>
    <w:p w14:paraId="4B5D225E" w14:textId="77777777" w:rsidR="004D1E78" w:rsidRPr="004D1E78" w:rsidRDefault="004D1E78" w:rsidP="004D1E7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(2) Štatutárny orgán:</w:t>
      </w:r>
      <w:r w:rsidRPr="004D1E78">
        <w:rPr>
          <w:rFonts w:ascii="Times New Roman" w:hAnsi="Times New Roman" w:cs="Times New Roman"/>
          <w:sz w:val="24"/>
          <w:szCs w:val="24"/>
        </w:rPr>
        <w:t xml:space="preserve"> Predseda: Richard </w:t>
      </w:r>
      <w:proofErr w:type="spellStart"/>
      <w:r w:rsidRPr="004D1E78">
        <w:rPr>
          <w:rFonts w:ascii="Times New Roman" w:hAnsi="Times New Roman" w:cs="Times New Roman"/>
          <w:sz w:val="24"/>
          <w:szCs w:val="24"/>
        </w:rPr>
        <w:t>Sklenka</w:t>
      </w:r>
      <w:proofErr w:type="spellEnd"/>
      <w:r w:rsidRPr="004D1E78">
        <w:rPr>
          <w:rFonts w:ascii="Times New Roman" w:hAnsi="Times New Roman" w:cs="Times New Roman"/>
          <w:sz w:val="24"/>
          <w:szCs w:val="24"/>
        </w:rPr>
        <w:t>.</w:t>
      </w:r>
    </w:p>
    <w:p w14:paraId="4EFC48B7" w14:textId="77777777" w:rsidR="004D1E78" w:rsidRPr="004D1E78" w:rsidRDefault="004D1E78" w:rsidP="004D1E7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(3) Opis činnosti:</w:t>
      </w:r>
      <w:r w:rsidRPr="004D1E78">
        <w:rPr>
          <w:rFonts w:ascii="Times New Roman" w:hAnsi="Times New Roman" w:cs="Times New Roman"/>
          <w:sz w:val="24"/>
          <w:szCs w:val="24"/>
        </w:rPr>
        <w:t xml:space="preserve"> Hlavnou nezdaňovanou činnosťou je organizovanie športových podujatí a tréningového procesu pre deti a mládež v odvetví volejbal. Účtovná jednotka v roku 2025 vykonávala aj drobnú zdaňovanú činnosť súvisiacu s hlavným poslaním.</w:t>
      </w:r>
    </w:p>
    <w:p w14:paraId="3F7E62C8" w14:textId="77777777" w:rsidR="004D1E78" w:rsidRPr="004D1E78" w:rsidRDefault="004D1E78" w:rsidP="004D1E7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(5) Organizačná štruktúra:</w:t>
      </w:r>
      <w:r w:rsidRPr="004D1E78">
        <w:rPr>
          <w:rFonts w:ascii="Times New Roman" w:hAnsi="Times New Roman" w:cs="Times New Roman"/>
          <w:sz w:val="24"/>
          <w:szCs w:val="24"/>
        </w:rPr>
        <w:t xml:space="preserve"> Najvyšším orgánom je Valné zhromaždenie členov, výkonným orgánom je Predsedníctvo na čele s predsedom.</w:t>
      </w:r>
    </w:p>
    <w:p w14:paraId="6EA06560" w14:textId="77777777" w:rsidR="004D1E78" w:rsidRPr="004D1E78" w:rsidRDefault="004D1E78" w:rsidP="004D1E78">
      <w:p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pict w14:anchorId="1112BDC0">
          <v:rect id="_x0000_i1049" style="width:0;height:1.5pt" o:hralign="center" o:hrstd="t" o:hr="t" fillcolor="#a0a0a0" stroked="f"/>
        </w:pict>
      </w:r>
    </w:p>
    <w:p w14:paraId="1A5E0219" w14:textId="77777777" w:rsidR="004D1E78" w:rsidRPr="004D1E78" w:rsidRDefault="004D1E78" w:rsidP="004D1E7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Čl. II – Informácie o účtovných zásadách</w:t>
      </w:r>
    </w:p>
    <w:p w14:paraId="2383340D" w14:textId="77777777" w:rsidR="004D1E78" w:rsidRPr="004D1E78" w:rsidRDefault="004D1E78" w:rsidP="004D1E7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(1) Nepretržité pokračovanie:</w:t>
      </w:r>
      <w:r w:rsidRPr="004D1E78">
        <w:rPr>
          <w:rFonts w:ascii="Times New Roman" w:hAnsi="Times New Roman" w:cs="Times New Roman"/>
          <w:sz w:val="24"/>
          <w:szCs w:val="24"/>
        </w:rPr>
        <w:t xml:space="preserve"> Účtovná závierka je zostavená za predpokladu, že účtovná jednotka bude nepretržite pokračovať vo svojej činnosti.</w:t>
      </w:r>
    </w:p>
    <w:p w14:paraId="7B70AEAF" w14:textId="77777777" w:rsidR="004D1E78" w:rsidRPr="004D1E78" w:rsidRDefault="004D1E78" w:rsidP="004D1E7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(3) Spôsoby oceňovania:</w:t>
      </w:r>
      <w:r w:rsidRPr="004D1E78">
        <w:rPr>
          <w:rFonts w:ascii="Times New Roman" w:hAnsi="Times New Roman" w:cs="Times New Roman"/>
          <w:sz w:val="24"/>
          <w:szCs w:val="24"/>
        </w:rPr>
        <w:t xml:space="preserve"> Majetok a záväzky sa oceňujú v obstarávacích cenách.</w:t>
      </w:r>
    </w:p>
    <w:p w14:paraId="2CEA7938" w14:textId="77777777" w:rsidR="004D1E78" w:rsidRPr="004D1E78" w:rsidRDefault="004D1E78" w:rsidP="004D1E7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(4) Odpisový plán:</w:t>
      </w:r>
      <w:r w:rsidRPr="004D1E78">
        <w:rPr>
          <w:rFonts w:ascii="Times New Roman" w:hAnsi="Times New Roman" w:cs="Times New Roman"/>
          <w:sz w:val="24"/>
          <w:szCs w:val="24"/>
        </w:rPr>
        <w:t xml:space="preserve"> Dlhodobý hmotný majetok sa odpisuje rovnomerne počas predpokladanej doby používania (v prípade automobilu sú to 4 roky, sadzba 25 %).</w:t>
      </w:r>
    </w:p>
    <w:p w14:paraId="3A3926BF" w14:textId="77777777" w:rsidR="004D1E78" w:rsidRPr="004D1E78" w:rsidRDefault="004D1E78" w:rsidP="004D1E78">
      <w:pPr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(5) Zníženie hodnoty:</w:t>
      </w:r>
      <w:r w:rsidRPr="004D1E78">
        <w:rPr>
          <w:rFonts w:ascii="Times New Roman" w:hAnsi="Times New Roman" w:cs="Times New Roman"/>
          <w:sz w:val="24"/>
          <w:szCs w:val="24"/>
        </w:rPr>
        <w:t xml:space="preserve"> Účtovná jednotka k 31. 12. 2025 netvorila opravné položky k majetku ani rezervy.</w:t>
      </w:r>
    </w:p>
    <w:p w14:paraId="3D903937" w14:textId="77777777" w:rsidR="004D1E78" w:rsidRPr="004D1E78" w:rsidRDefault="004D1E78" w:rsidP="004D1E78">
      <w:p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pict w14:anchorId="17062680">
          <v:rect id="_x0000_i1050" style="width:0;height:1.5pt" o:hralign="center" o:hrstd="t" o:hr="t" fillcolor="#a0a0a0" stroked="f"/>
        </w:pict>
      </w:r>
    </w:p>
    <w:p w14:paraId="60EFC5ED" w14:textId="77777777" w:rsidR="004D1E78" w:rsidRPr="004D1E78" w:rsidRDefault="004D1E78" w:rsidP="004D1E7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Čl. III – Informácie k súvahe</w:t>
      </w:r>
    </w:p>
    <w:p w14:paraId="6988F1DB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(5) Štruktúra dlhodobých pôžičiek:</w:t>
      </w:r>
      <w:r w:rsidRPr="004D1E78">
        <w:rPr>
          <w:rFonts w:ascii="Times New Roman" w:hAnsi="Times New Roman" w:cs="Times New Roman"/>
          <w:sz w:val="24"/>
          <w:szCs w:val="24"/>
        </w:rPr>
        <w:t xml:space="preserve"> Dlhodobý bankový úver (účet 461) vykazuje k 31. 12. 2025 zostatok istiny vo výške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23 631,71 €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(z pôvodných 29 535,27 € v predchádzajúcom období).</w:t>
      </w:r>
    </w:p>
    <w:p w14:paraId="45B359D1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(7) Opis pohľadávok:</w:t>
      </w:r>
      <w:r w:rsidRPr="004D1E78">
        <w:rPr>
          <w:rFonts w:ascii="Times New Roman" w:hAnsi="Times New Roman" w:cs="Times New Roman"/>
          <w:sz w:val="24"/>
          <w:szCs w:val="24"/>
        </w:rPr>
        <w:t xml:space="preserve"> Pohľadávky v sume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18 430 €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sú v rámci lehoty splatnosti a týkajú sa hlavnej nezdaňovanej činnosti.</w:t>
      </w:r>
    </w:p>
    <w:p w14:paraId="0C89790D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(10) Vlastné imanie:</w:t>
      </w:r>
      <w:r w:rsidRPr="004D1E78">
        <w:rPr>
          <w:rFonts w:ascii="Times New Roman" w:hAnsi="Times New Roman" w:cs="Times New Roman"/>
          <w:sz w:val="24"/>
          <w:szCs w:val="24"/>
        </w:rPr>
        <w:t xml:space="preserve"> Výsledok hospodárenia za účtovné obdobie 2025 predstavuje zisk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11 080 €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D1E78"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 w:rsidRPr="004D1E78">
        <w:rPr>
          <w:rFonts w:ascii="Times New Roman" w:hAnsi="Times New Roman" w:cs="Times New Roman"/>
          <w:sz w:val="24"/>
          <w:szCs w:val="24"/>
        </w:rPr>
        <w:t xml:space="preserve"> výsledok hospodárenia minulých rokov je vo výške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7 600,91 €</w:t>
      </w:r>
      <w:r w:rsidRPr="004D1E78">
        <w:rPr>
          <w:rFonts w:ascii="Times New Roman" w:hAnsi="Times New Roman" w:cs="Times New Roman"/>
          <w:sz w:val="24"/>
          <w:szCs w:val="24"/>
        </w:rPr>
        <w:t>.</w:t>
      </w:r>
    </w:p>
    <w:p w14:paraId="10F59E33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(15) Prehľad záväzkov:</w:t>
      </w:r>
      <w:r w:rsidRPr="004D1E78">
        <w:rPr>
          <w:rFonts w:ascii="Times New Roman" w:hAnsi="Times New Roman" w:cs="Times New Roman"/>
          <w:sz w:val="24"/>
          <w:szCs w:val="24"/>
        </w:rPr>
        <w:t xml:space="preserve"> Celkové záväzky k 31. 12. 2025 sú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7 758,78 €</w:t>
      </w:r>
      <w:r w:rsidRPr="004D1E78">
        <w:rPr>
          <w:rFonts w:ascii="Times New Roman" w:hAnsi="Times New Roman" w:cs="Times New Roman"/>
          <w:sz w:val="24"/>
          <w:szCs w:val="24"/>
        </w:rPr>
        <w:t>, z toho do lehoty splatnosti 4 371,34 € a po lehote splatnosti 3 387,44 €.</w:t>
      </w:r>
    </w:p>
    <w:p w14:paraId="39C2C007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(19) Výnosy budúcich období:</w:t>
      </w:r>
      <w:r w:rsidRPr="004D1E78">
        <w:rPr>
          <w:rFonts w:ascii="Times New Roman" w:hAnsi="Times New Roman" w:cs="Times New Roman"/>
          <w:sz w:val="24"/>
          <w:szCs w:val="24"/>
        </w:rPr>
        <w:t xml:space="preserve"> Suma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3 986,23 €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predstavuje nevyčerpaný zostatok podielu zaplatenej dane (2 %). Ostatné výnosy budúcich období v sume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105 911,30 €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súvisia s prijatými prostriedkami na sezónu 2025/2026.</w:t>
      </w:r>
    </w:p>
    <w:p w14:paraId="7F4D9A8A" w14:textId="77777777" w:rsidR="004D1E78" w:rsidRPr="004D1E78" w:rsidRDefault="004D1E78" w:rsidP="004D1E78">
      <w:pPr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(20) Lízingové zmluvy:</w:t>
      </w:r>
      <w:r w:rsidRPr="004D1E78">
        <w:rPr>
          <w:rFonts w:ascii="Times New Roman" w:hAnsi="Times New Roman" w:cs="Times New Roman"/>
          <w:sz w:val="24"/>
          <w:szCs w:val="24"/>
        </w:rPr>
        <w:t xml:space="preserve"> Účtovná jednotka eviduje lízing na motorové vozidlo s aktuálnou hodnotou záväzku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23 631,71 €</w:t>
      </w:r>
      <w:r w:rsidRPr="004D1E78">
        <w:rPr>
          <w:rFonts w:ascii="Times New Roman" w:hAnsi="Times New Roman" w:cs="Times New Roman"/>
          <w:sz w:val="24"/>
          <w:szCs w:val="24"/>
        </w:rPr>
        <w:t>.</w:t>
      </w:r>
    </w:p>
    <w:p w14:paraId="5F2EA3B5" w14:textId="77777777" w:rsidR="004D1E78" w:rsidRPr="004D1E78" w:rsidRDefault="004D1E78" w:rsidP="004D1E78">
      <w:p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lastRenderedPageBreak/>
        <w:pict w14:anchorId="61FFB55E">
          <v:rect id="_x0000_i1051" style="width:0;height:1.5pt" o:hralign="center" o:hrstd="t" o:hr="t" fillcolor="#a0a0a0" stroked="f"/>
        </w:pict>
      </w:r>
    </w:p>
    <w:p w14:paraId="016A8E01" w14:textId="77777777" w:rsidR="004D1E78" w:rsidRPr="004D1E78" w:rsidRDefault="004D1E78" w:rsidP="004D1E7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4B2F19" w14:textId="6FB1572F" w:rsidR="004D1E78" w:rsidRPr="004D1E78" w:rsidRDefault="004D1E78" w:rsidP="004D1E7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Čl. IV – Informácie k výkazu ziskov a strát</w:t>
      </w:r>
    </w:p>
    <w:p w14:paraId="2E5A8B7A" w14:textId="77777777" w:rsidR="004D1E78" w:rsidRPr="004D1E78" w:rsidRDefault="004D1E78" w:rsidP="004D1E78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(1) Prehľad tržieb:</w:t>
      </w:r>
    </w:p>
    <w:p w14:paraId="62A5A667" w14:textId="77777777" w:rsidR="004D1E78" w:rsidRPr="004D1E78" w:rsidRDefault="004D1E78" w:rsidP="004D1E78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t xml:space="preserve">Tržby z predaja služieb (účet 602):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5 656,02 €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(hlavná činnosť).</w:t>
      </w:r>
    </w:p>
    <w:p w14:paraId="07EDAA84" w14:textId="77777777" w:rsidR="004D1E78" w:rsidRPr="004D1E78" w:rsidRDefault="004D1E78" w:rsidP="004D1E78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t xml:space="preserve">Zákonné poplatky (účet 648):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39 718,30 €</w:t>
      </w:r>
      <w:r w:rsidRPr="004D1E78">
        <w:rPr>
          <w:rFonts w:ascii="Times New Roman" w:hAnsi="Times New Roman" w:cs="Times New Roman"/>
          <w:sz w:val="24"/>
          <w:szCs w:val="24"/>
        </w:rPr>
        <w:t>.</w:t>
      </w:r>
    </w:p>
    <w:p w14:paraId="43B34F69" w14:textId="77777777" w:rsidR="004D1E78" w:rsidRPr="004D1E78" w:rsidRDefault="004D1E78" w:rsidP="004D1E78">
      <w:pPr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t xml:space="preserve">Prijaté príspevky a 2 % (účty 662-665):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64 523,21 €</w:t>
      </w:r>
      <w:r w:rsidRPr="004D1E78">
        <w:rPr>
          <w:rFonts w:ascii="Times New Roman" w:hAnsi="Times New Roman" w:cs="Times New Roman"/>
          <w:sz w:val="24"/>
          <w:szCs w:val="24"/>
        </w:rPr>
        <w:t>.</w:t>
      </w:r>
    </w:p>
    <w:p w14:paraId="50FA5798" w14:textId="77777777" w:rsidR="004D1E78" w:rsidRPr="004D1E78" w:rsidRDefault="004D1E78" w:rsidP="004D1E78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(5) Opis významných položiek nákladov:</w:t>
      </w:r>
      <w:r w:rsidRPr="004D1E78">
        <w:rPr>
          <w:rFonts w:ascii="Times New Roman" w:hAnsi="Times New Roman" w:cs="Times New Roman"/>
          <w:sz w:val="24"/>
          <w:szCs w:val="24"/>
        </w:rPr>
        <w:t xml:space="preserve"> Najvýznamnejšou položkou sú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Ostatné služby</w:t>
      </w:r>
      <w:r w:rsidRPr="004D1E78">
        <w:rPr>
          <w:rFonts w:ascii="Times New Roman" w:hAnsi="Times New Roman" w:cs="Times New Roman"/>
          <w:sz w:val="24"/>
          <w:szCs w:val="24"/>
        </w:rPr>
        <w:t xml:space="preserve"> (účet 518) v sume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60 626 €</w:t>
      </w:r>
      <w:r w:rsidRPr="004D1E78">
        <w:rPr>
          <w:rFonts w:ascii="Times New Roman" w:hAnsi="Times New Roman" w:cs="Times New Roman"/>
          <w:sz w:val="24"/>
          <w:szCs w:val="24"/>
        </w:rPr>
        <w:t>. Zahŕňajú najmä prenájom telocviční, prepravu športovcov a odmeny trénerom/rozhodcom.</w:t>
      </w:r>
    </w:p>
    <w:p w14:paraId="2EFF4400" w14:textId="77777777" w:rsidR="004D1E78" w:rsidRPr="004D1E78" w:rsidRDefault="004D1E78" w:rsidP="004D1E78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(6) Podiel zaplatenej dane (2 %):</w:t>
      </w:r>
      <w:r w:rsidRPr="004D1E78">
        <w:rPr>
          <w:rFonts w:ascii="Times New Roman" w:hAnsi="Times New Roman" w:cs="Times New Roman"/>
          <w:sz w:val="24"/>
          <w:szCs w:val="24"/>
        </w:rPr>
        <w:t xml:space="preserve"> Prijaté prostriedky v sume </w:t>
      </w:r>
      <w:r w:rsidRPr="004D1E78">
        <w:rPr>
          <w:rFonts w:ascii="Times New Roman" w:hAnsi="Times New Roman" w:cs="Times New Roman"/>
          <w:b/>
          <w:bCs/>
          <w:sz w:val="24"/>
          <w:szCs w:val="24"/>
        </w:rPr>
        <w:t>3 986,23 €</w:t>
      </w:r>
      <w:r w:rsidRPr="004D1E78">
        <w:rPr>
          <w:rFonts w:ascii="Times New Roman" w:hAnsi="Times New Roman" w:cs="Times New Roman"/>
          <w:sz w:val="24"/>
          <w:szCs w:val="24"/>
        </w:rPr>
        <w:t xml:space="preserve"> boli použité na nákup športového materiálu pre mládež.</w:t>
      </w:r>
    </w:p>
    <w:p w14:paraId="11E08F6A" w14:textId="77777777" w:rsidR="004D1E78" w:rsidRPr="004D1E78" w:rsidRDefault="004D1E78" w:rsidP="004D1E78">
      <w:p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sz w:val="24"/>
          <w:szCs w:val="24"/>
        </w:rPr>
        <w:pict w14:anchorId="29DDD22F">
          <v:rect id="_x0000_i1052" style="width:0;height:1.5pt" o:hralign="center" o:hrstd="t" o:hr="t" fillcolor="#a0a0a0" stroked="f"/>
        </w:pict>
      </w:r>
    </w:p>
    <w:p w14:paraId="6EEAA00F" w14:textId="77777777" w:rsidR="004D1E78" w:rsidRPr="004D1E78" w:rsidRDefault="004D1E78" w:rsidP="004D1E7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Čl. VI – Ďalšie informácie</w:t>
      </w:r>
    </w:p>
    <w:p w14:paraId="3A0B5563" w14:textId="77777777" w:rsidR="004D1E78" w:rsidRPr="004D1E78" w:rsidRDefault="004D1E78" w:rsidP="004D1E78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4D1E78">
        <w:rPr>
          <w:rFonts w:ascii="Times New Roman" w:hAnsi="Times New Roman" w:cs="Times New Roman"/>
          <w:b/>
          <w:bCs/>
          <w:sz w:val="24"/>
          <w:szCs w:val="24"/>
        </w:rPr>
        <w:t>(5) Skutočnosti po závierke:</w:t>
      </w:r>
      <w:r w:rsidRPr="004D1E78">
        <w:rPr>
          <w:rFonts w:ascii="Times New Roman" w:hAnsi="Times New Roman" w:cs="Times New Roman"/>
          <w:sz w:val="24"/>
          <w:szCs w:val="24"/>
        </w:rPr>
        <w:t xml:space="preserve"> Medzi dňom zostavenia závierky a 31. 12. 2025 nenastali žiadne udalosti, ktoré by významne ovplyvnili vykázané údaje.</w:t>
      </w:r>
    </w:p>
    <w:p w14:paraId="53146DE9" w14:textId="77777777" w:rsidR="004E2B6A" w:rsidRPr="004D1E78" w:rsidRDefault="004E2B6A">
      <w:pPr>
        <w:rPr>
          <w:rFonts w:ascii="Times New Roman" w:hAnsi="Times New Roman" w:cs="Times New Roman"/>
          <w:sz w:val="24"/>
          <w:szCs w:val="24"/>
        </w:rPr>
      </w:pPr>
    </w:p>
    <w:sectPr w:rsidR="004E2B6A" w:rsidRPr="004D1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0F2946"/>
    <w:multiLevelType w:val="multilevel"/>
    <w:tmpl w:val="2AAA1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2292E84"/>
    <w:multiLevelType w:val="multilevel"/>
    <w:tmpl w:val="6F849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D75701"/>
    <w:multiLevelType w:val="multilevel"/>
    <w:tmpl w:val="37CE4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440DAF"/>
    <w:multiLevelType w:val="multilevel"/>
    <w:tmpl w:val="64044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7350727"/>
    <w:multiLevelType w:val="multilevel"/>
    <w:tmpl w:val="252C5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08862386">
    <w:abstractNumId w:val="1"/>
  </w:num>
  <w:num w:numId="2" w16cid:durableId="2109500361">
    <w:abstractNumId w:val="2"/>
  </w:num>
  <w:num w:numId="3" w16cid:durableId="727724185">
    <w:abstractNumId w:val="3"/>
  </w:num>
  <w:num w:numId="4" w16cid:durableId="1824933156">
    <w:abstractNumId w:val="0"/>
  </w:num>
  <w:num w:numId="5" w16cid:durableId="20257850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E78"/>
    <w:rsid w:val="004D1E78"/>
    <w:rsid w:val="004E2B6A"/>
    <w:rsid w:val="00906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57321"/>
  <w15:chartTrackingRefBased/>
  <w15:docId w15:val="{B116C28E-A277-4FA0-B62B-E7393112F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D1E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D1E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D1E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1E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D1E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D1E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D1E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D1E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D1E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D1E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D1E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D1E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1E7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D1E7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D1E7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D1E7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D1E7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D1E7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D1E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D1E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D1E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D1E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D1E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D1E7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D1E7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D1E7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D1E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D1E7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D1E7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416</Words>
  <Characters>2372</Characters>
  <Application>Microsoft Office Word</Application>
  <DocSecurity>0</DocSecurity>
  <Lines>19</Lines>
  <Paragraphs>5</Paragraphs>
  <ScaleCrop>false</ScaleCrop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ZapaMoney s.r.o.</dc:creator>
  <cp:keywords/>
  <dc:description/>
  <cp:lastModifiedBy>ZapaMoney s.r.o.</cp:lastModifiedBy>
  <cp:revision>1</cp:revision>
  <dcterms:created xsi:type="dcterms:W3CDTF">2026-04-03T08:13:00Z</dcterms:created>
  <dcterms:modified xsi:type="dcterms:W3CDTF">2026-04-03T08:16:00Z</dcterms:modified>
</cp:coreProperties>
</file>