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6B3045" w:rsidRPr="006B3045" w14:paraId="72A0CDE2" w14:textId="77777777" w:rsidTr="00303DA6">
        <w:tc>
          <w:tcPr>
            <w:tcW w:w="3061" w:type="dxa"/>
            <w:vAlign w:val="center"/>
          </w:tcPr>
          <w:p w14:paraId="4AF556B1" w14:textId="77777777" w:rsidR="006B3045" w:rsidRPr="006B3045" w:rsidRDefault="006B3045" w:rsidP="006B3045">
            <w:pPr>
              <w:keepNext/>
              <w:spacing w:after="120" w:line="240" w:lineRule="auto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kern w:val="0"/>
                <w:lang w:eastAsia="sk-SK"/>
                <w14:ligatures w14:val="none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410BAE53" w14:textId="77777777" w:rsidR="006B3045" w:rsidRPr="006B3045" w:rsidRDefault="006B3045" w:rsidP="006B3045">
            <w:pPr>
              <w:keepNext/>
              <w:spacing w:after="120" w:line="240" w:lineRule="auto"/>
              <w:jc w:val="right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 xml:space="preserve">IČO  </w:t>
            </w:r>
          </w:p>
        </w:tc>
        <w:tc>
          <w:tcPr>
            <w:tcW w:w="340" w:type="dxa"/>
          </w:tcPr>
          <w:p w14:paraId="782B80D0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3</w:t>
            </w:r>
          </w:p>
        </w:tc>
        <w:tc>
          <w:tcPr>
            <w:tcW w:w="340" w:type="dxa"/>
          </w:tcPr>
          <w:p w14:paraId="37F9A386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1</w:t>
            </w:r>
          </w:p>
        </w:tc>
        <w:tc>
          <w:tcPr>
            <w:tcW w:w="340" w:type="dxa"/>
          </w:tcPr>
          <w:p w14:paraId="7F031E2C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8</w:t>
            </w:r>
          </w:p>
        </w:tc>
        <w:tc>
          <w:tcPr>
            <w:tcW w:w="340" w:type="dxa"/>
          </w:tcPr>
          <w:p w14:paraId="35A97DAA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1</w:t>
            </w:r>
          </w:p>
        </w:tc>
        <w:tc>
          <w:tcPr>
            <w:tcW w:w="340" w:type="dxa"/>
          </w:tcPr>
          <w:p w14:paraId="4246AA04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7</w:t>
            </w:r>
          </w:p>
        </w:tc>
        <w:tc>
          <w:tcPr>
            <w:tcW w:w="340" w:type="dxa"/>
          </w:tcPr>
          <w:p w14:paraId="2BF52B54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9</w:t>
            </w:r>
          </w:p>
        </w:tc>
        <w:tc>
          <w:tcPr>
            <w:tcW w:w="340" w:type="dxa"/>
          </w:tcPr>
          <w:p w14:paraId="778C011D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1</w:t>
            </w:r>
          </w:p>
        </w:tc>
        <w:tc>
          <w:tcPr>
            <w:tcW w:w="340" w:type="dxa"/>
          </w:tcPr>
          <w:p w14:paraId="5113C04D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7DC53318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  <w:r w:rsidRPr="006B3045"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  <w:t>/SID</w:t>
            </w:r>
          </w:p>
        </w:tc>
        <w:tc>
          <w:tcPr>
            <w:tcW w:w="340" w:type="dxa"/>
          </w:tcPr>
          <w:p w14:paraId="114619DB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</w:p>
        </w:tc>
        <w:tc>
          <w:tcPr>
            <w:tcW w:w="340" w:type="dxa"/>
          </w:tcPr>
          <w:p w14:paraId="495A9D08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</w:p>
        </w:tc>
        <w:tc>
          <w:tcPr>
            <w:tcW w:w="340" w:type="dxa"/>
          </w:tcPr>
          <w:p w14:paraId="344717C5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</w:p>
        </w:tc>
        <w:tc>
          <w:tcPr>
            <w:tcW w:w="340" w:type="dxa"/>
          </w:tcPr>
          <w:p w14:paraId="2667AE92" w14:textId="77777777" w:rsidR="006B3045" w:rsidRPr="006B3045" w:rsidRDefault="006B3045" w:rsidP="006B3045">
            <w:pPr>
              <w:keepNext/>
              <w:spacing w:after="120" w:line="240" w:lineRule="auto"/>
              <w:jc w:val="both"/>
              <w:outlineLvl w:val="2"/>
              <w:rPr>
                <w:rFonts w:ascii="Arial Narrow" w:eastAsia="Times New Roman" w:hAnsi="Arial Narrow" w:cs="Arial"/>
                <w:b/>
                <w:bCs/>
                <w:kern w:val="0"/>
                <w:lang w:eastAsia="cs-CZ"/>
                <w14:ligatures w14:val="none"/>
              </w:rPr>
            </w:pPr>
          </w:p>
        </w:tc>
      </w:tr>
    </w:tbl>
    <w:p w14:paraId="1E0755CF" w14:textId="77777777" w:rsidR="006B3045" w:rsidRPr="006B3045" w:rsidRDefault="006B3045" w:rsidP="006B3045">
      <w:pPr>
        <w:keepNext/>
        <w:spacing w:after="120" w:line="240" w:lineRule="auto"/>
        <w:jc w:val="both"/>
        <w:outlineLvl w:val="2"/>
        <w:rPr>
          <w:rFonts w:ascii="Arial Narrow" w:eastAsia="Times New Roman" w:hAnsi="Arial Narrow" w:cs="Arial"/>
          <w:b/>
          <w:bCs/>
          <w:kern w:val="0"/>
          <w:lang w:eastAsia="cs-CZ"/>
          <w14:ligatures w14:val="none"/>
        </w:rPr>
      </w:pPr>
    </w:p>
    <w:p w14:paraId="1A739FAC" w14:textId="77777777" w:rsidR="006B3045" w:rsidRPr="006B3045" w:rsidRDefault="006B3045" w:rsidP="006B3045">
      <w:pPr>
        <w:keepNext/>
        <w:spacing w:after="120" w:line="240" w:lineRule="auto"/>
        <w:jc w:val="center"/>
        <w:outlineLvl w:val="2"/>
        <w:rPr>
          <w:rFonts w:ascii="Arial Narrow" w:eastAsia="Times New Roman" w:hAnsi="Arial Narrow" w:cs="Arial"/>
          <w:b/>
          <w:bCs/>
          <w:kern w:val="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lang w:eastAsia="cs-CZ"/>
          <w14:ligatures w14:val="none"/>
        </w:rPr>
        <w:t>Čl. I</w:t>
      </w:r>
    </w:p>
    <w:p w14:paraId="60C1492C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lang w:eastAsia="cs-CZ"/>
          <w14:ligatures w14:val="none"/>
        </w:rPr>
        <w:t>Všeobecné údaje</w:t>
      </w:r>
    </w:p>
    <w:p w14:paraId="722105F5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lang w:eastAsia="cs-CZ"/>
          <w14:ligatures w14:val="none"/>
        </w:rPr>
        <w:t>(</w:t>
      </w: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1) Meno a priezvisko fyzickej osoby alebo názov právnickej osoby, ktorá je zakladateľom alebo zriaďovateľom účtovnej jednotky, dátum založenia alebo zriadenia účtovnej jednotky.</w:t>
      </w:r>
    </w:p>
    <w:p w14:paraId="77EE743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Nadácia bola založená nadačnou listinou zo dňa 18.4.2002 a do registra Ministerstva vnútra bola zapísaná dňa  30.4.2002 pod číslom 203/Na-96/654.</w:t>
      </w:r>
    </w:p>
    <w:p w14:paraId="11ECAD75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Zriaďovateľom nadácie je spoločnosť JURKI-HAYTON s.r.o. , so sídlom Prístavná 2, 821 09 Bratislava</w:t>
      </w:r>
    </w:p>
    <w:p w14:paraId="3FC72EC1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5759865E" w14:textId="1BB5D128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V zmysle nadačnej listiny zo dňa 10.2.2002 a rozhodnutia zakladateľa nadácie JURKI – NAD</w:t>
      </w:r>
      <w:r w:rsidRPr="006B3045">
        <w:rPr>
          <w:rFonts w:ascii="Calibri" w:eastAsia="Times New Roman" w:hAnsi="Calibri" w:cs="Arial"/>
          <w:b/>
          <w:kern w:val="0"/>
          <w:sz w:val="20"/>
          <w:szCs w:val="20"/>
          <w:lang w:eastAsia="cs-CZ"/>
          <w14:ligatures w14:val="none"/>
        </w:rPr>
        <w:t>Á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CIA o zmene správcu nadácie  zo dňa </w:t>
      </w:r>
      <w:r w:rsid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24.11.2025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najvyšším orgánom nadácie je správna rada v zložení:</w:t>
      </w:r>
    </w:p>
    <w:p w14:paraId="20849F57" w14:textId="77777777" w:rsidR="006B3045" w:rsidRPr="006B3045" w:rsidRDefault="006B3045" w:rsidP="006B3045">
      <w:pPr>
        <w:tabs>
          <w:tab w:val="left" w:pos="1418"/>
          <w:tab w:val="left" w:pos="5103"/>
        </w:tabs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Mgr. Lucia Vojtišková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predseda správnej rady</w:t>
      </w:r>
    </w:p>
    <w:p w14:paraId="1AE18242" w14:textId="62B25ECE" w:rsidR="006B3045" w:rsidRPr="006B3045" w:rsidRDefault="006B3045" w:rsidP="006B3045">
      <w:pPr>
        <w:tabs>
          <w:tab w:val="left" w:pos="1418"/>
          <w:tab w:val="left" w:pos="5103"/>
        </w:tabs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="00A3268C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Katarína Gocálová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člen správnej rady</w:t>
      </w:r>
    </w:p>
    <w:p w14:paraId="584ED38D" w14:textId="77777777" w:rsidR="006B3045" w:rsidRPr="006B3045" w:rsidRDefault="006B3045" w:rsidP="006B3045">
      <w:pPr>
        <w:tabs>
          <w:tab w:val="left" w:pos="1418"/>
          <w:tab w:val="left" w:pos="5103"/>
        </w:tabs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Veronika Kohútová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člen správnej rady</w:t>
      </w:r>
    </w:p>
    <w:p w14:paraId="63169D31" w14:textId="712843C8" w:rsidR="006B3045" w:rsidRPr="006B3045" w:rsidRDefault="006B3045" w:rsidP="006B3045">
      <w:pPr>
        <w:tabs>
          <w:tab w:val="left" w:pos="1418"/>
          <w:tab w:val="left" w:pos="5103"/>
        </w:tabs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="003F2AD3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Ing. </w:t>
      </w:r>
      <w:r w:rsid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Martin Jurkovič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revízor</w:t>
      </w:r>
    </w:p>
    <w:p w14:paraId="759939E3" w14:textId="5C61F62B" w:rsidR="006B3045" w:rsidRPr="006B3045" w:rsidRDefault="006B3045" w:rsidP="006B3045">
      <w:pPr>
        <w:tabs>
          <w:tab w:val="left" w:pos="1418"/>
          <w:tab w:val="left" w:pos="5103"/>
        </w:tabs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="003F2AD3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Ing. </w:t>
      </w:r>
      <w:r w:rsid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Martin Jurkovič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  <w:t>správca nadácie</w:t>
      </w:r>
    </w:p>
    <w:p w14:paraId="124EB88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(3)  Opis činnosti, na účel ktorej bola účtovná jednotka zriadená a opis druhu podnikateľskej činnosti, ak ju účtovná jednotka vykonáva.</w:t>
      </w:r>
    </w:p>
    <w:p w14:paraId="710A88BB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Nadácia(Účtovná jednotka) bola zriadená na podporu a pomoc starým občanom zo sociálne slabších vrsti</w:t>
      </w: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ev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obyvateľstva, podpora študentov zo sociálne slabších vrstiev obyvateľstva a podpora pri rozvoji športu, vedy, techniky a pomoc pri získavaní skúseností na území SR a v zahraničí. Podpora kultúry a umenia, pomoc deťom a mládeži, pomoc chorým a postihnutým, pomoc ľuďom v krízových životných situáciách, podpora nákupu nového technického vybavenia sociálnych ústavov a zdravotníckych zariadení.</w:t>
      </w:r>
    </w:p>
    <w:p w14:paraId="3C2C5EC7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bežného účtovného obdobia a bezprostredne predchádzajúceho účtovného obdobia. </w:t>
      </w:r>
    </w:p>
    <w:p w14:paraId="0D3CC10D" w14:textId="37123FC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Nadácia nemala 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v roku 202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5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žiadnych zamestnancov a pre nadáciu nevykonávali žiadnu činnosť ani dobrovoľníci.</w:t>
      </w:r>
    </w:p>
    <w:p w14:paraId="6EC6D18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(5) Informácia o organizáciách v zriaďovateľskej pôsobnosti účtovnej jednotky.</w:t>
      </w:r>
    </w:p>
    <w:p w14:paraId="5C60547F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(6) Údaje podľa odseku  4 a čl. III a IV  sa uvádzajú v textovej podobe a tabuľkovej podobe. </w:t>
      </w:r>
    </w:p>
    <w:p w14:paraId="7696781B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058A9A33" w14:textId="77777777" w:rsidR="006B3045" w:rsidRPr="006B3045" w:rsidRDefault="006B3045" w:rsidP="006B3045">
      <w:pPr>
        <w:keepNext/>
        <w:spacing w:after="12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  <w:t>Čl. II</w:t>
      </w:r>
    </w:p>
    <w:p w14:paraId="314A49B4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Informácie o účtovných zásadách a účtovných metódach</w:t>
      </w:r>
    </w:p>
    <w:p w14:paraId="09FA5A8E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(1) Informácia, či je účtovná závierka zostavená za splnenia predpokladu, že účtovná jednotka bude nepretržite pokračovať vo svojej činnosti.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Účtovná závierka bola vyhotovená ako riadna účtovná závierka za predpokladu nepretržitého pokračovania existencie účtovnej jednotky</w:t>
      </w: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.</w:t>
      </w:r>
    </w:p>
    <w:p w14:paraId="6470BD18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541334CF" w14:textId="03C3361E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Účtovná jednotka nemenila účtovné metódy oproti 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roku 202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5</w:t>
      </w:r>
    </w:p>
    <w:p w14:paraId="7FDDC309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(3) Spôsob oceňovania jednotlivých položiek majetku a záväzkov v členení na</w:t>
      </w:r>
    </w:p>
    <w:p w14:paraId="7990284D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dlhodobý nehmotný majetok obstaraný kúpou,</w:t>
      </w:r>
    </w:p>
    <w:p w14:paraId="2A6711E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dlhodobý nehmotný majetok obstaraný vlastnou činnosťou,</w:t>
      </w:r>
    </w:p>
    <w:p w14:paraId="4F259A9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c) dlhodobý nehmotný majetok obstaraný iným spôsobom, </w:t>
      </w:r>
    </w:p>
    <w:p w14:paraId="70A9438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d) dlhodobý hmotný majetok obstaraný kúpou,</w:t>
      </w:r>
    </w:p>
    <w:p w14:paraId="288FE78F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e) dlhodobý hmotný majetok obstaraný vlastnou činnosťou,</w:t>
      </w:r>
    </w:p>
    <w:p w14:paraId="33B3333D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lastRenderedPageBreak/>
        <w:t>f) dlhodobý hmotný majetok obstaraný iným spôsobom,</w:t>
      </w:r>
    </w:p>
    <w:p w14:paraId="7CC18046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g) dlhodobý finančný majetok,</w:t>
      </w:r>
    </w:p>
    <w:p w14:paraId="26630AD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h) zásoby obstarané kúpou,</w:t>
      </w:r>
    </w:p>
    <w:p w14:paraId="40A2EAD6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i) zásoby vytvorené vlastnou činnosťou,</w:t>
      </w:r>
    </w:p>
    <w:p w14:paraId="4517F7B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j) zásoby obstarané iným spôsobom,</w:t>
      </w:r>
    </w:p>
    <w:p w14:paraId="43864D58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k) pohľadávky,</w:t>
      </w:r>
    </w:p>
    <w:p w14:paraId="1251EF1B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l) krátkodobý finančný majetok,</w:t>
      </w:r>
    </w:p>
    <w:p w14:paraId="6C4E92E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m) časové rozlíšenie na strane aktív,</w:t>
      </w:r>
    </w:p>
    <w:p w14:paraId="1D65CB29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n) záväzky vrátane rezerv, dlhopisov, pôžičiek a úverov,</w:t>
      </w:r>
    </w:p>
    <w:p w14:paraId="652F9C77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o) časové rozlíšenie na strane pasív,</w:t>
      </w:r>
    </w:p>
    <w:p w14:paraId="6E92606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p) deriváty,</w:t>
      </w:r>
    </w:p>
    <w:p w14:paraId="0088AA08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r) majetok a záväzky zabezpečené derivátmi.</w:t>
      </w:r>
    </w:p>
    <w:p w14:paraId="15EFB65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Oceňovanie majetku a záväzkov bolo v súlade so zákonom o účtovníctve, a to finančný majetok nominálnou hodnotou.</w:t>
      </w:r>
    </w:p>
    <w:p w14:paraId="28323139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89716F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47599761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(5) Zásady pre zohľadnenie zníženia hodnoty majetku. Uvádza sa, či účtovná jednotka uplatňuje opravné položky a rezervy.</w:t>
      </w:r>
    </w:p>
    <w:p w14:paraId="53112D8E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550D837E" w14:textId="77777777" w:rsidR="006B3045" w:rsidRPr="006B3045" w:rsidRDefault="006B3045" w:rsidP="006B3045">
      <w:pPr>
        <w:keepNext/>
        <w:spacing w:after="12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  <w:t>Čl. III</w:t>
      </w:r>
    </w:p>
    <w:p w14:paraId="027A49A0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Informácie, ktoré dopĺňajú a vysvetľujú údaje v súvahe</w:t>
      </w:r>
    </w:p>
    <w:p w14:paraId="2867323A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Údaje o dlhodobom nehmotnom majetku a dlhodobom hmotnom majetku za bežné účtovné obdobie, a to</w:t>
      </w:r>
    </w:p>
    <w:p w14:paraId="19FEB045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5ABCFF56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1F9C6FE5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c) prehľad o zostatkových cenách dlhodobého majetku na začiatku bežného účtovného obdobia a na konci bežného účtovného obdobia.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4F7D5C03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Prehľad dlhodobého majetku, na ktorý je zriadené záložné právo a dlhodobého majetku, pri ktorom má účtovná jednotka obmedzené právo s ním nakladať.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173FC54B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Údaje o spôsobe a výške poistenia dlhodobého nehmotného majetku a dlhodobého hmotného majetku.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04809ECC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. Bez náplne</w:t>
      </w:r>
    </w:p>
    <w:p w14:paraId="5558B5B3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Informácia o výške tvorby, zníženia a zúčtovania opravných položiek k dlhodobému finančnému majetku a opis dôvodu ich tvorby, zníženia a zúčtovania.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Bez náplne</w:t>
      </w:r>
    </w:p>
    <w:p w14:paraId="473F79B4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692CDAE2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78D610E6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Opis významných pohľadávok v nadväznosti na položky súvahy a v členení na pohľadávky za hlavnú nezdaňovanú  činnosť,  zdaňovanú činnosť a podnikateľskú činnosť.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475350F9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Bez náplne</w:t>
      </w:r>
    </w:p>
    <w:p w14:paraId="62563F64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lastRenderedPageBreak/>
        <w:t xml:space="preserve"> Prehľad  pohľadávok do lehoty splatnosti a po lehote splatnosti.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21CABE7D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Prehľad významných položiek časového rozlíšenia nákladov budúcich období a príjmov budúcich období.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79FA8F1C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Opis a výška zmien vlastných zdrojov krytia neobežného majetku a obežného majetku podľa položiek súvahy za bežné účtovné obdobie, a to </w:t>
      </w:r>
    </w:p>
    <w:p w14:paraId="1C510CE0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6C67AFD6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Výška základného imania  na začiatku bežného účtovného obdobia 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je 6 639 € </w:t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,  na konci bežného účtovného obdobia </w:t>
      </w:r>
    </w:p>
    <w:p w14:paraId="60D18300" w14:textId="77777777" w:rsidR="006B3045" w:rsidRPr="009D3660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je 6 639 €.</w:t>
      </w:r>
    </w:p>
    <w:p w14:paraId="609B8452" w14:textId="77777777" w:rsidR="006B3045" w:rsidRPr="006B3045" w:rsidRDefault="006B3045" w:rsidP="006B3045">
      <w:pPr>
        <w:spacing w:after="120" w:line="240" w:lineRule="auto"/>
        <w:ind w:left="142" w:hanging="142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9301827" w14:textId="2837E656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Informácia o rozdelení účtovného zisku alebo vysporiadaní účtovnej straty vykázanej v minulých účtovných obdobiach. </w:t>
      </w:r>
    </w:p>
    <w:p w14:paraId="551B6C41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Opis a výška cudzích zdrojov, a to</w:t>
      </w:r>
    </w:p>
    <w:p w14:paraId="1814DC85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14:paraId="735CAB29" w14:textId="77777777" w:rsidR="006B3045" w:rsidRPr="006B3045" w:rsidRDefault="006B3045" w:rsidP="006B3045">
      <w:pPr>
        <w:spacing w:before="120" w:after="120" w:line="240" w:lineRule="auto"/>
        <w:ind w:left="240" w:hanging="24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14:paraId="451F43B9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c) prehľad  o výške záväzkov do lehoty splatnosti a po lehote splatnosti,</w:t>
      </w:r>
    </w:p>
    <w:p w14:paraId="5B75E58D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d) prehľad o výške záväzkov podľa zostatkovej doby splatnosti v členení podľa položiek súvahy </w:t>
      </w:r>
    </w:p>
    <w:p w14:paraId="54F427CA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ab/>
        <w:t>1. do jedného roka vrátane,</w:t>
      </w:r>
    </w:p>
    <w:p w14:paraId="35A75ADB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ab/>
        <w:t>2. od jedného roka do piatich rokov vrátane,</w:t>
      </w:r>
    </w:p>
    <w:p w14:paraId="705561AA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ab/>
        <w:t>3. viac ako päť rokov,</w:t>
      </w:r>
    </w:p>
    <w:p w14:paraId="1690BC5C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e) prehľad o záväzkoch zo sociálneho fondu; uvádza sa začiatočný stav, tvorba a čerpanie sociálneho fondu počas účtovného obdobia a zostatok na konci účtovného obdobia,</w:t>
      </w:r>
    </w:p>
    <w:p w14:paraId="4996C3CD" w14:textId="77777777" w:rsidR="006B3045" w:rsidRPr="006B3045" w:rsidRDefault="006B3045" w:rsidP="006B3045">
      <w:pPr>
        <w:spacing w:before="120" w:after="120" w:line="240" w:lineRule="auto"/>
        <w:ind w:left="180" w:hanging="18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7E27A06" w14:textId="77777777" w:rsidR="006B3045" w:rsidRPr="006B3045" w:rsidRDefault="006B3045" w:rsidP="006B3045">
      <w:pPr>
        <w:spacing w:after="24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g) prehľad o významných položkách časového rozlíšenia výdavkov budúcich období.</w:t>
      </w:r>
    </w:p>
    <w:p w14:paraId="066FF6E6" w14:textId="77777777" w:rsidR="006B3045" w:rsidRPr="006B3045" w:rsidRDefault="006B3045" w:rsidP="006B3045">
      <w:pPr>
        <w:spacing w:after="24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105F8A4F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Prehľad o významných položkách výnosov budúcich období v členení najmä na</w:t>
      </w:r>
    </w:p>
    <w:p w14:paraId="3C49A761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zostatkovú hodnotu bezodplatne nadobudnutého dlhodobého majetku,</w:t>
      </w:r>
    </w:p>
    <w:p w14:paraId="70A7144B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zostatkovú hodnotu dlhodobého majetku obstaraného z dotácie,</w:t>
      </w:r>
    </w:p>
    <w:p w14:paraId="54C27C34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c) zostatok nepoužitej dotácie alebo grantu,</w:t>
      </w:r>
    </w:p>
    <w:p w14:paraId="4423B394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d) zostatok nepoužitej časti podielu zaplatenej dane,</w:t>
      </w:r>
    </w:p>
    <w:p w14:paraId="28AD02B1" w14:textId="77777777" w:rsidR="006B3045" w:rsidRPr="006B3045" w:rsidRDefault="006B3045" w:rsidP="006B3045">
      <w:pPr>
        <w:spacing w:before="120" w:after="24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e) zostatkovú hodnotu dlhodobého majetku obstaraného z podielu zaplatenej dane.</w:t>
      </w:r>
    </w:p>
    <w:p w14:paraId="104D168C" w14:textId="77777777" w:rsidR="006B3045" w:rsidRPr="006B3045" w:rsidRDefault="006B3045" w:rsidP="006B3045">
      <w:pPr>
        <w:spacing w:before="120" w:after="24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7866AEF4" w14:textId="77777777" w:rsidR="006B3045" w:rsidRPr="006B3045" w:rsidRDefault="006B3045" w:rsidP="006B3045">
      <w:pPr>
        <w:numPr>
          <w:ilvl w:val="0"/>
          <w:numId w:val="1"/>
        </w:num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Údaje o majetku prenajatom formou finančného prenájmu, a to</w:t>
      </w:r>
    </w:p>
    <w:p w14:paraId="1652CC64" w14:textId="77777777" w:rsidR="006B3045" w:rsidRPr="006B3045" w:rsidRDefault="006B3045" w:rsidP="006B3045">
      <w:pPr>
        <w:spacing w:before="120" w:after="120" w:line="240" w:lineRule="auto"/>
        <w:ind w:left="240" w:hanging="24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celková suma dohodnutých platieb ku dňu, ku ktorému sa zostavuje účtovná závierka, v členení na istinu a finančný náklad,</w:t>
      </w:r>
    </w:p>
    <w:p w14:paraId="0177D4A6" w14:textId="77777777" w:rsidR="006B3045" w:rsidRPr="006B3045" w:rsidRDefault="006B3045" w:rsidP="006B3045">
      <w:pPr>
        <w:spacing w:before="120" w:after="120" w:line="240" w:lineRule="auto"/>
        <w:ind w:left="240" w:hanging="24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b) suma istiny a finančného nákladu podľa doby splatnosti </w:t>
      </w:r>
    </w:p>
    <w:p w14:paraId="6D25A03F" w14:textId="77777777" w:rsidR="006B3045" w:rsidRPr="006B3045" w:rsidRDefault="006B3045" w:rsidP="006B3045">
      <w:pPr>
        <w:spacing w:before="120" w:after="120" w:line="240" w:lineRule="auto"/>
        <w:ind w:left="240" w:hanging="24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ab/>
        <w:t>1. do jedného roka vrátane,</w:t>
      </w:r>
    </w:p>
    <w:p w14:paraId="578176B7" w14:textId="77777777" w:rsidR="006B3045" w:rsidRPr="006B3045" w:rsidRDefault="006B3045" w:rsidP="006B3045">
      <w:pPr>
        <w:spacing w:before="120" w:after="120" w:line="240" w:lineRule="auto"/>
        <w:ind w:left="240" w:hanging="240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ab/>
        <w:t>2. od jedného roka do piatich rokov vrátane,</w:t>
      </w:r>
    </w:p>
    <w:p w14:paraId="1CB42A2B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     3. viac ako päť rokov.</w:t>
      </w:r>
    </w:p>
    <w:p w14:paraId="46C2656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2AB7DEBB" w14:textId="77777777" w:rsidR="006B3045" w:rsidRPr="006B3045" w:rsidRDefault="006B3045" w:rsidP="006B3045">
      <w:pPr>
        <w:keepNext/>
        <w:spacing w:after="12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  <w:lastRenderedPageBreak/>
        <w:t>Čl. IV</w:t>
      </w:r>
    </w:p>
    <w:p w14:paraId="6AE87104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Informácie, ktoré dopĺňajú a vysvetľujú údaje vo výkaze ziskov a strát</w:t>
      </w:r>
    </w:p>
    <w:p w14:paraId="7244926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4BB22FB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0DDCA04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(2) Opis a vyčíslenie hodnoty významných položiek prijatých darov, osobitných výnosov, zákonných poplatkov a iných ostatných výnosov. </w:t>
      </w:r>
    </w:p>
    <w:p w14:paraId="665D8A51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(3) Prehľad  dotácií a grantov, ktoré účtovná jednotka prijala v priebehu bežného účtovného obdobia. </w:t>
      </w:r>
    </w:p>
    <w:p w14:paraId="2D90355F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105C3F3A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3DF2530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146763BF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(5) Opis a vyčíslenie hodnoty významných položiek nákladov, nákladov na ostatné služby, osobitných nákladov a iných ostatných nákladov. </w:t>
      </w:r>
    </w:p>
    <w:p w14:paraId="5D6A5F11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(6) Prehľad o účele a výške použitia podielu zaplatenej dane za bežné účtovné obdobie.</w:t>
      </w:r>
    </w:p>
    <w:p w14:paraId="54CDF05B" w14:textId="0CE17B60" w:rsidR="006B3045" w:rsidRPr="009D3660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Účtovná jednotka v roku 202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5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neposkytla   finančný dar  </w:t>
      </w:r>
    </w:p>
    <w:p w14:paraId="7B8AC37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6E396C80" w14:textId="11409E46" w:rsidR="003F2AD3" w:rsidRPr="009D3660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V roku 202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5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boli náklady –    bankové poplatky vo výške    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144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,-</w:t>
      </w:r>
      <w:r w:rsidR="003F2AD3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€</w:t>
      </w:r>
    </w:p>
    <w:p w14:paraId="5DC09C9F" w14:textId="59ECCFED" w:rsidR="006B3045" w:rsidRPr="009D3660" w:rsidRDefault="006B3045" w:rsidP="003F2AD3">
      <w:pPr>
        <w:spacing w:after="120" w:line="240" w:lineRule="auto"/>
        <w:ind w:left="1416" w:firstLine="708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 xml:space="preserve">   služby                                       </w:t>
      </w:r>
      <w:r w:rsidR="009D3660"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7</w:t>
      </w:r>
      <w:r w:rsidRPr="009D3660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,-€</w:t>
      </w:r>
    </w:p>
    <w:p w14:paraId="414578FF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ab/>
      </w: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(8) V účtovnej jednotke, ktorá má povinnosť overenia účtovnej závierky audítorom, sa uvedie vymedzenie a suma nákladov za účtovné obdobie v členení na náklady za</w:t>
      </w:r>
    </w:p>
    <w:p w14:paraId="213FA46F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a) overenie účtovnej závierky,</w:t>
      </w:r>
    </w:p>
    <w:p w14:paraId="2193E8FA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uisťovania audítorské služby okrem  overenia účtovnej závierky,</w:t>
      </w:r>
    </w:p>
    <w:p w14:paraId="425D9091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c) súvisiace audítorské služby,</w:t>
      </w:r>
    </w:p>
    <w:p w14:paraId="1A7FEB09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d) daňové poradenstvo,</w:t>
      </w:r>
    </w:p>
    <w:p w14:paraId="3868826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e) ostatné neaudítorské služby.</w:t>
      </w:r>
    </w:p>
    <w:p w14:paraId="1C5E6901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6CEF13D1" w14:textId="77777777" w:rsidR="006B3045" w:rsidRPr="006B3045" w:rsidRDefault="006B3045" w:rsidP="006B3045">
      <w:pPr>
        <w:keepNext/>
        <w:spacing w:after="120" w:line="240" w:lineRule="auto"/>
        <w:jc w:val="center"/>
        <w:outlineLvl w:val="0"/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32"/>
          <w:sz w:val="20"/>
          <w:szCs w:val="20"/>
          <w:lang w:eastAsia="cs-CZ"/>
          <w14:ligatures w14:val="none"/>
        </w:rPr>
        <w:t>Čl. V</w:t>
      </w:r>
    </w:p>
    <w:p w14:paraId="2AD82B91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Opis údajov na podsúvahových účtoch</w:t>
      </w:r>
    </w:p>
    <w:p w14:paraId="420C3038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Významné položky prenajatého majetku, majetku prijatého do úschovy,  odpísané pohľadávky a prípadné ďalšie položky.</w:t>
      </w:r>
    </w:p>
    <w:p w14:paraId="68A2A65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42D34053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Čl. VI</w:t>
      </w:r>
    </w:p>
    <w:p w14:paraId="3D579442" w14:textId="77777777" w:rsidR="006B3045" w:rsidRPr="006B3045" w:rsidRDefault="006B3045" w:rsidP="006B3045">
      <w:pPr>
        <w:keepNext/>
        <w:spacing w:after="120" w:line="240" w:lineRule="auto"/>
        <w:jc w:val="center"/>
        <w:outlineLvl w:val="1"/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bCs/>
          <w:kern w:val="0"/>
          <w:sz w:val="20"/>
          <w:szCs w:val="20"/>
          <w:lang w:eastAsia="cs-CZ"/>
          <w14:ligatures w14:val="none"/>
        </w:rPr>
        <w:t>Ďalšie informácie</w:t>
      </w:r>
    </w:p>
    <w:p w14:paraId="63DF753A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EA11654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54E24957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08246A9F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sk-SK"/>
          <w14:ligatures w14:val="none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81B0B55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sk-SK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sk-SK"/>
          <w14:ligatures w14:val="none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08EB736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sk-SK"/>
          <w14:ligatures w14:val="none"/>
        </w:rPr>
        <w:t>Bez náplne</w:t>
      </w:r>
    </w:p>
    <w:p w14:paraId="3E176BDB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3919736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lastRenderedPageBreak/>
        <w:t>a) povinnosť z devízových termínovaných obchodov a iných finančných derivátov,</w:t>
      </w:r>
    </w:p>
    <w:p w14:paraId="2362C69D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b) povinnosť z opčných obchodov,</w:t>
      </w:r>
    </w:p>
    <w:p w14:paraId="1F6A4044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c) zákonná povinnosť alebo zmluvná povinnosť odobrať určité produkty alebo služby, napríklad z dodávateľských alebo odberateľských zmlúv,</w:t>
      </w:r>
    </w:p>
    <w:p w14:paraId="4A303244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d) povinnosť z leasingových, nájomných, servisných, poistných, koncesionárskych, licenčných zmlúv a podobných zmlúv,</w:t>
      </w:r>
    </w:p>
    <w:p w14:paraId="36053212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 xml:space="preserve">e) iné povinnosti. </w:t>
      </w:r>
    </w:p>
    <w:p w14:paraId="005EAE71" w14:textId="77777777" w:rsidR="006B3045" w:rsidRPr="006B3045" w:rsidRDefault="006B3045" w:rsidP="006B3045">
      <w:pPr>
        <w:spacing w:before="120"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4B56C69E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(4) Prehľad nehnuteľných kultúrnych pamiatok, ktoré sú v správe alebo vo vlastníctve účtovnej jednotky.</w:t>
      </w:r>
    </w:p>
    <w:p w14:paraId="5B0E83A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Bez náplne</w:t>
      </w:r>
    </w:p>
    <w:p w14:paraId="56DC6C63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  <w:t>(5) Informácie o významných skutočnostiach, ktoré nastali medzi dňom, ku ktorému sa zostavuje účtovná závierka a dňom jej zostavenia.</w:t>
      </w:r>
    </w:p>
    <w:p w14:paraId="6136F4F2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  <w:r w:rsidRPr="006B3045"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  <w:t>V sledovanom období nenastali žiadne významné skutočnosti</w:t>
      </w:r>
    </w:p>
    <w:p w14:paraId="145FBFB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</w:p>
    <w:p w14:paraId="384B3E47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</w:p>
    <w:p w14:paraId="39A0FF5D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</w:p>
    <w:p w14:paraId="707156E4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kern w:val="0"/>
          <w:sz w:val="20"/>
          <w:szCs w:val="20"/>
          <w:lang w:eastAsia="cs-CZ"/>
          <w14:ligatures w14:val="none"/>
        </w:rPr>
      </w:pPr>
    </w:p>
    <w:p w14:paraId="471F6D4D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</w:p>
    <w:p w14:paraId="1BB10236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</w:p>
    <w:p w14:paraId="70AE7FEC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</w:p>
    <w:p w14:paraId="716E6450" w14:textId="77777777" w:rsidR="006B3045" w:rsidRPr="006B3045" w:rsidRDefault="006B3045" w:rsidP="006B3045">
      <w:pPr>
        <w:spacing w:after="120" w:line="240" w:lineRule="auto"/>
        <w:jc w:val="both"/>
        <w:rPr>
          <w:rFonts w:ascii="Arial Narrow" w:eastAsia="Times New Roman" w:hAnsi="Arial Narrow" w:cs="Arial"/>
          <w:b/>
          <w:kern w:val="0"/>
          <w:sz w:val="20"/>
          <w:szCs w:val="20"/>
          <w:lang w:eastAsia="cs-CZ"/>
          <w14:ligatures w14:val="none"/>
        </w:rPr>
      </w:pPr>
    </w:p>
    <w:p w14:paraId="38F695DB" w14:textId="77777777" w:rsidR="00662FFD" w:rsidRDefault="00662FFD"/>
    <w:sectPr w:rsidR="00662FFD" w:rsidSect="006B3045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98E7F2" w14:textId="77777777" w:rsidR="0094456D" w:rsidRDefault="0094456D">
      <w:pPr>
        <w:spacing w:after="0" w:line="240" w:lineRule="auto"/>
      </w:pPr>
      <w:r>
        <w:separator/>
      </w:r>
    </w:p>
  </w:endnote>
  <w:endnote w:type="continuationSeparator" w:id="0">
    <w:p w14:paraId="4CBAEF6B" w14:textId="77777777" w:rsidR="0094456D" w:rsidRDefault="009445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0B3A56" w14:textId="77777777" w:rsidR="003F2AD3" w:rsidRDefault="003F2AD3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6</w:t>
    </w:r>
    <w:r>
      <w:rPr>
        <w:noProof/>
      </w:rPr>
      <w:fldChar w:fldCharType="end"/>
    </w:r>
  </w:p>
  <w:p w14:paraId="50C9D706" w14:textId="77777777" w:rsidR="003F2AD3" w:rsidRDefault="003F2AD3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E1CB87" w14:textId="77777777" w:rsidR="003F2AD3" w:rsidRDefault="003F2AD3">
    <w:pPr>
      <w:pStyle w:val="Pta"/>
      <w:jc w:val="right"/>
    </w:pPr>
    <w:r>
      <w:t xml:space="preserve">Strana </w:t>
    </w: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>
      <w:rPr>
        <w:noProof/>
      </w:rPr>
      <w:t>1</w:t>
    </w:r>
    <w:r>
      <w:rPr>
        <w:noProof/>
      </w:rPr>
      <w:fldChar w:fldCharType="end"/>
    </w:r>
  </w:p>
  <w:p w14:paraId="5049E1AB" w14:textId="77777777" w:rsidR="003F2AD3" w:rsidRDefault="003F2A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87322E" w14:textId="77777777" w:rsidR="0094456D" w:rsidRDefault="0094456D">
      <w:pPr>
        <w:spacing w:after="0" w:line="240" w:lineRule="auto"/>
      </w:pPr>
      <w:r>
        <w:separator/>
      </w:r>
    </w:p>
  </w:footnote>
  <w:footnote w:type="continuationSeparator" w:id="0">
    <w:p w14:paraId="73363F08" w14:textId="77777777" w:rsidR="0094456D" w:rsidRDefault="009445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D7DC5" w14:textId="77777777" w:rsidR="003F2AD3" w:rsidRDefault="003F2AD3">
    <w:pPr>
      <w:pStyle w:val="Hlavika"/>
      <w:jc w:val="right"/>
    </w:pPr>
  </w:p>
  <w:p w14:paraId="1BCEE482" w14:textId="77777777" w:rsidR="003F2AD3" w:rsidRDefault="003F2AD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464187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3045"/>
    <w:rsid w:val="001970D9"/>
    <w:rsid w:val="001E73C3"/>
    <w:rsid w:val="003F2AD3"/>
    <w:rsid w:val="00662FFD"/>
    <w:rsid w:val="006B3045"/>
    <w:rsid w:val="00741CD3"/>
    <w:rsid w:val="008167FA"/>
    <w:rsid w:val="008B4BD6"/>
    <w:rsid w:val="0094456D"/>
    <w:rsid w:val="009D3660"/>
    <w:rsid w:val="00A3268C"/>
    <w:rsid w:val="00B475BD"/>
    <w:rsid w:val="00CC4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C7D6E"/>
  <w15:chartTrackingRefBased/>
  <w15:docId w15:val="{70D49047-6065-49E4-99FF-4D64D368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6B304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6B304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6B304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6B304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6B304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6B304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6B304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6B304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6B304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6B304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6B304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6B304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6B304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6B304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6B304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6B304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6B304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6B304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6B304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6B304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B304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6B304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6B304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6B304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6B304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6B304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6B304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6B304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6B3045"/>
    <w:rPr>
      <w:b/>
      <w:bCs/>
      <w:smallCaps/>
      <w:color w:val="2F5496" w:themeColor="accent1" w:themeShade="BF"/>
      <w:spacing w:val="5"/>
    </w:rPr>
  </w:style>
  <w:style w:type="paragraph" w:styleId="Pta">
    <w:name w:val="footer"/>
    <w:basedOn w:val="Normlny"/>
    <w:link w:val="PtaChar"/>
    <w:uiPriority w:val="99"/>
    <w:semiHidden/>
    <w:unhideWhenUsed/>
    <w:rsid w:val="006B30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B3045"/>
  </w:style>
  <w:style w:type="paragraph" w:styleId="Hlavika">
    <w:name w:val="header"/>
    <w:basedOn w:val="Normlny"/>
    <w:link w:val="HlavikaChar"/>
    <w:uiPriority w:val="99"/>
    <w:semiHidden/>
    <w:unhideWhenUsed/>
    <w:rsid w:val="006B30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B30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F0BA41-C914-4FFB-881F-BE1AAF5058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2137</Words>
  <Characters>12183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Katarina Pribullova</dc:creator>
  <cp:keywords/>
  <dc:description/>
  <cp:lastModifiedBy>Agata Krajcova</cp:lastModifiedBy>
  <cp:revision>3</cp:revision>
  <cp:lastPrinted>2025-03-20T12:50:00Z</cp:lastPrinted>
  <dcterms:created xsi:type="dcterms:W3CDTF">2026-04-02T12:25:00Z</dcterms:created>
  <dcterms:modified xsi:type="dcterms:W3CDTF">2026-04-02T12:29:00Z</dcterms:modified>
</cp:coreProperties>
</file>