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2FA1" w:rsidRDefault="00D66F8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Všeobecné informácie </w:t>
      </w:r>
    </w:p>
    <w:p w:rsidR="008C2FA1" w:rsidRDefault="008C2FA1">
      <w:pPr>
        <w:pStyle w:val="Odsekzoznamu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9" w:type="dxa"/>
        <w:tblLook w:val="00A0" w:firstRow="1" w:lastRow="0" w:firstColumn="1" w:lastColumn="0" w:noHBand="0" w:noVBand="0"/>
      </w:tblPr>
      <w:tblGrid>
        <w:gridCol w:w="1987"/>
        <w:gridCol w:w="7085"/>
      </w:tblGrid>
      <w:tr w:rsidR="008C2FA1">
        <w:trPr>
          <w:trHeight w:val="1327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E232EB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Krnáč</w:t>
            </w:r>
            <w:proofErr w:type="spellEnd"/>
            <w:r>
              <w:rPr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- MAJK, s. r. o.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Pr="00E232EB" w:rsidRDefault="00E232EB" w:rsidP="00E232EB">
            <w:pPr>
              <w:spacing w:after="0"/>
              <w:rPr>
                <w:rFonts w:cs="Arial Narrow"/>
                <w:szCs w:val="22"/>
              </w:rPr>
            </w:pPr>
            <w:r w:rsidRPr="00E232EB">
              <w:rPr>
                <w:rStyle w:val="ra"/>
                <w:rFonts w:ascii="Arial CE" w:hAnsi="Arial CE"/>
                <w:bCs/>
                <w:color w:val="000000"/>
                <w:sz w:val="20"/>
                <w:szCs w:val="20"/>
                <w:shd w:val="clear" w:color="auto" w:fill="FFFFFF"/>
              </w:rPr>
              <w:t xml:space="preserve">Jarmočná 1418/9, </w:t>
            </w:r>
            <w:r w:rsidR="00D66F85" w:rsidRPr="00E232EB">
              <w:rPr>
                <w:rFonts w:cs="Arial Narrow"/>
                <w:szCs w:val="22"/>
              </w:rPr>
              <w:t>962 05 Hriňová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Spol. s r. o. 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E232EB">
              <w:rPr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29.</w:t>
            </w:r>
            <w:r w:rsidR="004B723E">
              <w:rPr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E232EB">
              <w:rPr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01.</w:t>
            </w:r>
            <w:r w:rsidR="004B723E">
              <w:rPr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="00E232EB">
              <w:rPr>
                <w:rFonts w:ascii="Arial CE" w:hAnsi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2011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Spoločnosť nie je subjektom verejného záujme (§2/14 Z o U )</w:t>
            </w:r>
          </w:p>
        </w:tc>
      </w:tr>
      <w:tr w:rsidR="008C2FA1">
        <w:trPr>
          <w:trHeight w:val="340"/>
        </w:trPr>
        <w:tc>
          <w:tcPr>
            <w:tcW w:w="19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70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C2FA1" w:rsidRDefault="00D66F85" w:rsidP="00E232EB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202</w:t>
            </w:r>
            <w:r w:rsidR="00E232EB">
              <w:rPr>
                <w:rFonts w:cs="Arial Narrow"/>
                <w:szCs w:val="22"/>
              </w:rPr>
              <w:t>5</w:t>
            </w:r>
          </w:p>
        </w:tc>
      </w:tr>
    </w:tbl>
    <w:p w:rsidR="008C2FA1" w:rsidRDefault="00D66F85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Opis vykonávanej  činnosti účtovnej jednotky: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82"/>
        <w:gridCol w:w="3020"/>
      </w:tblGrid>
      <w:tr w:rsidR="008C2FA1">
        <w:tc>
          <w:tcPr>
            <w:tcW w:w="6061" w:type="dxa"/>
            <w:shd w:val="clear" w:color="auto" w:fill="auto"/>
            <w:vAlign w:val="center"/>
          </w:tcPr>
          <w:tbl>
            <w:tblPr>
              <w:tblW w:w="5000" w:type="pct"/>
              <w:tblInd w:w="30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zámočníctvo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 w:rsidP="00E232E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(od: </w:t>
                  </w:r>
                  <w:r w:rsidR="00E232E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1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2.0</w:t>
                  </w:r>
                  <w:r w:rsidR="00E232E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3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kovoobrábanie</w:t>
                  </w:r>
                  <w:proofErr w:type="spellEnd"/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</w:t>
                  </w:r>
                  <w:r w:rsidR="00E232E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od: 12.03.2011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E232EB" w:rsidP="00E232E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nástrojárstvo</w:t>
                  </w:r>
                  <w:r w:rsidR="00D66F85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</w:t>
                  </w:r>
                  <w:r w:rsidR="00E232E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od: 12.03.2011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 w:rsidP="00E232E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(od: </w:t>
                  </w:r>
                  <w:r w:rsidR="00E232E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1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2.0</w:t>
                  </w:r>
                  <w:r w:rsidR="00E232E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3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40"/>
              <w:gridCol w:w="2012"/>
            </w:tblGrid>
            <w:tr w:rsidR="008C2FA1">
              <w:tc>
                <w:tcPr>
                  <w:tcW w:w="4025" w:type="dxa"/>
                  <w:shd w:val="clear" w:color="auto" w:fill="FFFFFF"/>
                  <w:vAlign w:val="center"/>
                </w:tcPr>
                <w:p w:rsidR="008C2FA1" w:rsidRDefault="00E232E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/>
                      <w:b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opracovanie kovu jednoduchým spôsobom</w:t>
                  </w:r>
                </w:p>
              </w:tc>
              <w:tc>
                <w:tcPr>
                  <w:tcW w:w="2005" w:type="dxa"/>
                  <w:shd w:val="clear" w:color="auto" w:fill="FFFFFF"/>
                </w:tcPr>
                <w:p w:rsidR="008C2FA1" w:rsidRDefault="00D66F85" w:rsidP="00E232EB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(od: </w:t>
                  </w:r>
                  <w:r w:rsidR="00E232E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1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2.0</w:t>
                  </w:r>
                  <w:r w:rsidR="00E232EB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3</w:t>
                  </w: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.2011)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52"/>
            </w:tblGrid>
            <w:tr w:rsidR="008C2FA1">
              <w:tc>
                <w:tcPr>
                  <w:tcW w:w="6031" w:type="dxa"/>
                  <w:shd w:val="clear" w:color="auto" w:fill="FFFFFF"/>
                  <w:vAlign w:val="center"/>
                </w:tcPr>
                <w:p w:rsidR="008C2FA1" w:rsidRDefault="00D66F85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8C2FA1" w:rsidRDefault="008C2FA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3010" w:type="dxa"/>
            <w:shd w:val="clear" w:color="auto" w:fill="auto"/>
          </w:tcPr>
          <w:p w:rsidR="008C2FA1" w:rsidRDefault="00D66F8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8C2FA1" w:rsidRDefault="008C2FA1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8C2FA1" w:rsidRDefault="00D66F85">
      <w:pPr>
        <w:jc w:val="both"/>
      </w:pPr>
      <w:r>
        <w:t>Spoločnosť spĺňa veľkostné podmienky na zatriedenie do veľkostnej skupiny – malá účtovná jednotka, preto zostavuje účtovnú závierku podľa metodiky pre túto veľkostnú skupinu.</w:t>
      </w:r>
    </w:p>
    <w:p w:rsidR="00D956AE" w:rsidRPr="00D956AE" w:rsidRDefault="00D956AE">
      <w:pPr>
        <w:jc w:val="both"/>
        <w:rPr>
          <w:u w:val="single"/>
        </w:rPr>
      </w:pPr>
      <w:r w:rsidRPr="00D956AE">
        <w:rPr>
          <w:u w:val="single"/>
        </w:rPr>
        <w:t>Schválenie účtovnej závierky za predchádzajúce účtovné obdobie</w:t>
      </w:r>
    </w:p>
    <w:p w:rsidR="00D956AE" w:rsidRDefault="00882020">
      <w:pPr>
        <w:jc w:val="both"/>
      </w:pPr>
      <w:r>
        <w:t xml:space="preserve">Schválenie účtovnej závierky za predchádzajúce účtovné obdobie spoločnosť </w:t>
      </w:r>
      <w:proofErr w:type="spellStart"/>
      <w:r w:rsidRPr="00D956AE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>Krnáč</w:t>
      </w:r>
      <w:proofErr w:type="spellEnd"/>
      <w:r w:rsidRPr="00D956AE">
        <w:rPr>
          <w:rFonts w:ascii="Arial CE" w:hAnsi="Arial CE"/>
          <w:bCs/>
          <w:color w:val="000000"/>
          <w:sz w:val="20"/>
          <w:szCs w:val="20"/>
          <w:shd w:val="clear" w:color="auto" w:fill="FFFFFF"/>
        </w:rPr>
        <w:t xml:space="preserve"> - MAJK, s. r. o.</w:t>
      </w:r>
      <w:r w:rsidR="00D956AE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>
        <w:t>schválilo riadnu ú</w:t>
      </w:r>
      <w:r w:rsidR="00D956AE">
        <w:t>č</w:t>
      </w:r>
      <w:r>
        <w:t>tovnú závierku za predchádzajúce ú</w:t>
      </w:r>
      <w:r w:rsidR="00D956AE">
        <w:t>č</w:t>
      </w:r>
      <w:r>
        <w:t xml:space="preserve">tovné obdobie rok 2024 rozhodnutím </w:t>
      </w:r>
      <w:r w:rsidR="00D956AE">
        <w:t>valným zhromaždením spoločnosti</w:t>
      </w:r>
      <w:r>
        <w:t xml:space="preserve"> d</w:t>
      </w:r>
      <w:r w:rsidR="00D956AE">
        <w:t>ňa</w:t>
      </w:r>
      <w:r>
        <w:t xml:space="preserve"> </w:t>
      </w:r>
      <w:r w:rsidR="004B723E">
        <w:t>12</w:t>
      </w:r>
      <w:r>
        <w:t xml:space="preserve">. </w:t>
      </w:r>
      <w:r w:rsidR="004B723E">
        <w:t>3</w:t>
      </w:r>
      <w:r>
        <w:t>. 2025 a oznámenie o schválení bolo cez všeobecné podania odoslané správcovi dane d</w:t>
      </w:r>
      <w:r w:rsidR="00D956AE">
        <w:t>ň</w:t>
      </w:r>
      <w:r>
        <w:t xml:space="preserve">a </w:t>
      </w:r>
      <w:r w:rsidR="004B723E">
        <w:t>27</w:t>
      </w:r>
      <w:r>
        <w:t xml:space="preserve">. </w:t>
      </w:r>
      <w:r w:rsidR="004B723E">
        <w:t>3</w:t>
      </w:r>
      <w:r>
        <w:t>. 2025.</w:t>
      </w:r>
    </w:p>
    <w:p w:rsidR="00D956AE" w:rsidRDefault="00882020">
      <w:pPr>
        <w:jc w:val="both"/>
      </w:pPr>
      <w:r>
        <w:t xml:space="preserve"> </w:t>
      </w:r>
      <w:r w:rsidRPr="00D956AE">
        <w:rPr>
          <w:u w:val="single"/>
        </w:rPr>
        <w:t>Právny dôvod na zostavenie ú</w:t>
      </w:r>
      <w:r w:rsidR="00D956AE" w:rsidRPr="00D956AE">
        <w:rPr>
          <w:u w:val="single"/>
        </w:rPr>
        <w:t>č</w:t>
      </w:r>
      <w:r w:rsidRPr="00D956AE">
        <w:rPr>
          <w:u w:val="single"/>
        </w:rPr>
        <w:t>tovnej závierky</w:t>
      </w:r>
    </w:p>
    <w:p w:rsidR="00882020" w:rsidRDefault="00D956AE">
      <w:pPr>
        <w:jc w:val="both"/>
      </w:pPr>
      <w:r>
        <w:t>Účtovná</w:t>
      </w:r>
      <w:r w:rsidR="00882020">
        <w:t xml:space="preserve"> závierka družstva k 31. 12. 2025 je zostavená ako riadna ú</w:t>
      </w:r>
      <w:r>
        <w:t>č</w:t>
      </w:r>
      <w:r w:rsidR="00882020">
        <w:t>tovná závierka pod</w:t>
      </w:r>
      <w:r>
        <w:t>ľ</w:t>
      </w:r>
      <w:r w:rsidR="00882020">
        <w:t>a § 17 ods. 6 zákona NR SR þ. 431/2002 Z. z. o ú</w:t>
      </w:r>
      <w:r>
        <w:t>č</w:t>
      </w:r>
      <w:r w:rsidR="00882020">
        <w:t>tovníctve za bežné ú</w:t>
      </w:r>
      <w:r>
        <w:t>č</w:t>
      </w:r>
      <w:r w:rsidR="00882020">
        <w:t>tovné obdobie od 1. 1. 2025 do 31. 12. 2025. Ú</w:t>
      </w:r>
      <w:r>
        <w:t>č</w:t>
      </w:r>
      <w:r w:rsidR="00882020">
        <w:t>tovná závierka sa zostavila za predpokladu nepretržitosti pokra</w:t>
      </w:r>
      <w:r>
        <w:t>č</w:t>
      </w:r>
      <w:r w:rsidR="00882020">
        <w:t xml:space="preserve">ovania v </w:t>
      </w:r>
      <w:r>
        <w:t>č</w:t>
      </w:r>
      <w:r w:rsidR="00882020">
        <w:t>innosti družstva v blízkej budúcnosti, t. j. minimálne 12 mesiacov od dátumu, ku ktorému sa zostavuje ú</w:t>
      </w:r>
      <w:r>
        <w:t>č</w:t>
      </w:r>
      <w:r w:rsidR="00882020">
        <w:t>tovná závierka.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882020" w:rsidRPr="00882020" w:rsidTr="00882020">
        <w:trPr>
          <w:tblCellSpacing w:w="22" w:type="dxa"/>
          <w:jc w:val="center"/>
        </w:trPr>
        <w:tc>
          <w:tcPr>
            <w:tcW w:w="4952" w:type="pct"/>
            <w:shd w:val="clear" w:color="auto" w:fill="FFFFFF"/>
            <w:vAlign w:val="center"/>
            <w:hideMark/>
          </w:tcPr>
          <w:p w:rsidR="00882020" w:rsidRPr="00882020" w:rsidRDefault="00882020" w:rsidP="0088202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82020" w:rsidRDefault="00882020">
      <w:pPr>
        <w:jc w:val="both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574"/>
        <w:gridCol w:w="3483"/>
        <w:gridCol w:w="3307"/>
        <w:gridCol w:w="1371"/>
        <w:gridCol w:w="337"/>
      </w:tblGrid>
      <w:tr w:rsidR="008C2FA1">
        <w:trPr>
          <w:trHeight w:hRule="exact" w:val="340"/>
        </w:trPr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8C2FA1" w:rsidRDefault="008C2FA1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>
              <w:rPr>
                <w:b/>
                <w:szCs w:val="22"/>
              </w:rPr>
              <w:t>Dátum zostavenia účtovnej závierky za bezprostredne predchádzajúce ÚO</w:t>
            </w:r>
          </w:p>
          <w:p w:rsidR="008C2FA1" w:rsidRDefault="008C2FA1">
            <w:pPr>
              <w:rPr>
                <w:sz w:val="20"/>
                <w:szCs w:val="22"/>
              </w:rPr>
            </w:pP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940DD7" w:rsidP="00E232EB">
            <w:pPr>
              <w:spacing w:after="0" w:line="240" w:lineRule="auto"/>
            </w:pPr>
            <w:r>
              <w:rPr>
                <w:sz w:val="20"/>
                <w:szCs w:val="22"/>
              </w:rPr>
              <w:t>2</w:t>
            </w:r>
            <w:r w:rsidR="00E232EB">
              <w:rPr>
                <w:sz w:val="20"/>
                <w:szCs w:val="22"/>
              </w:rPr>
              <w:t>9</w:t>
            </w:r>
            <w:r>
              <w:rPr>
                <w:sz w:val="20"/>
                <w:szCs w:val="22"/>
              </w:rPr>
              <w:t>.0</w:t>
            </w:r>
            <w:r w:rsidR="00E232EB">
              <w:rPr>
                <w:sz w:val="20"/>
                <w:szCs w:val="22"/>
              </w:rPr>
              <w:t>3</w:t>
            </w:r>
            <w:r>
              <w:rPr>
                <w:sz w:val="20"/>
                <w:szCs w:val="22"/>
              </w:rPr>
              <w:t>.202</w:t>
            </w:r>
            <w:r w:rsidR="00E232EB">
              <w:rPr>
                <w:sz w:val="20"/>
                <w:szCs w:val="22"/>
              </w:rPr>
              <w:t>6</w:t>
            </w:r>
          </w:p>
        </w:tc>
      </w:tr>
      <w:tr w:rsidR="008C2FA1">
        <w:trPr>
          <w:trHeight w:hRule="exact" w:val="340"/>
        </w:trPr>
        <w:tc>
          <w:tcPr>
            <w:tcW w:w="4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hRule="exact" w:val="340"/>
        </w:trPr>
        <w:tc>
          <w:tcPr>
            <w:tcW w:w="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Priebežná</w:t>
            </w:r>
          </w:p>
        </w:tc>
        <w:tc>
          <w:tcPr>
            <w:tcW w:w="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2FA1">
        <w:trPr>
          <w:trHeight w:hRule="exact" w:val="340"/>
        </w:trPr>
        <w:tc>
          <w:tcPr>
            <w:tcW w:w="4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51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</w:tr>
    </w:tbl>
    <w:p w:rsidR="008C2FA1" w:rsidRDefault="008C2FA1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9071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3686"/>
        <w:gridCol w:w="335"/>
        <w:gridCol w:w="4341"/>
        <w:gridCol w:w="284"/>
      </w:tblGrid>
      <w:tr w:rsidR="008C2FA1">
        <w:trPr>
          <w:trHeight w:val="225"/>
        </w:trPr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keepNext/>
              <w:numPr>
                <w:ilvl w:val="0"/>
                <w:numId w:val="2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>
              <w:rPr>
                <w:b/>
                <w:szCs w:val="22"/>
              </w:rPr>
              <w:t>Údaje o skupine účtovných jednotiek:</w:t>
            </w:r>
          </w:p>
        </w:tc>
      </w:tr>
      <w:tr w:rsidR="008C2FA1"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 nie je súčasťou konsolidovaného celku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ÚJ   je súčasťou konsolidovaného celku 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41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 nie je materskou účtovnou jednotkou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tabs>
          <w:tab w:val="left" w:pos="851"/>
        </w:tabs>
        <w:spacing w:after="0" w:line="240" w:lineRule="auto"/>
        <w:ind w:left="2510"/>
        <w:jc w:val="both"/>
        <w:rPr>
          <w:i/>
          <w:sz w:val="20"/>
          <w:szCs w:val="22"/>
        </w:rPr>
      </w:pPr>
    </w:p>
    <w:p w:rsidR="008C2FA1" w:rsidRDefault="008C2FA1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9"/>
        <w:gridCol w:w="7031"/>
        <w:gridCol w:w="1484"/>
      </w:tblGrid>
      <w:tr w:rsidR="008C2FA1">
        <w:trPr>
          <w:trHeight w:val="340"/>
          <w:jc w:val="center"/>
        </w:trPr>
        <w:tc>
          <w:tcPr>
            <w:tcW w:w="32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b/>
                <w:szCs w:val="22"/>
              </w:rPr>
              <w:t>Priemerný prepočítaný počet zamestnancov</w:t>
            </w:r>
            <w:r>
              <w:rPr>
                <w:szCs w:val="22"/>
              </w:rPr>
              <w:t xml:space="preserve">  bežné účtovné obdobie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E232EB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8C2FA1">
        <w:trPr>
          <w:trHeight w:val="340"/>
          <w:jc w:val="center"/>
        </w:trPr>
        <w:tc>
          <w:tcPr>
            <w:tcW w:w="32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b/>
                <w:szCs w:val="22"/>
              </w:rPr>
              <w:t>Priemerný prepočítaný počet zamestnancov</w:t>
            </w:r>
            <w:r>
              <w:rPr>
                <w:szCs w:val="22"/>
              </w:rPr>
              <w:t xml:space="preserve">  bezprostredne predchádzajúce ÚO</w:t>
            </w:r>
          </w:p>
        </w:tc>
        <w:tc>
          <w:tcPr>
            <w:tcW w:w="14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E232EB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8C2FA1" w:rsidRDefault="008C2FA1">
      <w:pPr>
        <w:spacing w:after="0"/>
        <w:ind w:left="705" w:hanging="705"/>
        <w:jc w:val="both"/>
        <w:rPr>
          <w:i/>
          <w:szCs w:val="22"/>
        </w:rPr>
      </w:pPr>
    </w:p>
    <w:p w:rsidR="00B6651E" w:rsidRDefault="00B6651E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 xml:space="preserve"> Informácie o orgánoch spoločnosti</w:t>
      </w:r>
    </w:p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6651E" w:rsidRDefault="00B6651E" w:rsidP="00B6651E">
      <w:pPr>
        <w:jc w:val="both"/>
      </w:pPr>
      <w:r>
        <w:t>Štatutárny orgán (konateľ): Konateľ spoločnosti: 1 konateľ. Celkový počet spoločníkov: 4 spoločníci.                    V roku 2025 nebola žiadnemu spoločníkovi ani konateľovi spoločnosti poskytnutá pôžička ani iný druh záruk.</w:t>
      </w: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4248"/>
        <w:gridCol w:w="1981"/>
        <w:gridCol w:w="1848"/>
        <w:gridCol w:w="995"/>
      </w:tblGrid>
      <w:tr w:rsidR="008C2FA1" w:rsidTr="00B6651E">
        <w:trPr>
          <w:trHeight w:val="57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a)</w:t>
            </w:r>
            <w:r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8C2FA1" w:rsidTr="00B6651E">
        <w:trPr>
          <w:trHeight w:val="57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8C2FA1" w:rsidTr="00B6651E">
        <w:trPr>
          <w:trHeight w:val="34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 w:rsidTr="00B6651E">
        <w:trPr>
          <w:trHeight w:val="340"/>
        </w:trPr>
        <w:tc>
          <w:tcPr>
            <w:tcW w:w="4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4241"/>
        <w:gridCol w:w="6"/>
        <w:gridCol w:w="1705"/>
        <w:gridCol w:w="990"/>
        <w:gridCol w:w="1276"/>
        <w:gridCol w:w="854"/>
      </w:tblGrid>
      <w:tr w:rsidR="008C2FA1">
        <w:trPr>
          <w:trHeight w:val="340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b)</w:t>
            </w: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8C2FA1">
        <w:trPr>
          <w:trHeight w:val="340"/>
        </w:trPr>
        <w:tc>
          <w:tcPr>
            <w:tcW w:w="4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8C2FA1">
        <w:trPr>
          <w:trHeight w:val="340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8C2FA1">
        <w:trPr>
          <w:trHeight w:val="340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 w:rsidR="008C2FA1">
        <w:trPr>
          <w:trHeight w:val="340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90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8C2FA1">
        <w:trPr>
          <w:trHeight w:val="422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2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4248"/>
        <w:gridCol w:w="1981"/>
        <w:gridCol w:w="1700"/>
        <w:gridCol w:w="1143"/>
      </w:tblGrid>
      <w:tr w:rsidR="008C2FA1">
        <w:trPr>
          <w:trHeight w:val="340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</w:tr>
    </w:tbl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 xml:space="preserve"> Informácie o prijatých postupoch</w:t>
      </w:r>
    </w:p>
    <w:p w:rsidR="004F0057" w:rsidRDefault="004F0057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8C2FA1" w:rsidRDefault="004F0057">
      <w:pPr>
        <w:spacing w:after="0" w:line="240" w:lineRule="auto"/>
        <w:ind w:left="360" w:right="-468"/>
        <w:jc w:val="both"/>
      </w:pPr>
      <w:r>
        <w:t xml:space="preserve">Splnenie predpokladu nepretržitého pokračovania v činnosti Spoločnosť zostavila účtovnú závierku za predpokladu jej nepretržitého pokračovania vo svojej činnosti v blízkej budúcnosti, t. j. minimálne 12 mesiacov od dátumu, ku ktorému sa zostavuje účtovná závierka. Obdobie rozsiahlej energetickej, hospodárskej a ekonomickej krízy a neustále sa stupňujúce napätie v medzinárodných vzťahoch vplyvom vojnových konfliktov sú významným rizikom v súčasnosti z hľadiska stability svetového trhu a následne nekontrolovateľný a nepredvídateľný výkyv cien surovín a energií na svetovej burze má dopady na hospodársku situáciu spoločnosti. Nestabilita na svetovom trhu </w:t>
      </w:r>
      <w:r>
        <w:lastRenderedPageBreak/>
        <w:t>ovplyvňuje vývoj objednávok od obchodných partnerov, ktoré rovnako reagujú na zmeny a ich dopyt neustále klesá. Nevieme predpovedať ako bude ovplyvnený rok 2026, ale vedenie spoločnosti monitoruje potenciálne ohrozenia a prijíma všetky opatrenia, aby dopad bol čo najmenší na spoločnosť ako aj zamestnancov. Na základe posúdenia vplyvu možného dopadu v súvislosti so situáciou ohľadom vojnových nepokojov vo svete a s tým súvisiacimi zavádzanými opatreniami v rámci Európskej únie s dopadom na energie, ceny a finančné trhy, spoločnosť k dnešnému dňu prehodnotila všetky možné riziká a neistoty, tiež svoje podnikateľské aktivity, výsledky hospodárenia, dostupné informácie a výsledkom je, že naša spoločnosť bude aj naďalej nepretržite pokračovať v činnosti</w:t>
      </w:r>
    </w:p>
    <w:p w:rsidR="004F0057" w:rsidRDefault="004F0057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574"/>
        <w:gridCol w:w="6471"/>
        <w:gridCol w:w="820"/>
        <w:gridCol w:w="337"/>
        <w:gridCol w:w="577"/>
        <w:gridCol w:w="293"/>
      </w:tblGrid>
      <w:tr w:rsidR="008C2FA1" w:rsidTr="004F0057">
        <w:trPr>
          <w:trHeight w:hRule="exact" w:val="522"/>
        </w:trPr>
        <w:tc>
          <w:tcPr>
            <w:tcW w:w="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4F0057" w:rsidRDefault="004F0057">
      <w:pPr>
        <w:pStyle w:val="Odsekzoznamu"/>
        <w:spacing w:after="0" w:line="240" w:lineRule="auto"/>
        <w:ind w:left="357"/>
        <w:jc w:val="both"/>
      </w:pPr>
    </w:p>
    <w:p w:rsidR="008C2FA1" w:rsidRDefault="004F0057">
      <w:pPr>
        <w:pStyle w:val="Odsekzoznamu"/>
        <w:spacing w:after="0" w:line="240" w:lineRule="auto"/>
        <w:ind w:left="357"/>
        <w:jc w:val="both"/>
        <w:rPr>
          <w:szCs w:val="22"/>
        </w:rPr>
      </w:pPr>
      <w:r>
        <w:t>Počas účtovného obdobia neboli vykonané žiadne zmeny v účtovných zásadách a účtovných metódach. Riadia sa platnou legislatívou a boli účtovnou jednotkou konzistentne aplikované.</w:t>
      </w: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576"/>
        <w:gridCol w:w="2100"/>
        <w:gridCol w:w="1833"/>
        <w:gridCol w:w="1551"/>
        <w:gridCol w:w="990"/>
        <w:gridCol w:w="230"/>
        <w:gridCol w:w="589"/>
        <w:gridCol w:w="290"/>
        <w:gridCol w:w="576"/>
        <w:gridCol w:w="337"/>
      </w:tblGrid>
      <w:tr w:rsidR="008C2FA1">
        <w:trPr>
          <w:trHeight w:hRule="exact" w:val="340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88"/>
        </w:trPr>
        <w:tc>
          <w:tcPr>
            <w:tcW w:w="269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8C2FA1">
        <w:trPr>
          <w:trHeight w:val="301"/>
        </w:trPr>
        <w:tc>
          <w:tcPr>
            <w:tcW w:w="2692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8C2FA1">
        <w:trPr>
          <w:trHeight w:val="340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75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</w:tr>
    </w:tbl>
    <w:p w:rsidR="008C2FA1" w:rsidRDefault="008C2FA1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8C2FA1" w:rsidRDefault="00D66F85">
      <w:pPr>
        <w:numPr>
          <w:ilvl w:val="0"/>
          <w:numId w:val="4"/>
        </w:numPr>
        <w:spacing w:after="0" w:line="240" w:lineRule="auto"/>
        <w:rPr>
          <w:i/>
          <w:sz w:val="20"/>
          <w:szCs w:val="22"/>
        </w:rPr>
      </w:pPr>
      <w:r>
        <w:rPr>
          <w:b/>
          <w:szCs w:val="22"/>
        </w:rPr>
        <w:t>Informácia o charaktere a účele transakcií, ktoré sa neuvádzajú v súvahe</w:t>
      </w:r>
      <w:r>
        <w:rPr>
          <w:szCs w:val="22"/>
        </w:rPr>
        <w:t>,</w:t>
      </w:r>
    </w:p>
    <w:p w:rsidR="008C2FA1" w:rsidRDefault="00D66F85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576"/>
        <w:gridCol w:w="8496"/>
      </w:tblGrid>
      <w:tr w:rsidR="008C2FA1" w:rsidTr="00B6651E">
        <w:trPr>
          <w:trHeight w:hRule="exact" w:val="340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numPr>
                <w:ilvl w:val="0"/>
                <w:numId w:val="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8C2FA1" w:rsidRDefault="008C2FA1">
      <w:pPr>
        <w:pStyle w:val="Odsekzoznamu"/>
        <w:numPr>
          <w:ilvl w:val="0"/>
          <w:numId w:val="5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35"/>
        <w:gridCol w:w="337"/>
      </w:tblGrid>
      <w:tr w:rsidR="008C2FA1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Obstarávacou cenou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dlhodobý hmotný majetok externe kúpený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obstarané kúpou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 dlhodobý  finančný majetok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89"/>
        <w:gridCol w:w="283"/>
      </w:tblGrid>
      <w:tr w:rsidR="008C2FA1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Vlastnými nákladmi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35"/>
        <w:gridCol w:w="337"/>
      </w:tblGrid>
      <w:tr w:rsidR="008C2FA1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Menovitou hodnotou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vlastné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 vrátane rezerv a pôžičiek, úverov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súvahy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4E5257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4E5257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8C2FA1" w:rsidRDefault="008C2FA1">
      <w:pPr>
        <w:spacing w:after="0"/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89"/>
        <w:gridCol w:w="283"/>
      </w:tblGrid>
      <w:tr w:rsidR="008C2FA1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Reálnou hodnotou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dlhodobý nehmotný a hmotný majetok obstaraný inak /darom/i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 zásoby nadobudnuté inak /darom/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8C2FA1">
      <w:pPr>
        <w:spacing w:after="0"/>
        <w:jc w:val="both"/>
        <w:rPr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35"/>
        <w:gridCol w:w="337"/>
      </w:tblGrid>
      <w:tr w:rsidR="008C2FA1">
        <w:trPr>
          <w:trHeight w:val="227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Úbytok zásob rovnakého druhu sa účtuje v ocenení</w:t>
            </w:r>
          </w:p>
        </w:tc>
      </w:tr>
      <w:tr w:rsidR="008C2FA1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8C2FA1" w:rsidRDefault="008C2FA1">
      <w:pPr>
        <w:spacing w:after="0"/>
        <w:jc w:val="both"/>
        <w:rPr>
          <w:szCs w:val="22"/>
        </w:rPr>
      </w:pPr>
    </w:p>
    <w:tbl>
      <w:tblPr>
        <w:tblW w:w="9072" w:type="dxa"/>
        <w:tblInd w:w="109" w:type="dxa"/>
        <w:tblLook w:val="04A0" w:firstRow="1" w:lastRow="0" w:firstColumn="1" w:lastColumn="0" w:noHBand="0" w:noVBand="1"/>
      </w:tblPr>
      <w:tblGrid>
        <w:gridCol w:w="8735"/>
        <w:gridCol w:w="337"/>
      </w:tblGrid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>Rezervy sú záväzky s neurčitým časovým vymedzením alebo výškou; tvoria sa na krytie známych</w:t>
            </w:r>
          </w:p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8C2FA1" w:rsidRDefault="00D66F85">
            <w:pPr>
              <w:widowControl w:val="0"/>
              <w:spacing w:after="0" w:line="240" w:lineRule="auto"/>
              <w:ind w:right="-468"/>
              <w:rPr>
                <w:szCs w:val="22"/>
              </w:rPr>
            </w:pPr>
            <w:r>
              <w:rPr>
                <w:szCs w:val="22"/>
              </w:rPr>
              <w:t>podľa zákona o daniach z príjmov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4E5257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  <w:bookmarkStart w:id="0" w:name="_GoBack"/>
            <w:bookmarkEnd w:id="0"/>
          </w:p>
        </w:tc>
      </w:tr>
      <w:tr w:rsidR="008C2FA1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8C2FA1" w:rsidRDefault="00D66F85">
      <w:pPr>
        <w:spacing w:after="120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tbl>
      <w:tblPr>
        <w:tblW w:w="9089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4"/>
        <w:gridCol w:w="566"/>
        <w:gridCol w:w="5246"/>
        <w:gridCol w:w="303"/>
      </w:tblGrid>
      <w:tr w:rsidR="008C2FA1">
        <w:trPr>
          <w:trHeight w:val="340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>
              <w:rPr>
                <w:b/>
                <w:szCs w:val="22"/>
              </w:rPr>
              <w:t>Určenie odhadu zníženia hodnoty majetku a tvorba opravnej položky k  majetku</w:t>
            </w:r>
          </w:p>
        </w:tc>
      </w:tr>
      <w:tr w:rsidR="008C2FA1">
        <w:trPr>
          <w:trHeight w:val="35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2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2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29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29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908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8C2FA1" w:rsidRDefault="00D66F85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Určenie ocenenia záväzkov, stanovenie odhadu ocenenia rezerv</w:t>
            </w:r>
          </w:p>
        </w:tc>
      </w:tr>
      <w:tr w:rsidR="008C2FA1">
        <w:trPr>
          <w:trHeight w:val="340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 w:rsidP="00882020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882020">
              <w:rPr>
                <w:szCs w:val="22"/>
              </w:rPr>
              <w:t>6</w:t>
            </w:r>
            <w:r>
              <w:rPr>
                <w:szCs w:val="22"/>
              </w:rPr>
              <w:t>,2% z nevyčerpaných dovoleniek</w:t>
            </w: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354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lastRenderedPageBreak/>
        <w:t>d) Určenie ocenenia finančných nástrojov alebo majetku, ktorý nie je finančným nástrojom pri oceňovaní reálnou hodnotou: spoločnosť nepoužila ocenenie finančných nástrojov alebo majetku reálnou hodnotou – lebo nemalo k tomu vecnú náplň.</w:t>
      </w:r>
    </w:p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e) Určenie ocenenia finančných nástrojov pri oceňovaní obstarávacou cenou alebo vlastnými nákladmi: spoločnosť nepoužila takéto ocenenie finančných nástrojov, lebo nemala k tomu vecnú náplň.</w:t>
      </w:r>
    </w:p>
    <w:p w:rsidR="008C2FA1" w:rsidRDefault="00D66F85">
      <w:pPr>
        <w:spacing w:after="120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f) Účtovná jednotka nepoužila dobrovoľné oceňovanie obchodných podielov metódou vlastného imania (§ 27/9 Z o U).</w:t>
      </w:r>
    </w:p>
    <w:tbl>
      <w:tblPr>
        <w:tblW w:w="9180" w:type="dxa"/>
        <w:tblInd w:w="-3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2"/>
        <w:gridCol w:w="979"/>
        <w:gridCol w:w="1177"/>
        <w:gridCol w:w="1177"/>
        <w:gridCol w:w="780"/>
        <w:gridCol w:w="228"/>
        <w:gridCol w:w="1419"/>
        <w:gridCol w:w="338"/>
      </w:tblGrid>
      <w:tr w:rsidR="008C2FA1">
        <w:trPr>
          <w:trHeight w:val="538"/>
        </w:trPr>
        <w:tc>
          <w:tcPr>
            <w:tcW w:w="917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>
              <w:rPr>
                <w:b/>
                <w:bCs/>
                <w:kern w:val="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8C2FA1">
        <w:trPr>
          <w:trHeight w:val="963"/>
        </w:trPr>
        <w:tc>
          <w:tcPr>
            <w:tcW w:w="884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1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>
              <w:rPr>
                <w:rFonts w:cs="Arial"/>
                <w:szCs w:val="22"/>
              </w:rPr>
              <w:t xml:space="preserve"> 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      </w:r>
          </w:p>
          <w:p w:rsidR="008C2FA1" w:rsidRDefault="008C2FA1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Dlhodobý nehmotný majetok = doba použiteľnosti viac ako rok a vstupná cena je  viac ako :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rPr>
          <w:trHeight w:val="340"/>
        </w:trPr>
        <w:tc>
          <w:tcPr>
            <w:tcW w:w="7196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8C2FA1"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8C2FA1">
        <w:trPr>
          <w:trHeight w:val="340"/>
        </w:trPr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8C2FA1">
        <w:trPr>
          <w:trHeight w:val="340"/>
        </w:trPr>
        <w:tc>
          <w:tcPr>
            <w:tcW w:w="3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  <w:tc>
          <w:tcPr>
            <w:tcW w:w="1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120"/>
              <w:rPr>
                <w:szCs w:val="22"/>
              </w:rPr>
            </w:pPr>
          </w:p>
        </w:tc>
      </w:tr>
    </w:tbl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rFonts w:cs="Arial Narrow"/>
          <w:szCs w:val="22"/>
        </w:rPr>
        <w:t>UJ nepoužila jednorazový odpis</w:t>
      </w:r>
      <w:r>
        <w:rPr>
          <w:rFonts w:cs="Arial Narrow"/>
          <w:b/>
          <w:szCs w:val="22"/>
        </w:rPr>
        <w:t xml:space="preserve"> </w:t>
      </w:r>
      <w:r>
        <w:rPr>
          <w:rFonts w:cs="Arial Narrow"/>
          <w:szCs w:val="22"/>
        </w:rPr>
        <w:t>dlhodobého majetku z dôvodu jednorazového trvalého zníženia hodnoty majetku (§ 21/5 PU).</w:t>
      </w:r>
    </w:p>
    <w:p w:rsidR="008C2FA1" w:rsidRDefault="00D66F85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Spoločnosť nepoužíva kategóriu drobného dlhodobého nehmotného majetku - položky pod 2 400 eur jednotkovej ceny so životnosťou nad jeden rok (§ 13/2 PU) a ani kategóriu drobného dlhodobého hmotného majetku - položky pod 1 700 eur jednotkovej ceny so životnosťou nad jeden rok (§ 13/6 PU).</w:t>
      </w:r>
    </w:p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Spoločnosť</w:t>
      </w:r>
      <w:r>
        <w:rPr>
          <w:rFonts w:cs="Arial Narrow"/>
          <w:szCs w:val="22"/>
        </w:rPr>
        <w:t xml:space="preserve"> nepoužíva dobrovoľné účtovanie podlimitného technického zhodnotenia do odpisovaného dlhodobého majetku – technické zhodnotenie pod 1 700 eur za účtovné obdobie (§ 21/3 PU; § 29/2 ZDP).</w:t>
      </w:r>
    </w:p>
    <w:p w:rsidR="008C2FA1" w:rsidRDefault="00D66F85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 xml:space="preserve">Spoločnosť </w:t>
      </w:r>
      <w:r>
        <w:rPr>
          <w:rFonts w:cs="Arial Narrow"/>
          <w:szCs w:val="22"/>
        </w:rPr>
        <w:t>nepoužíva dobrovoľnú kapitalizáciu úrokov do obstarávacej ceny odpisovaného dlhodobého hmotného majetku alebo dlhodobého nehmotného majetku (§ 34/1 PU; § 35/2/h PU).</w:t>
      </w:r>
    </w:p>
    <w:p w:rsidR="008C2FA1" w:rsidRDefault="008C2FA1">
      <w:pPr>
        <w:spacing w:after="0"/>
        <w:jc w:val="both"/>
        <w:rPr>
          <w:szCs w:val="22"/>
        </w:rPr>
      </w:pPr>
    </w:p>
    <w:p w:rsidR="008C2FA1" w:rsidRDefault="008C2FA1">
      <w:pPr>
        <w:spacing w:after="0"/>
        <w:jc w:val="both"/>
        <w:rPr>
          <w:szCs w:val="22"/>
        </w:rPr>
      </w:pPr>
    </w:p>
    <w:tbl>
      <w:tblPr>
        <w:tblW w:w="9214" w:type="dxa"/>
        <w:tblInd w:w="-7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1"/>
        <w:gridCol w:w="2574"/>
        <w:gridCol w:w="1419"/>
      </w:tblGrid>
      <w:tr w:rsidR="008C2FA1">
        <w:trPr>
          <w:trHeight w:val="278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ind w:left="0"/>
              <w:rPr>
                <w:bCs/>
                <w:kern w:val="2"/>
                <w:szCs w:val="22"/>
                <w:lang w:eastAsia="sk-SK"/>
              </w:rPr>
            </w:pPr>
            <w:r>
              <w:rPr>
                <w:bCs/>
                <w:kern w:val="2"/>
                <w:szCs w:val="22"/>
                <w:lang w:eastAsia="sk-SK"/>
              </w:rPr>
              <w:t>h)</w:t>
            </w:r>
            <w:r>
              <w:rPr>
                <w:b/>
                <w:bCs/>
                <w:kern w:val="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ind w:left="0"/>
              <w:rPr>
                <w:bCs/>
                <w:kern w:val="2"/>
                <w:szCs w:val="22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ind w:left="0"/>
              <w:rPr>
                <w:bCs/>
                <w:kern w:val="2"/>
                <w:szCs w:val="22"/>
                <w:lang w:eastAsia="sk-SK"/>
              </w:rPr>
            </w:pPr>
            <w:r>
              <w:rPr>
                <w:bCs/>
                <w:kern w:val="2"/>
                <w:szCs w:val="22"/>
                <w:lang w:eastAsia="sk-SK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8C2FA1">
        <w:trPr>
          <w:trHeight w:val="340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pStyle w:val="Odsekzoznamu"/>
        <w:spacing w:after="0" w:line="240" w:lineRule="auto"/>
        <w:ind w:left="641"/>
        <w:jc w:val="both"/>
        <w:rPr>
          <w:bCs/>
          <w:kern w:val="2"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ind w:left="641"/>
        <w:jc w:val="both"/>
        <w:rPr>
          <w:bCs/>
          <w:kern w:val="2"/>
          <w:szCs w:val="22"/>
          <w:lang w:eastAsia="sk-SK"/>
        </w:rPr>
      </w:pPr>
    </w:p>
    <w:p w:rsidR="004F0057" w:rsidRDefault="004F0057">
      <w:pPr>
        <w:pStyle w:val="Odsekzoznamu"/>
        <w:spacing w:after="0" w:line="240" w:lineRule="auto"/>
        <w:ind w:left="641"/>
        <w:jc w:val="both"/>
        <w:rPr>
          <w:bCs/>
          <w:kern w:val="2"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ind w:left="641"/>
        <w:jc w:val="both"/>
        <w:rPr>
          <w:bCs/>
          <w:kern w:val="2"/>
          <w:szCs w:val="22"/>
          <w:lang w:eastAsia="sk-SK"/>
        </w:rPr>
      </w:pPr>
    </w:p>
    <w:tbl>
      <w:tblPr>
        <w:tblW w:w="9214" w:type="dxa"/>
        <w:tblInd w:w="-34" w:type="dxa"/>
        <w:tblLook w:val="04A0" w:firstRow="1" w:lastRow="0" w:firstColumn="1" w:lastColumn="0" w:noHBand="0" w:noVBand="1"/>
      </w:tblPr>
      <w:tblGrid>
        <w:gridCol w:w="644"/>
        <w:gridCol w:w="3183"/>
        <w:gridCol w:w="839"/>
        <w:gridCol w:w="2070"/>
        <w:gridCol w:w="2478"/>
      </w:tblGrid>
      <w:tr w:rsidR="008C2FA1">
        <w:tc>
          <w:tcPr>
            <w:tcW w:w="3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numPr>
                <w:ilvl w:val="0"/>
                <w:numId w:val="10"/>
              </w:numPr>
              <w:spacing w:after="0" w:line="240" w:lineRule="auto"/>
              <w:rPr>
                <w:b/>
                <w:szCs w:val="22"/>
              </w:rPr>
            </w:pPr>
          </w:p>
          <w:p w:rsidR="008C2FA1" w:rsidRDefault="008C2FA1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8C2FA1" w:rsidRDefault="008C2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>
              <w:rPr>
                <w:b/>
                <w:szCs w:val="22"/>
              </w:rPr>
              <w:t xml:space="preserve">Informácia o </w:t>
            </w:r>
            <w:r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8C2FA1" w:rsidRDefault="00D66F85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b/>
                <w:szCs w:val="22"/>
                <w:lang w:eastAsia="sk-SK"/>
              </w:rPr>
              <w:t>minulých rokov</w:t>
            </w:r>
            <w:r>
              <w:rPr>
                <w:szCs w:val="22"/>
                <w:lang w:eastAsia="sk-SK"/>
              </w:rPr>
              <w:t xml:space="preserve">. </w:t>
            </w:r>
          </w:p>
        </w:tc>
      </w:tr>
      <w:tr w:rsidR="008C2FA1">
        <w:trPr>
          <w:trHeight w:val="397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8C2FA1">
        <w:trPr>
          <w:trHeight w:val="340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3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>
      <w:pPr>
        <w:pStyle w:val="Nzov"/>
        <w:spacing w:beforeAutospacing="0" w:after="0"/>
        <w:ind w:left="360"/>
        <w:jc w:val="left"/>
        <w:rPr>
          <w:szCs w:val="22"/>
        </w:rPr>
      </w:pPr>
    </w:p>
    <w:p w:rsidR="008C2FA1" w:rsidRDefault="008C2FA1"/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Informácie, ktoré vysvetľujú a dopĺňajú súvahu a výkaz ziskov a strát </w:t>
      </w:r>
    </w:p>
    <w:p w:rsidR="008C2FA1" w:rsidRDefault="008C2FA1">
      <w:pPr>
        <w:spacing w:after="0"/>
      </w:pPr>
    </w:p>
    <w:p w:rsidR="008C2FA1" w:rsidRDefault="00D66F85">
      <w:pPr>
        <w:pStyle w:val="Odsekzoznamu"/>
        <w:numPr>
          <w:ilvl w:val="0"/>
          <w:numId w:val="6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/>
          <w:bCs/>
          <w:szCs w:val="22"/>
          <w:lang w:eastAsia="sk-SK"/>
        </w:rPr>
        <w:t>goodwill</w:t>
      </w:r>
      <w:proofErr w:type="spellEnd"/>
      <w:r>
        <w:rPr>
          <w:b/>
          <w:bCs/>
          <w:szCs w:val="22"/>
          <w:lang w:eastAsia="sk-SK"/>
        </w:rPr>
        <w:t xml:space="preserve"> alebo záporný </w:t>
      </w:r>
      <w:proofErr w:type="spellStart"/>
      <w:r>
        <w:rPr>
          <w:b/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</w:t>
      </w:r>
    </w:p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2FA1" w:rsidRDefault="00D66F85">
      <w:pPr>
        <w:pStyle w:val="Odsekzoznamu"/>
        <w:numPr>
          <w:ilvl w:val="0"/>
          <w:numId w:val="6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>
        <w:rPr>
          <w:bCs/>
          <w:szCs w:val="22"/>
          <w:lang w:eastAsia="sk-SK"/>
        </w:rPr>
        <w:t>,</w:t>
      </w:r>
    </w:p>
    <w:p w:rsidR="008C2FA1" w:rsidRDefault="00D66F85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Pre tento bod spoločnosť nemá obsahovú náplň.,</w:t>
      </w:r>
    </w:p>
    <w:p w:rsidR="008C2FA1" w:rsidRDefault="008C2FA1">
      <w:pPr>
        <w:spacing w:after="0" w:line="240" w:lineRule="auto"/>
        <w:rPr>
          <w:bCs/>
          <w:szCs w:val="22"/>
          <w:lang w:eastAsia="sk-SK"/>
        </w:rPr>
      </w:pPr>
    </w:p>
    <w:tbl>
      <w:tblPr>
        <w:tblW w:w="9180" w:type="dxa"/>
        <w:tblInd w:w="-3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"/>
        <w:gridCol w:w="4027"/>
        <w:gridCol w:w="2584"/>
        <w:gridCol w:w="676"/>
        <w:gridCol w:w="1419"/>
      </w:tblGrid>
      <w:tr w:rsidR="008C2FA1">
        <w:trPr>
          <w:trHeight w:val="250"/>
        </w:trPr>
        <w:tc>
          <w:tcPr>
            <w:tcW w:w="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numPr>
                <w:ilvl w:val="0"/>
                <w:numId w:val="6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numPr>
                <w:ilvl w:val="0"/>
                <w:numId w:val="7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2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</w:tr>
      <w:tr w:rsidR="008C2FA1">
        <w:trPr>
          <w:trHeight w:val="340"/>
        </w:trPr>
        <w:tc>
          <w:tcPr>
            <w:tcW w:w="918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numPr>
                <w:ilvl w:val="0"/>
                <w:numId w:val="7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</w:t>
            </w:r>
          </w:p>
        </w:tc>
      </w:tr>
      <w:tr w:rsidR="008C2FA1">
        <w:trPr>
          <w:trHeight w:val="340"/>
        </w:trPr>
        <w:tc>
          <w:tcPr>
            <w:tcW w:w="776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zabezpečené.........................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zabezpečené............................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 zabezpečené: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C2FA1" w:rsidRDefault="008C2FA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C2FA1" w:rsidRDefault="00D66F85">
      <w:pPr>
        <w:pStyle w:val="Odsekzoznamu"/>
        <w:numPr>
          <w:ilvl w:val="0"/>
          <w:numId w:val="6"/>
        </w:numPr>
        <w:spacing w:after="0" w:line="240" w:lineRule="auto"/>
        <w:ind w:left="1277" w:hanging="357"/>
        <w:jc w:val="both"/>
        <w:rPr>
          <w:bCs/>
          <w:szCs w:val="22"/>
          <w:lang w:eastAsia="sk-SK"/>
        </w:rPr>
      </w:pPr>
      <w:r>
        <w:rPr>
          <w:b/>
          <w:bCs/>
          <w:szCs w:val="22"/>
          <w:lang w:eastAsia="sk-SK"/>
        </w:rPr>
        <w:t>Informácie o vlastných akciách</w:t>
      </w:r>
      <w:r>
        <w:rPr>
          <w:bCs/>
          <w:szCs w:val="22"/>
          <w:lang w:eastAsia="sk-SK"/>
        </w:rPr>
        <w:t>:</w:t>
      </w:r>
    </w:p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3603"/>
        <w:gridCol w:w="2777"/>
        <w:gridCol w:w="1416"/>
      </w:tblGrid>
      <w:tr w:rsidR="008C2FA1">
        <w:trPr>
          <w:trHeight w:val="751"/>
        </w:trPr>
        <w:tc>
          <w:tcPr>
            <w:tcW w:w="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numPr>
                <w:ilvl w:val="0"/>
                <w:numId w:val="6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8C2FA1" w:rsidRDefault="008C2FA1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8C2FA1" w:rsidRDefault="008C2FA1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 xml:space="preserve">výnimočný rozsah </w:t>
            </w:r>
            <w:r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8C2FA1">
        <w:trPr>
          <w:trHeight w:val="340"/>
        </w:trPr>
        <w:tc>
          <w:tcPr>
            <w:tcW w:w="45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45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45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8C2FA1" w:rsidRDefault="008C2FA1"/>
    <w:p w:rsidR="004F0057" w:rsidRDefault="004F0057"/>
    <w:p w:rsidR="004F0057" w:rsidRDefault="004F0057"/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lastRenderedPageBreak/>
        <w:t xml:space="preserve"> Informácie o iných aktívach a iných pasívach </w:t>
      </w:r>
    </w:p>
    <w:p w:rsidR="008C2FA1" w:rsidRDefault="008C2FA1">
      <w:pPr>
        <w:spacing w:after="0"/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4"/>
        <w:gridCol w:w="6854"/>
        <w:gridCol w:w="425"/>
        <w:gridCol w:w="1561"/>
      </w:tblGrid>
      <w:tr w:rsidR="008C2FA1">
        <w:trPr>
          <w:trHeight w:val="200"/>
        </w:trPr>
        <w:tc>
          <w:tcPr>
            <w:tcW w:w="3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strany...........(hrozba súdneho procesu)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rPr>
                <w:b w:val="0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8C2FA1" w:rsidRDefault="008C2FA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9" w:type="dxa"/>
        <w:tblLook w:val="04A0" w:firstRow="1" w:lastRow="0" w:firstColumn="1" w:lastColumn="0" w:noHBand="0" w:noVBand="1"/>
      </w:tblPr>
      <w:tblGrid>
        <w:gridCol w:w="398"/>
        <w:gridCol w:w="6830"/>
        <w:gridCol w:w="425"/>
        <w:gridCol w:w="1561"/>
      </w:tblGrid>
      <w:tr w:rsidR="008C2FA1"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Pripravované generálne  opravy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2FA1" w:rsidRDefault="008C2FA1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9" w:type="dxa"/>
        <w:tblLook w:val="04A0" w:firstRow="1" w:lastRow="0" w:firstColumn="1" w:lastColumn="0" w:noHBand="0" w:noVBand="1"/>
      </w:tblPr>
      <w:tblGrid>
        <w:gridCol w:w="574"/>
        <w:gridCol w:w="5148"/>
        <w:gridCol w:w="1953"/>
        <w:gridCol w:w="1539"/>
      </w:tblGrid>
      <w:tr w:rsidR="008C2FA1">
        <w:tc>
          <w:tcPr>
            <w:tcW w:w="3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8C2FA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8C2FA1" w:rsidRDefault="008C2FA1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8C2FA1" w:rsidRDefault="00D66F85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8C2FA1">
        <w:trPr>
          <w:trHeight w:val="340"/>
        </w:trPr>
        <w:tc>
          <w:tcPr>
            <w:tcW w:w="56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8C2FA1">
        <w:trPr>
          <w:trHeight w:val="340"/>
        </w:trPr>
        <w:tc>
          <w:tcPr>
            <w:tcW w:w="56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D66F85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C2FA1">
        <w:trPr>
          <w:trHeight w:val="340"/>
        </w:trPr>
        <w:tc>
          <w:tcPr>
            <w:tcW w:w="56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  <w:tr w:rsidR="008C2FA1">
        <w:trPr>
          <w:trHeight w:val="340"/>
        </w:trPr>
        <w:tc>
          <w:tcPr>
            <w:tcW w:w="56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/>
              <w:rPr>
                <w:szCs w:val="22"/>
              </w:rPr>
            </w:pPr>
          </w:p>
        </w:tc>
      </w:tr>
    </w:tbl>
    <w:p w:rsidR="008C2FA1" w:rsidRDefault="008C2FA1"/>
    <w:p w:rsidR="008C2FA1" w:rsidRDefault="00D66F85">
      <w:pPr>
        <w:shd w:val="clear" w:color="auto" w:fill="E6E6E6"/>
        <w:spacing w:after="0" w:line="240" w:lineRule="auto"/>
        <w:jc w:val="center"/>
      </w:pPr>
      <w:r>
        <w:rPr>
          <w:i/>
          <w:szCs w:val="22"/>
        </w:rPr>
        <w:t xml:space="preserve"> Udalosti ,ktoré nastali po dni ,ku ktorému sa zostavuje účtovná závierka </w:t>
      </w:r>
    </w:p>
    <w:p w:rsidR="008C2FA1" w:rsidRDefault="00D66F8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7"/>
        <w:gridCol w:w="3402"/>
        <w:gridCol w:w="285"/>
      </w:tblGrid>
      <w:tr w:rsidR="008C2FA1">
        <w:trPr>
          <w:trHeight w:val="538"/>
        </w:trPr>
        <w:tc>
          <w:tcPr>
            <w:tcW w:w="92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>
              <w:rPr>
                <w:bCs/>
                <w:szCs w:val="22"/>
                <w:lang w:eastAsia="sk-SK"/>
              </w:rPr>
              <w:t xml:space="preserve"> do dňa zostavenia účtovnej závierky a ktoré nie sú zohľadnené v súvahe alebo vo výkaze ziskov a strát. </w:t>
            </w: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začatie alebo ukončení činnosti časti ÚJ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mimoriadne udalosti - živelná pohroma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2FA1"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C2FA1" w:rsidRDefault="00D66F85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získanie alebo odobratie licencií , iných povolení.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C2FA1" w:rsidRDefault="008C2FA1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8C2FA1" w:rsidRDefault="00D66F85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    Pre tento bod spoločnosť nemá obsahovú náplň.,</w:t>
      </w: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AB73BD">
      <w:pPr>
        <w:jc w:val="both"/>
      </w:pPr>
      <w:r>
        <w:rPr>
          <w:szCs w:val="22"/>
        </w:rPr>
        <w:t>V roku 202</w:t>
      </w:r>
      <w:r w:rsidR="004F0057">
        <w:rPr>
          <w:szCs w:val="22"/>
        </w:rPr>
        <w:t>5</w:t>
      </w:r>
      <w:r>
        <w:rPr>
          <w:szCs w:val="22"/>
        </w:rPr>
        <w:t xml:space="preserve"> pokračoval vojnový konflikt, ktorý výrazne ovplyvnil trh s energiami a vývoj ich cien v celej Európe a aj v našej národnej ekonomike.  Pretože sa situácia stále vyvíja, vedenie účtovnej jednotky si nemyslí, že je možné poskytnúť kvantitatívne odhady </w:t>
      </w:r>
      <w:proofErr w:type="spellStart"/>
      <w:r>
        <w:rPr>
          <w:szCs w:val="22"/>
        </w:rPr>
        <w:t>potencionálneho</w:t>
      </w:r>
      <w:proofErr w:type="spellEnd"/>
      <w:r>
        <w:rPr>
          <w:szCs w:val="22"/>
        </w:rPr>
        <w:t xml:space="preserve"> vplyvu súčasnej situácie na účtovnú jednotku. Akýkoľvek negatívny vplyv resp. ďalšie straty zahrnie účtovná jednotka do účtovníctva a účtovnej závierky v roku 202</w:t>
      </w:r>
      <w:r w:rsidR="00F16ABB">
        <w:rPr>
          <w:szCs w:val="22"/>
        </w:rPr>
        <w:t>6</w:t>
      </w:r>
      <w:r>
        <w:rPr>
          <w:szCs w:val="22"/>
        </w:rPr>
        <w:t>. Manažment spoločnosti podnikne všetky možné kroky na zmiernenie akýchkoľvek negatívnych účinkov na spoločnosť a jej zamestnancov.</w:t>
      </w:r>
    </w:p>
    <w:p w:rsidR="008C2FA1" w:rsidRDefault="008C2FA1">
      <w:pPr>
        <w:spacing w:after="0" w:line="240" w:lineRule="auto"/>
        <w:rPr>
          <w:i/>
          <w:sz w:val="20"/>
          <w:szCs w:val="22"/>
        </w:rPr>
      </w:pPr>
    </w:p>
    <w:p w:rsidR="008C2FA1" w:rsidRDefault="008C2FA1">
      <w:pPr>
        <w:pStyle w:val="Nzov"/>
        <w:spacing w:beforeAutospacing="0" w:after="0"/>
        <w:ind w:left="360"/>
        <w:jc w:val="left"/>
        <w:rPr>
          <w:szCs w:val="22"/>
        </w:rPr>
      </w:pPr>
    </w:p>
    <w:p w:rsidR="008C2FA1" w:rsidRDefault="008C2FA1"/>
    <w:p w:rsidR="008C2FA1" w:rsidRDefault="00D66F8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8C2FA1" w:rsidRDefault="008C2FA1">
      <w:pPr>
        <w:spacing w:after="0"/>
      </w:pPr>
    </w:p>
    <w:p w:rsidR="008C2FA1" w:rsidRDefault="00D66F85">
      <w:pPr>
        <w:numPr>
          <w:ilvl w:val="0"/>
          <w:numId w:val="3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osobitného práva, ktorým sa udelilo právo poskytovať služby vo verejnom záujme:</w:t>
      </w:r>
    </w:p>
    <w:p w:rsidR="008C2FA1" w:rsidRDefault="008C2FA1">
      <w:pPr>
        <w:spacing w:after="0" w:line="240" w:lineRule="auto"/>
        <w:ind w:left="641"/>
        <w:jc w:val="both"/>
        <w:rPr>
          <w:szCs w:val="22"/>
        </w:rPr>
      </w:pPr>
    </w:p>
    <w:p w:rsidR="008C2FA1" w:rsidRDefault="00D66F8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Spoločnosť nemalo udelené výlučné právo alebo osobitné právo na poskytovanie služieb vo verejnom záujme.</w:t>
      </w:r>
    </w:p>
    <w:p w:rsidR="008C2FA1" w:rsidRDefault="008C2FA1">
      <w:pPr>
        <w:spacing w:after="0" w:line="240" w:lineRule="auto"/>
        <w:ind w:left="641"/>
        <w:jc w:val="both"/>
        <w:rPr>
          <w:szCs w:val="22"/>
        </w:rPr>
      </w:pPr>
    </w:p>
    <w:p w:rsidR="008C2FA1" w:rsidRDefault="00D66F85">
      <w:pPr>
        <w:spacing w:after="120"/>
        <w:ind w:right="-471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>
        <w:rPr>
          <w:rFonts w:cs="Arial Narrow"/>
          <w:bCs/>
          <w:szCs w:val="22"/>
        </w:rPr>
        <w:t>ZoU</w:t>
      </w:r>
      <w:proofErr w:type="spellEnd"/>
      <w:r>
        <w:rPr>
          <w:rFonts w:cs="Arial Narrow"/>
          <w:bCs/>
          <w:szCs w:val="22"/>
        </w:rPr>
        <w:t>):</w:t>
      </w:r>
    </w:p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spacing w:after="0" w:line="240" w:lineRule="auto"/>
        <w:jc w:val="both"/>
        <w:rPr>
          <w:rFonts w:cs="Arial"/>
          <w:szCs w:val="22"/>
        </w:rPr>
      </w:pPr>
    </w:p>
    <w:p w:rsidR="008C2FA1" w:rsidRDefault="00D66F85">
      <w:pPr>
        <w:spacing w:after="0" w:line="240" w:lineRule="auto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 xml:space="preserve">3) Informácie o finančných vzťahoch s orgánmi verejnej moci (§ 23d/6 </w:t>
      </w:r>
      <w:proofErr w:type="spellStart"/>
      <w:r>
        <w:rPr>
          <w:rFonts w:cs="Arial Narrow"/>
          <w:bCs/>
          <w:szCs w:val="22"/>
        </w:rPr>
        <w:t>ZoU</w:t>
      </w:r>
      <w:proofErr w:type="spellEnd"/>
      <w:r>
        <w:rPr>
          <w:rFonts w:cs="Arial Narrow"/>
          <w:bCs/>
          <w:szCs w:val="22"/>
        </w:rPr>
        <w:t>):</w:t>
      </w:r>
    </w:p>
    <w:p w:rsidR="008C2FA1" w:rsidRDefault="00D66F85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 </w:t>
      </w:r>
    </w:p>
    <w:p w:rsidR="008C2FA1" w:rsidRDefault="00D66F85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2FA1" w:rsidRDefault="008C2FA1">
      <w:pPr>
        <w:spacing w:after="0" w:line="240" w:lineRule="auto"/>
      </w:pPr>
    </w:p>
    <w:sectPr w:rsidR="008C2FA1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36A8" w:rsidRDefault="00D236A8">
      <w:pPr>
        <w:spacing w:after="0" w:line="240" w:lineRule="auto"/>
      </w:pPr>
      <w:r>
        <w:separator/>
      </w:r>
    </w:p>
  </w:endnote>
  <w:endnote w:type="continuationSeparator" w:id="0">
    <w:p w:rsidR="00D236A8" w:rsidRDefault="00D236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32EB" w:rsidRDefault="00E232EB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4E5257">
      <w:rPr>
        <w:noProof/>
      </w:rPr>
      <w:t>8</w:t>
    </w:r>
    <w:r>
      <w:fldChar w:fldCharType="end"/>
    </w:r>
  </w:p>
  <w:p w:rsidR="00E232EB" w:rsidRDefault="00E232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36A8" w:rsidRDefault="00D236A8">
      <w:pPr>
        <w:spacing w:after="0" w:line="240" w:lineRule="auto"/>
      </w:pPr>
      <w:r>
        <w:separator/>
      </w:r>
    </w:p>
  </w:footnote>
  <w:footnote w:type="continuationSeparator" w:id="0">
    <w:p w:rsidR="00D236A8" w:rsidRDefault="00D236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32EB" w:rsidRDefault="00E232EB">
    <w:pPr>
      <w:pStyle w:val="Hlavika"/>
    </w:pPr>
  </w:p>
  <w:tbl>
    <w:tblPr>
      <w:tblW w:w="8957" w:type="dxa"/>
      <w:tblInd w:w="93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3"/>
      <w:gridCol w:w="1700"/>
      <w:gridCol w:w="2410"/>
      <w:gridCol w:w="442"/>
      <w:gridCol w:w="2162"/>
    </w:tblGrid>
    <w:tr w:rsidR="00E232EB">
      <w:trPr>
        <w:trHeight w:val="326"/>
      </w:trPr>
      <w:tc>
        <w:tcPr>
          <w:tcW w:w="22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E232EB" w:rsidRDefault="00E232EB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E232EB" w:rsidRDefault="00E232EB">
          <w:pPr>
            <w:spacing w:after="0" w:line="240" w:lineRule="auto"/>
          </w:pP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E232EB" w:rsidRDefault="00E232EB" w:rsidP="00E232EB">
          <w:pPr>
            <w:spacing w:after="0" w:line="240" w:lineRule="auto"/>
          </w:pPr>
          <w:r>
            <w:t>IČO:47232803</w:t>
          </w:r>
        </w:p>
      </w:tc>
      <w:tc>
        <w:tcPr>
          <w:tcW w:w="442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E232EB" w:rsidRDefault="00E232EB">
          <w:pPr>
            <w:spacing w:after="0" w:line="240" w:lineRule="auto"/>
          </w:pPr>
        </w:p>
      </w:tc>
      <w:tc>
        <w:tcPr>
          <w:tcW w:w="21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center"/>
        </w:tcPr>
        <w:p w:rsidR="00E232EB" w:rsidRDefault="00E232EB" w:rsidP="00E232EB">
          <w:pPr>
            <w:spacing w:after="0" w:line="240" w:lineRule="auto"/>
          </w:pPr>
          <w:r>
            <w:t>DIČ:2023182546</w:t>
          </w:r>
        </w:p>
      </w:tc>
    </w:tr>
  </w:tbl>
  <w:p w:rsidR="00E232EB" w:rsidRDefault="00E232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B30F0"/>
    <w:multiLevelType w:val="multilevel"/>
    <w:tmpl w:val="5348409C"/>
    <w:lvl w:ilvl="0">
      <w:start w:val="1"/>
      <w:numFmt w:val="decimal"/>
      <w:lvlText w:val="(%1)"/>
      <w:lvlJc w:val="left"/>
      <w:pPr>
        <w:ind w:left="1637" w:hanging="360"/>
      </w:pPr>
      <w:rPr>
        <w:b/>
        <w:sz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C91005"/>
    <w:multiLevelType w:val="multilevel"/>
    <w:tmpl w:val="A11E72B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nsid w:val="1A8D5652"/>
    <w:multiLevelType w:val="multilevel"/>
    <w:tmpl w:val="A0B0059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282975C5"/>
    <w:multiLevelType w:val="multilevel"/>
    <w:tmpl w:val="B92C4120"/>
    <w:lvl w:ilvl="0">
      <w:start w:val="1"/>
      <w:numFmt w:val="decimal"/>
      <w:lvlText w:val="(%1)"/>
      <w:lvlJc w:val="left"/>
      <w:pPr>
        <w:ind w:left="1481" w:hanging="360"/>
      </w:pPr>
      <w:rPr>
        <w:rFonts w:cs="Times New Roman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7E2238"/>
    <w:multiLevelType w:val="multilevel"/>
    <w:tmpl w:val="DFF433FC"/>
    <w:lvl w:ilvl="0">
      <w:start w:val="1"/>
      <w:numFmt w:val="lowerLetter"/>
      <w:lvlText w:val="%1)"/>
      <w:lvlJc w:val="left"/>
      <w:pPr>
        <w:ind w:left="284" w:hanging="284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5">
    <w:nsid w:val="4E794954"/>
    <w:multiLevelType w:val="multilevel"/>
    <w:tmpl w:val="D5C2F1F2"/>
    <w:lvl w:ilvl="0">
      <w:start w:val="1"/>
      <w:numFmt w:val="decimal"/>
      <w:lvlText w:val="(%1)"/>
      <w:lvlJc w:val="left"/>
      <w:pPr>
        <w:ind w:left="360" w:hanging="360"/>
      </w:pPr>
      <w:rPr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58405BF2"/>
    <w:multiLevelType w:val="multilevel"/>
    <w:tmpl w:val="5B3A4C0E"/>
    <w:lvl w:ilvl="0">
      <w:start w:val="3"/>
      <w:numFmt w:val="decimal"/>
      <w:lvlText w:val="%1."/>
      <w:lvlJc w:val="left"/>
      <w:pPr>
        <w:ind w:left="394" w:hanging="360"/>
      </w:pPr>
    </w:lvl>
    <w:lvl w:ilvl="1">
      <w:start w:val="1"/>
      <w:numFmt w:val="lowerLetter"/>
      <w:lvlText w:val="%2."/>
      <w:lvlJc w:val="left"/>
      <w:pPr>
        <w:ind w:left="1114" w:hanging="360"/>
      </w:pPr>
    </w:lvl>
    <w:lvl w:ilvl="2">
      <w:start w:val="1"/>
      <w:numFmt w:val="lowerRoman"/>
      <w:lvlText w:val="%3."/>
      <w:lvlJc w:val="right"/>
      <w:pPr>
        <w:ind w:left="1834" w:hanging="180"/>
      </w:pPr>
    </w:lvl>
    <w:lvl w:ilvl="3">
      <w:start w:val="1"/>
      <w:numFmt w:val="decimal"/>
      <w:lvlText w:val="%4."/>
      <w:lvlJc w:val="left"/>
      <w:pPr>
        <w:ind w:left="2554" w:hanging="360"/>
      </w:pPr>
    </w:lvl>
    <w:lvl w:ilvl="4">
      <w:start w:val="1"/>
      <w:numFmt w:val="lowerLetter"/>
      <w:lvlText w:val="%5."/>
      <w:lvlJc w:val="left"/>
      <w:pPr>
        <w:ind w:left="3274" w:hanging="360"/>
      </w:pPr>
    </w:lvl>
    <w:lvl w:ilvl="5">
      <w:start w:val="1"/>
      <w:numFmt w:val="lowerRoman"/>
      <w:lvlText w:val="%6."/>
      <w:lvlJc w:val="right"/>
      <w:pPr>
        <w:ind w:left="3994" w:hanging="180"/>
      </w:pPr>
    </w:lvl>
    <w:lvl w:ilvl="6">
      <w:start w:val="1"/>
      <w:numFmt w:val="decimal"/>
      <w:lvlText w:val="%7."/>
      <w:lvlJc w:val="left"/>
      <w:pPr>
        <w:ind w:left="4714" w:hanging="360"/>
      </w:pPr>
    </w:lvl>
    <w:lvl w:ilvl="7">
      <w:start w:val="1"/>
      <w:numFmt w:val="lowerLetter"/>
      <w:lvlText w:val="%8."/>
      <w:lvlJc w:val="left"/>
      <w:pPr>
        <w:ind w:left="5434" w:hanging="360"/>
      </w:pPr>
    </w:lvl>
    <w:lvl w:ilvl="8">
      <w:start w:val="1"/>
      <w:numFmt w:val="lowerRoman"/>
      <w:lvlText w:val="%9."/>
      <w:lvlJc w:val="right"/>
      <w:pPr>
        <w:ind w:left="6154" w:hanging="180"/>
      </w:pPr>
    </w:lvl>
  </w:abstractNum>
  <w:abstractNum w:abstractNumId="7">
    <w:nsid w:val="5A511821"/>
    <w:multiLevelType w:val="multilevel"/>
    <w:tmpl w:val="BCE66DF6"/>
    <w:lvl w:ilvl="0">
      <w:start w:val="1"/>
      <w:numFmt w:val="lowerLetter"/>
      <w:lvlText w:val="%1)"/>
      <w:lvlJc w:val="left"/>
      <w:pPr>
        <w:ind w:left="965" w:hanging="360"/>
      </w:pPr>
      <w:rPr>
        <w:rFonts w:cs="Times New Roman"/>
        <w:b w:val="0"/>
        <w:sz w:val="22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nsid w:val="5E2877B2"/>
    <w:multiLevelType w:val="multilevel"/>
    <w:tmpl w:val="714044F4"/>
    <w:lvl w:ilvl="0">
      <w:start w:val="1"/>
      <w:numFmt w:val="decimal"/>
      <w:lvlText w:val="(%1)"/>
      <w:lvlJc w:val="left"/>
      <w:pPr>
        <w:ind w:left="502" w:hanging="360"/>
      </w:pPr>
      <w:rPr>
        <w:b/>
        <w:sz w:val="20"/>
      </w:rPr>
    </w:lvl>
    <w:lvl w:ilvl="1">
      <w:start w:val="1"/>
      <w:numFmt w:val="lowerLetter"/>
      <w:lvlText w:val="%2."/>
      <w:lvlJc w:val="left"/>
      <w:pPr>
        <w:ind w:left="1188" w:hanging="360"/>
      </w:pPr>
    </w:lvl>
    <w:lvl w:ilvl="2">
      <w:start w:val="1"/>
      <w:numFmt w:val="lowerRoman"/>
      <w:lvlText w:val="%3."/>
      <w:lvlJc w:val="right"/>
      <w:pPr>
        <w:ind w:left="1908" w:hanging="180"/>
      </w:pPr>
    </w:lvl>
    <w:lvl w:ilvl="3">
      <w:start w:val="1"/>
      <w:numFmt w:val="decimal"/>
      <w:lvlText w:val="%4."/>
      <w:lvlJc w:val="left"/>
      <w:pPr>
        <w:ind w:left="2628" w:hanging="360"/>
      </w:pPr>
    </w:lvl>
    <w:lvl w:ilvl="4">
      <w:start w:val="1"/>
      <w:numFmt w:val="lowerLetter"/>
      <w:lvlText w:val="%5."/>
      <w:lvlJc w:val="left"/>
      <w:pPr>
        <w:ind w:left="3348" w:hanging="360"/>
      </w:pPr>
    </w:lvl>
    <w:lvl w:ilvl="5">
      <w:start w:val="1"/>
      <w:numFmt w:val="lowerRoman"/>
      <w:lvlText w:val="%6."/>
      <w:lvlJc w:val="right"/>
      <w:pPr>
        <w:ind w:left="4068" w:hanging="180"/>
      </w:pPr>
    </w:lvl>
    <w:lvl w:ilvl="6">
      <w:start w:val="1"/>
      <w:numFmt w:val="decimal"/>
      <w:lvlText w:val="%7."/>
      <w:lvlJc w:val="left"/>
      <w:pPr>
        <w:ind w:left="4788" w:hanging="360"/>
      </w:pPr>
    </w:lvl>
    <w:lvl w:ilvl="7">
      <w:start w:val="1"/>
      <w:numFmt w:val="lowerLetter"/>
      <w:lvlText w:val="%8."/>
      <w:lvlJc w:val="left"/>
      <w:pPr>
        <w:ind w:left="5508" w:hanging="360"/>
      </w:pPr>
    </w:lvl>
    <w:lvl w:ilvl="8">
      <w:start w:val="1"/>
      <w:numFmt w:val="lowerRoman"/>
      <w:lvlText w:val="%9."/>
      <w:lvlJc w:val="right"/>
      <w:pPr>
        <w:ind w:left="6228" w:hanging="180"/>
      </w:pPr>
    </w:lvl>
  </w:abstractNum>
  <w:abstractNum w:abstractNumId="9">
    <w:nsid w:val="63DE0D59"/>
    <w:multiLevelType w:val="multilevel"/>
    <w:tmpl w:val="959C02EE"/>
    <w:lvl w:ilvl="0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AE22AF1"/>
    <w:multiLevelType w:val="multilevel"/>
    <w:tmpl w:val="17C8C3F2"/>
    <w:lvl w:ilvl="0">
      <w:start w:val="1"/>
      <w:numFmt w:val="decimal"/>
      <w:lvlText w:val="(%1)"/>
      <w:lvlJc w:val="left"/>
      <w:pPr>
        <w:ind w:left="360" w:hanging="360"/>
      </w:pPr>
      <w:rPr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A64141"/>
    <w:multiLevelType w:val="multilevel"/>
    <w:tmpl w:val="5A6EC49A"/>
    <w:lvl w:ilvl="0">
      <w:start w:val="1"/>
      <w:numFmt w:val="lowerLetter"/>
      <w:lvlText w:val="%1)"/>
      <w:lvlJc w:val="left"/>
      <w:pPr>
        <w:ind w:left="641" w:hanging="284"/>
      </w:pPr>
      <w:rPr>
        <w:b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num w:numId="1">
    <w:abstractNumId w:val="4"/>
  </w:num>
  <w:num w:numId="2">
    <w:abstractNumId w:val="5"/>
  </w:num>
  <w:num w:numId="3">
    <w:abstractNumId w:val="3"/>
  </w:num>
  <w:num w:numId="4">
    <w:abstractNumId w:val="10"/>
  </w:num>
  <w:num w:numId="5">
    <w:abstractNumId w:val="7"/>
  </w:num>
  <w:num w:numId="6">
    <w:abstractNumId w:val="0"/>
  </w:num>
  <w:num w:numId="7">
    <w:abstractNumId w:val="11"/>
  </w:num>
  <w:num w:numId="8">
    <w:abstractNumId w:val="8"/>
  </w:num>
  <w:num w:numId="9">
    <w:abstractNumId w:val="9"/>
  </w:num>
  <w:num w:numId="10">
    <w:abstractNumId w:val="6"/>
  </w:num>
  <w:num w:numId="11">
    <w:abstractNumId w:val="1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FA1"/>
    <w:rsid w:val="00061C4F"/>
    <w:rsid w:val="000938E0"/>
    <w:rsid w:val="000A3C81"/>
    <w:rsid w:val="00107FCC"/>
    <w:rsid w:val="00193B30"/>
    <w:rsid w:val="00462162"/>
    <w:rsid w:val="004B723E"/>
    <w:rsid w:val="004C232A"/>
    <w:rsid w:val="004E5257"/>
    <w:rsid w:val="004F0057"/>
    <w:rsid w:val="00882020"/>
    <w:rsid w:val="008B06C6"/>
    <w:rsid w:val="008C2FA1"/>
    <w:rsid w:val="00940DD7"/>
    <w:rsid w:val="0095230E"/>
    <w:rsid w:val="00A12F0B"/>
    <w:rsid w:val="00AB73BD"/>
    <w:rsid w:val="00B013FE"/>
    <w:rsid w:val="00B6651E"/>
    <w:rsid w:val="00BB654E"/>
    <w:rsid w:val="00CB3D9C"/>
    <w:rsid w:val="00D236A8"/>
    <w:rsid w:val="00D66F85"/>
    <w:rsid w:val="00D956AE"/>
    <w:rsid w:val="00E232EB"/>
    <w:rsid w:val="00F16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qFormat/>
    <w:locked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FootnoteCharacters">
    <w:name w:val="Footnote Characters"/>
    <w:uiPriority w:val="99"/>
    <w:qFormat/>
    <w:rsid w:val="00686076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ra">
    <w:name w:val="ra"/>
    <w:basedOn w:val="Predvolenpsmoodseku"/>
    <w:qFormat/>
    <w:rsid w:val="007E1862"/>
  </w:style>
  <w:style w:type="character" w:customStyle="1" w:styleId="ListLabel1">
    <w:name w:val="ListLabel 1"/>
    <w:qFormat/>
    <w:rPr>
      <w:rFonts w:cs="Times New Roman"/>
      <w:b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b/>
      <w:sz w:val="20"/>
      <w:szCs w:val="20"/>
    </w:rPr>
  </w:style>
  <w:style w:type="character" w:customStyle="1" w:styleId="ListLabel12">
    <w:name w:val="ListLabel 12"/>
    <w:qFormat/>
    <w:rPr>
      <w:b w:val="0"/>
    </w:rPr>
  </w:style>
  <w:style w:type="character" w:customStyle="1" w:styleId="ListLabel13">
    <w:name w:val="ListLabel 13"/>
    <w:qFormat/>
    <w:rPr>
      <w:rFonts w:cs="Times New Roman"/>
      <w:b w:val="0"/>
      <w:i w:val="0"/>
      <w:sz w:val="20"/>
      <w:szCs w:val="24"/>
    </w:rPr>
  </w:style>
  <w:style w:type="character" w:customStyle="1" w:styleId="ListLabel14">
    <w:name w:val="ListLabel 14"/>
    <w:qFormat/>
    <w:rPr>
      <w:b/>
      <w:sz w:val="20"/>
      <w:szCs w:val="20"/>
    </w:rPr>
  </w:style>
  <w:style w:type="character" w:customStyle="1" w:styleId="ListLabel15">
    <w:name w:val="ListLabel 15"/>
    <w:qFormat/>
    <w:rPr>
      <w:rFonts w:cs="Times New Roman"/>
      <w:b w:val="0"/>
      <w:sz w:val="22"/>
    </w:rPr>
  </w:style>
  <w:style w:type="character" w:customStyle="1" w:styleId="ListLabel16">
    <w:name w:val="ListLabel 16"/>
    <w:qFormat/>
    <w:rPr>
      <w:b/>
      <w:sz w:val="20"/>
    </w:rPr>
  </w:style>
  <w:style w:type="character" w:customStyle="1" w:styleId="ListLabel17">
    <w:name w:val="ListLabel 17"/>
    <w:qFormat/>
    <w:rPr>
      <w:b/>
    </w:rPr>
  </w:style>
  <w:style w:type="character" w:customStyle="1" w:styleId="ListLabel18">
    <w:name w:val="ListLabel 18"/>
    <w:qFormat/>
    <w:rPr>
      <w:b/>
      <w:sz w:val="20"/>
    </w:rPr>
  </w:style>
  <w:style w:type="character" w:customStyle="1" w:styleId="ListLabel19">
    <w:name w:val="ListLabel 19"/>
    <w:qFormat/>
    <w:rPr>
      <w:b/>
    </w:rPr>
  </w:style>
  <w:style w:type="character" w:customStyle="1" w:styleId="ListLabel20">
    <w:name w:val="ListLabel 20"/>
    <w:qFormat/>
    <w:rPr>
      <w:rFonts w:cs="Times New Roman"/>
      <w:sz w:val="22"/>
      <w:szCs w:val="22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Times New Roman"/>
      <w:b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b/>
      <w:sz w:val="20"/>
      <w:szCs w:val="20"/>
    </w:rPr>
  </w:style>
  <w:style w:type="character" w:customStyle="1" w:styleId="ListLabel49">
    <w:name w:val="ListLabel 49"/>
    <w:qFormat/>
    <w:rPr>
      <w:rFonts w:cs="Times New Roman"/>
      <w:b w:val="0"/>
      <w:i w:val="0"/>
      <w:sz w:val="20"/>
      <w:szCs w:val="24"/>
    </w:rPr>
  </w:style>
  <w:style w:type="character" w:customStyle="1" w:styleId="ListLabel50">
    <w:name w:val="ListLabel 50"/>
    <w:qFormat/>
    <w:rPr>
      <w:b/>
      <w:sz w:val="20"/>
      <w:szCs w:val="20"/>
    </w:rPr>
  </w:style>
  <w:style w:type="character" w:customStyle="1" w:styleId="ListLabel51">
    <w:name w:val="ListLabel 51"/>
    <w:qFormat/>
    <w:rPr>
      <w:rFonts w:cs="Times New Roman"/>
      <w:b w:val="0"/>
      <w:sz w:val="22"/>
    </w:rPr>
  </w:style>
  <w:style w:type="character" w:customStyle="1" w:styleId="ListLabel52">
    <w:name w:val="ListLabel 52"/>
    <w:qFormat/>
    <w:rPr>
      <w:b/>
      <w:sz w:val="20"/>
    </w:rPr>
  </w:style>
  <w:style w:type="character" w:customStyle="1" w:styleId="ListLabel53">
    <w:name w:val="ListLabel 53"/>
    <w:qFormat/>
    <w:rPr>
      <w:b/>
    </w:rPr>
  </w:style>
  <w:style w:type="character" w:customStyle="1" w:styleId="ListLabel54">
    <w:name w:val="ListLabel 54"/>
    <w:qFormat/>
    <w:rPr>
      <w:b/>
      <w:sz w:val="20"/>
    </w:rPr>
  </w:style>
  <w:style w:type="character" w:customStyle="1" w:styleId="ListLabel55">
    <w:name w:val="ListLabel 55"/>
    <w:qFormat/>
    <w:rPr>
      <w:b/>
    </w:rPr>
  </w:style>
  <w:style w:type="character" w:customStyle="1" w:styleId="ListLabel56">
    <w:name w:val="ListLabel 56"/>
    <w:qFormat/>
    <w:rPr>
      <w:rFonts w:cs="Wingdings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Symbol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Wingdings"/>
    </w:rPr>
  </w:style>
  <w:style w:type="character" w:customStyle="1" w:styleId="ListLabel62">
    <w:name w:val="ListLabel 62"/>
    <w:qFormat/>
    <w:rPr>
      <w:rFonts w:cs="Symbol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Wingdings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qFormat/>
    <w:rsid w:val="00236906"/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qFormat/>
    <w:rsid w:val="00710A71"/>
    <w:rPr>
      <w:bCs w:val="0"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qFormat/>
    <w:locked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6854A8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6854A8"/>
    <w:rPr>
      <w:rFonts w:ascii="Tahoma" w:hAnsi="Tahoma" w:cs="Tahoma"/>
      <w:sz w:val="16"/>
      <w:szCs w:val="16"/>
    </w:rPr>
  </w:style>
  <w:style w:type="character" w:customStyle="1" w:styleId="FootnoteCharacters">
    <w:name w:val="Footnote Characters"/>
    <w:uiPriority w:val="99"/>
    <w:qFormat/>
    <w:rsid w:val="00686076"/>
    <w:rPr>
      <w:vertAlign w:val="superscript"/>
    </w:rPr>
  </w:style>
  <w:style w:type="character" w:customStyle="1" w:styleId="FootnoteAnchor">
    <w:name w:val="Footnote Anchor"/>
    <w:rPr>
      <w:vertAlign w:val="superscript"/>
    </w:rPr>
  </w:style>
  <w:style w:type="character" w:customStyle="1" w:styleId="ra">
    <w:name w:val="ra"/>
    <w:basedOn w:val="Predvolenpsmoodseku"/>
    <w:qFormat/>
    <w:rsid w:val="007E1862"/>
  </w:style>
  <w:style w:type="character" w:customStyle="1" w:styleId="ListLabel1">
    <w:name w:val="ListLabel 1"/>
    <w:qFormat/>
    <w:rPr>
      <w:rFonts w:cs="Times New Roman"/>
      <w:b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b/>
      <w:sz w:val="20"/>
      <w:szCs w:val="20"/>
    </w:rPr>
  </w:style>
  <w:style w:type="character" w:customStyle="1" w:styleId="ListLabel12">
    <w:name w:val="ListLabel 12"/>
    <w:qFormat/>
    <w:rPr>
      <w:b w:val="0"/>
    </w:rPr>
  </w:style>
  <w:style w:type="character" w:customStyle="1" w:styleId="ListLabel13">
    <w:name w:val="ListLabel 13"/>
    <w:qFormat/>
    <w:rPr>
      <w:rFonts w:cs="Times New Roman"/>
      <w:b w:val="0"/>
      <w:i w:val="0"/>
      <w:sz w:val="20"/>
      <w:szCs w:val="24"/>
    </w:rPr>
  </w:style>
  <w:style w:type="character" w:customStyle="1" w:styleId="ListLabel14">
    <w:name w:val="ListLabel 14"/>
    <w:qFormat/>
    <w:rPr>
      <w:b/>
      <w:sz w:val="20"/>
      <w:szCs w:val="20"/>
    </w:rPr>
  </w:style>
  <w:style w:type="character" w:customStyle="1" w:styleId="ListLabel15">
    <w:name w:val="ListLabel 15"/>
    <w:qFormat/>
    <w:rPr>
      <w:rFonts w:cs="Times New Roman"/>
      <w:b w:val="0"/>
      <w:sz w:val="22"/>
    </w:rPr>
  </w:style>
  <w:style w:type="character" w:customStyle="1" w:styleId="ListLabel16">
    <w:name w:val="ListLabel 16"/>
    <w:qFormat/>
    <w:rPr>
      <w:b/>
      <w:sz w:val="20"/>
    </w:rPr>
  </w:style>
  <w:style w:type="character" w:customStyle="1" w:styleId="ListLabel17">
    <w:name w:val="ListLabel 17"/>
    <w:qFormat/>
    <w:rPr>
      <w:b/>
    </w:rPr>
  </w:style>
  <w:style w:type="character" w:customStyle="1" w:styleId="ListLabel18">
    <w:name w:val="ListLabel 18"/>
    <w:qFormat/>
    <w:rPr>
      <w:b/>
      <w:sz w:val="20"/>
    </w:rPr>
  </w:style>
  <w:style w:type="character" w:customStyle="1" w:styleId="ListLabel19">
    <w:name w:val="ListLabel 19"/>
    <w:qFormat/>
    <w:rPr>
      <w:b/>
    </w:rPr>
  </w:style>
  <w:style w:type="character" w:customStyle="1" w:styleId="ListLabel20">
    <w:name w:val="ListLabel 20"/>
    <w:qFormat/>
    <w:rPr>
      <w:rFonts w:cs="Times New Roman"/>
      <w:sz w:val="22"/>
      <w:szCs w:val="22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Courier New"/>
    </w:rPr>
  </w:style>
  <w:style w:type="character" w:customStyle="1" w:styleId="ListLabel38">
    <w:name w:val="ListLabel 38"/>
    <w:qFormat/>
    <w:rPr>
      <w:rFonts w:cs="Courier New"/>
    </w:rPr>
  </w:style>
  <w:style w:type="character" w:customStyle="1" w:styleId="ListLabel39">
    <w:name w:val="ListLabel 39"/>
    <w:qFormat/>
    <w:rPr>
      <w:rFonts w:cs="Times New Roman"/>
      <w:b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b/>
      <w:sz w:val="20"/>
      <w:szCs w:val="20"/>
    </w:rPr>
  </w:style>
  <w:style w:type="character" w:customStyle="1" w:styleId="ListLabel49">
    <w:name w:val="ListLabel 49"/>
    <w:qFormat/>
    <w:rPr>
      <w:rFonts w:cs="Times New Roman"/>
      <w:b w:val="0"/>
      <w:i w:val="0"/>
      <w:sz w:val="20"/>
      <w:szCs w:val="24"/>
    </w:rPr>
  </w:style>
  <w:style w:type="character" w:customStyle="1" w:styleId="ListLabel50">
    <w:name w:val="ListLabel 50"/>
    <w:qFormat/>
    <w:rPr>
      <w:b/>
      <w:sz w:val="20"/>
      <w:szCs w:val="20"/>
    </w:rPr>
  </w:style>
  <w:style w:type="character" w:customStyle="1" w:styleId="ListLabel51">
    <w:name w:val="ListLabel 51"/>
    <w:qFormat/>
    <w:rPr>
      <w:rFonts w:cs="Times New Roman"/>
      <w:b w:val="0"/>
      <w:sz w:val="22"/>
    </w:rPr>
  </w:style>
  <w:style w:type="character" w:customStyle="1" w:styleId="ListLabel52">
    <w:name w:val="ListLabel 52"/>
    <w:qFormat/>
    <w:rPr>
      <w:b/>
      <w:sz w:val="20"/>
    </w:rPr>
  </w:style>
  <w:style w:type="character" w:customStyle="1" w:styleId="ListLabel53">
    <w:name w:val="ListLabel 53"/>
    <w:qFormat/>
    <w:rPr>
      <w:b/>
    </w:rPr>
  </w:style>
  <w:style w:type="character" w:customStyle="1" w:styleId="ListLabel54">
    <w:name w:val="ListLabel 54"/>
    <w:qFormat/>
    <w:rPr>
      <w:b/>
      <w:sz w:val="20"/>
    </w:rPr>
  </w:style>
  <w:style w:type="character" w:customStyle="1" w:styleId="ListLabel55">
    <w:name w:val="ListLabel 55"/>
    <w:qFormat/>
    <w:rPr>
      <w:b/>
    </w:rPr>
  </w:style>
  <w:style w:type="character" w:customStyle="1" w:styleId="ListLabel56">
    <w:name w:val="ListLabel 56"/>
    <w:qFormat/>
    <w:rPr>
      <w:rFonts w:cs="Wingdings"/>
    </w:rPr>
  </w:style>
  <w:style w:type="character" w:customStyle="1" w:styleId="ListLabel57">
    <w:name w:val="ListLabel 57"/>
    <w:qFormat/>
    <w:rPr>
      <w:rFonts w:cs="Courier New"/>
    </w:rPr>
  </w:style>
  <w:style w:type="character" w:customStyle="1" w:styleId="ListLabel58">
    <w:name w:val="ListLabel 58"/>
    <w:qFormat/>
    <w:rPr>
      <w:rFonts w:cs="Wingdings"/>
    </w:rPr>
  </w:style>
  <w:style w:type="character" w:customStyle="1" w:styleId="ListLabel59">
    <w:name w:val="ListLabel 59"/>
    <w:qFormat/>
    <w:rPr>
      <w:rFonts w:cs="Symbol"/>
    </w:rPr>
  </w:style>
  <w:style w:type="character" w:customStyle="1" w:styleId="ListLabel60">
    <w:name w:val="ListLabel 60"/>
    <w:qFormat/>
    <w:rPr>
      <w:rFonts w:cs="Courier New"/>
    </w:rPr>
  </w:style>
  <w:style w:type="character" w:customStyle="1" w:styleId="ListLabel61">
    <w:name w:val="ListLabel 61"/>
    <w:qFormat/>
    <w:rPr>
      <w:rFonts w:cs="Wingdings"/>
    </w:rPr>
  </w:style>
  <w:style w:type="character" w:customStyle="1" w:styleId="ListLabel62">
    <w:name w:val="ListLabel 62"/>
    <w:qFormat/>
    <w:rPr>
      <w:rFonts w:cs="Symbol"/>
    </w:rPr>
  </w:style>
  <w:style w:type="character" w:customStyle="1" w:styleId="ListLabel63">
    <w:name w:val="ListLabel 63"/>
    <w:qFormat/>
    <w:rPr>
      <w:rFonts w:cs="Courier New"/>
    </w:rPr>
  </w:style>
  <w:style w:type="character" w:customStyle="1" w:styleId="ListLabel64">
    <w:name w:val="ListLabel 64"/>
    <w:qFormat/>
    <w:rPr>
      <w:rFonts w:cs="Wingdings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qFormat/>
    <w:rsid w:val="00236906"/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qFormat/>
    <w:rsid w:val="00710A71"/>
    <w:rPr>
      <w:bCs w:val="0"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507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AE064D-02B5-4438-AE5D-D4CB343342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2355</Words>
  <Characters>13424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Rackova</cp:lastModifiedBy>
  <cp:revision>5</cp:revision>
  <cp:lastPrinted>2018-03-26T13:36:00Z</cp:lastPrinted>
  <dcterms:created xsi:type="dcterms:W3CDTF">2026-03-29T20:48:00Z</dcterms:created>
  <dcterms:modified xsi:type="dcterms:W3CDTF">2026-03-30T18:42:00Z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