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330524">
        <w:rPr>
          <w:rFonts w:ascii="Times New Roman" w:hAnsi="Times New Roman" w:cs="Times New Roman"/>
          <w:color w:val="000000"/>
          <w:sz w:val="20"/>
          <w:szCs w:val="20"/>
        </w:rPr>
        <w:t xml:space="preserve">Poznámky </w:t>
      </w:r>
      <w:r w:rsidR="00330524" w:rsidRPr="00330524">
        <w:rPr>
          <w:rFonts w:ascii="Times New Roman" w:hAnsi="Times New Roman" w:cs="Times New Roman"/>
          <w:color w:val="231F20"/>
          <w:sz w:val="20"/>
          <w:szCs w:val="20"/>
        </w:rPr>
        <w:t>UZMUJv14_1</w:t>
      </w:r>
      <w:r w:rsidRPr="00330524"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  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IČO : 43915183     DIČ :     2022521908 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Všeobecné údaje o účtovnej jednotke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 (1) , (3) Všeobecné údaje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P Čl. I (1) Obchodné meno účtovnej jednotky: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HRV s.r.o.   Bratislavská 2078/27,   Trenčín 911 01 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(3) Priemerný </w:t>
      </w:r>
      <w:r w:rsidR="008246B7">
        <w:rPr>
          <w:rFonts w:ascii="Times New Roman" w:hAnsi="Times New Roman" w:cs="Times New Roman"/>
          <w:color w:val="000000"/>
          <w:sz w:val="20"/>
          <w:szCs w:val="20"/>
        </w:rPr>
        <w:t>počet zamestnancov :     5</w:t>
      </w:r>
      <w:r w:rsidR="00183841"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95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Informácie o prijatých postupoch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Východiská pre zostavenie účtovnej závierky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Účtovné metódy a všeobecné účtovné zásady Spoločnosť aplikovala konzistentne s predchádzajúcim účtovným obdobím.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(1) Nepretržité pokračovanie účtovnej jednotky</w:t>
      </w:r>
    </w:p>
    <w:p w:rsidR="003F1F20" w:rsidRDefault="003F1F20">
      <w:pPr>
        <w:widowControl w:val="0"/>
        <w:tabs>
          <w:tab w:val="left" w:pos="2945"/>
        </w:tabs>
        <w:autoSpaceDE w:val="0"/>
        <w:autoSpaceDN w:val="0"/>
        <w:adjustRightInd w:val="0"/>
        <w:spacing w:after="0" w:line="100" w:lineRule="atLeast"/>
        <w:ind w:left="80" w:hanging="80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(1) Účtovná uzávierka je zostavená za splnenie predpokladu, že účtovná jednotka bude nepretržite pokračovať vo svojej činnosti: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X Áno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     Nie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73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</w:t>
      </w:r>
    </w:p>
    <w:tbl>
      <w:tblPr>
        <w:tblW w:w="0" w:type="auto"/>
        <w:tblInd w:w="7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11"/>
        <w:gridCol w:w="2819"/>
        <w:gridCol w:w="2318"/>
      </w:tblGrid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7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Popis položky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Ocenenie majetku a záväzkov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8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Poznámka k oceneniu</w:t>
            </w:r>
          </w:p>
        </w:tc>
      </w:tr>
      <w:tr w:rsidR="003F1F20">
        <w:tc>
          <w:tcPr>
            <w:tcW w:w="3711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819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8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obstarávacou cenou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Pohľadávky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Krátkodobý finančný majetok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Záväzky vrátane rezerv, dlhopisov, pôžičiek, úverov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menovitou hodnotou</w:t>
            </w: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1F20">
        <w:tc>
          <w:tcPr>
            <w:tcW w:w="371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Derivátové operácie</w:t>
            </w:r>
          </w:p>
        </w:tc>
        <w:tc>
          <w:tcPr>
            <w:tcW w:w="281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3F1F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1F20" w:rsidRDefault="003F1F20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(2) Spôsob oceňovania jednotlivých položiek majetku a záväzkov (účtovanie a úbytok zásob)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Pri účtovaní zásob postupovala účtovná jednotka podľa § 43 postupov účtovania v PÚ:</w:t>
      </w:r>
    </w:p>
    <w:p w:rsidR="007F5FFD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spôsobom A účtovania zásob    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35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X     </w:t>
      </w:r>
      <w:r w:rsidR="007F5FFD">
        <w:rPr>
          <w:rFonts w:ascii="Times New Roman" w:hAnsi="Times New Roman" w:cs="Times New Roman"/>
          <w:color w:val="000000"/>
          <w:sz w:val="20"/>
          <w:szCs w:val="20"/>
        </w:rPr>
        <w:t xml:space="preserve">    </w:t>
      </w:r>
      <w:r>
        <w:rPr>
          <w:rFonts w:ascii="Times New Roman" w:hAnsi="Times New Roman" w:cs="Times New Roman"/>
          <w:color w:val="000000"/>
          <w:sz w:val="20"/>
          <w:szCs w:val="20"/>
        </w:rPr>
        <w:t>spôsobom B účtovania zásob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Poznámky Úč MÚJ 3-01                      IČO : 43915183     DIČ :     2022521908             </w:t>
      </w:r>
    </w:p>
    <w:p w:rsidR="007F5FFD" w:rsidRDefault="007F5FFD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40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Úbytok zásob rovnakého druhu účtovná jednotka oceňovala: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X    váženým aritmetickým priemerom z obstarávacích cien alebo vlastných nákladov 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metódou FIFO (1. cena na ocenenie prírastku zásob sa použila ako 1. cena na ocenenie úbytku zásob) iným spôsobom: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11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Čl. II (3) Spôsob zostavenia odpisového plánu pre jednotlivé druhy dlhodobého majetku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19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09" w:line="100" w:lineRule="atLeast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 X      Dlhodobý nehmotný majetok</w:t>
      </w:r>
      <w:r>
        <w:rPr>
          <w:rFonts w:ascii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hAnsi="Times New Roman" w:cs="Times New Roman"/>
          <w:color w:val="000000"/>
          <w:sz w:val="20"/>
          <w:szCs w:val="20"/>
        </w:rP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0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ab/>
        <w:t xml:space="preserve">       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198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  X         Dlhodobý hmotný majetok:</w:t>
      </w: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Odpisový plán bol ovplyvnený týmito skutočnosťami: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27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3F1F20" w:rsidRDefault="00E30C31">
      <w:pPr>
        <w:widowControl w:val="0"/>
        <w:tabs>
          <w:tab w:val="left" w:pos="2947"/>
        </w:tabs>
        <w:autoSpaceDE w:val="0"/>
        <w:autoSpaceDN w:val="0"/>
        <w:adjustRightInd w:val="0"/>
        <w:spacing w:after="0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Spôsob zostavenia odpisového plánu pre jednotlivé druhy dlhodobého nehmotného a hmotného majetku</w:t>
      </w:r>
    </w:p>
    <w:tbl>
      <w:tblPr>
        <w:tblW w:w="0" w:type="auto"/>
        <w:tblInd w:w="11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1"/>
        <w:gridCol w:w="2021"/>
        <w:gridCol w:w="1909"/>
        <w:gridCol w:w="1956"/>
      </w:tblGrid>
      <w:tr w:rsidR="003F1F20">
        <w:tc>
          <w:tcPr>
            <w:tcW w:w="289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Druh majetku</w:t>
            </w:r>
          </w:p>
        </w:tc>
        <w:tc>
          <w:tcPr>
            <w:tcW w:w="202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Doba odpisovania</w:t>
            </w:r>
          </w:p>
        </w:tc>
        <w:tc>
          <w:tcPr>
            <w:tcW w:w="19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Sadzba odpisov</w:t>
            </w:r>
          </w:p>
        </w:tc>
        <w:tc>
          <w:tcPr>
            <w:tcW w:w="19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:rsidR="003F1F20" w:rsidRDefault="00E30C3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Odpisová metóda</w:t>
            </w:r>
          </w:p>
        </w:tc>
      </w:tr>
    </w:tbl>
    <w:p w:rsidR="003F1F20" w:rsidRDefault="00E30C31">
      <w:pPr>
        <w:keepNext/>
        <w:keepLines/>
        <w:widowControl w:val="0"/>
        <w:tabs>
          <w:tab w:val="left" w:pos="2947"/>
        </w:tabs>
        <w:autoSpaceDE w:val="0"/>
        <w:autoSpaceDN w:val="0"/>
        <w:adjustRightInd w:val="0"/>
        <w:spacing w:after="282" w:line="264" w:lineRule="auto"/>
        <w:ind w:left="82" w:hanging="8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>Miesto pre ďalšie záznamy</w:t>
      </w:r>
    </w:p>
    <w:p w:rsidR="003F1F20" w:rsidRDefault="003F1F20">
      <w:pPr>
        <w:widowControl w:val="0"/>
        <w:tabs>
          <w:tab w:val="left" w:pos="2947"/>
        </w:tabs>
        <w:autoSpaceDE w:val="0"/>
        <w:autoSpaceDN w:val="0"/>
        <w:adjustRightInd w:val="0"/>
        <w:spacing w:after="8362" w:line="252" w:lineRule="auto"/>
        <w:ind w:left="82" w:hanging="82"/>
        <w:rPr>
          <w:rFonts w:ascii="Times New Roman" w:hAnsi="Times New Roman" w:cs="Times New Roman"/>
          <w:sz w:val="24"/>
          <w:szCs w:val="24"/>
        </w:rPr>
      </w:pPr>
    </w:p>
    <w:p w:rsidR="00E30C31" w:rsidRDefault="00E30C31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lang w:val="sk"/>
        </w:rPr>
      </w:pPr>
    </w:p>
    <w:sectPr w:rsidR="00E30C31" w:rsidSect="007F5FFD">
      <w:pgSz w:w="12240" w:h="15840"/>
      <w:pgMar w:top="1440" w:right="1440" w:bottom="1134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FFD"/>
    <w:rsid w:val="00183841"/>
    <w:rsid w:val="00330524"/>
    <w:rsid w:val="003F1F20"/>
    <w:rsid w:val="004E1F7F"/>
    <w:rsid w:val="007F5FFD"/>
    <w:rsid w:val="008246B7"/>
    <w:rsid w:val="00922DB8"/>
    <w:rsid w:val="00A828D4"/>
    <w:rsid w:val="00B339E7"/>
    <w:rsid w:val="00BB5FBD"/>
    <w:rsid w:val="00D16BF4"/>
    <w:rsid w:val="00E30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2E169F-1007-4120-87A2-BC48D5271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uctovnik</dc:creator>
  <cp:lastModifiedBy>uctovnik</cp:lastModifiedBy>
  <cp:revision>2</cp:revision>
  <dcterms:created xsi:type="dcterms:W3CDTF">2026-03-24T09:11:00Z</dcterms:created>
  <dcterms:modified xsi:type="dcterms:W3CDTF">2026-03-24T09:11:00Z</dcterms:modified>
</cp:coreProperties>
</file>