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</w:pPr>
      <w:r>
        <w:rPr>
          <w:b/>
          <w:color w:val="1F4E79"/>
          <w:sz w:val="32"/>
        </w:rPr>
        <w:t>POZNÁMKY K ÚČTOVNEJ ZÁVIERKE</w:t>
        <w:br/>
      </w:r>
      <w:r>
        <w:rPr>
          <w:b/>
          <w:sz w:val="28"/>
        </w:rPr>
        <w:t>k 31. 12. 2025</w:t>
        <w:br/>
      </w:r>
      <w:r>
        <w:rPr>
          <w:i/>
          <w:sz w:val="21"/>
        </w:rPr>
        <w:t>zostavené podľa Opatrenia MF SR č. MF/23378/2014-74 v znení neskorších predpisov</w:t>
        <w:br/>
        <w:t>pre malé účtovné jednotky</w:t>
      </w:r>
    </w:p>
    <w:p/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521"/>
        <w:gridCol w:w="2521"/>
        <w:gridCol w:w="2521"/>
        <w:gridCol w:w="2521"/>
      </w:tblGrid>
      <w:tr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Účtovná jednotka</w:t>
            </w:r>
          </w:p>
        </w:tc>
        <w:tc>
          <w:tcPr>
            <w:tcW w:type="dxa" w:w="3685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Slovwelding, s.r.o.</w:t>
            </w:r>
          </w:p>
        </w:tc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IČO</w:t>
            </w:r>
          </w:p>
        </w:tc>
        <w:tc>
          <w:tcPr>
            <w:tcW w:type="dxa" w:w="1814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36681202</w:t>
            </w:r>
          </w:p>
        </w:tc>
      </w:tr>
      <w:tr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Sídlo</w:t>
            </w:r>
          </w:p>
        </w:tc>
        <w:tc>
          <w:tcPr>
            <w:tcW w:type="dxa" w:w="3685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Mudroňová 1567/35, 934 01 Levice</w:t>
            </w:r>
          </w:p>
        </w:tc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DIČ / IČ DPH</w:t>
            </w:r>
          </w:p>
        </w:tc>
        <w:tc>
          <w:tcPr>
            <w:tcW w:type="dxa" w:w="1814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2022254223 / SK2022254223</w:t>
            </w:r>
          </w:p>
        </w:tc>
      </w:tr>
      <w:tr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Účtovné obdobie</w:t>
            </w:r>
          </w:p>
        </w:tc>
        <w:tc>
          <w:tcPr>
            <w:tcW w:type="dxa" w:w="3685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01.01.2025 – 31.12.2025</w:t>
            </w:r>
          </w:p>
        </w:tc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Druh závierky</w:t>
            </w:r>
          </w:p>
        </w:tc>
        <w:tc>
          <w:tcPr>
            <w:tcW w:type="dxa" w:w="1814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Riadna, malá účtovná jednotka</w:t>
            </w:r>
          </w:p>
        </w:tc>
      </w:tr>
      <w:tr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Dátum zostavenia</w:t>
            </w:r>
          </w:p>
        </w:tc>
        <w:tc>
          <w:tcPr>
            <w:tcW w:type="dxa" w:w="3685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10.04.2026</w:t>
            </w:r>
          </w:p>
        </w:tc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Dátum schválenia</w:t>
            </w:r>
          </w:p>
        </w:tc>
        <w:tc>
          <w:tcPr>
            <w:tcW w:type="dxa" w:w="1814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10.04.2026</w:t>
            </w:r>
          </w:p>
        </w:tc>
      </w:tr>
      <w:tr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Hospodársky výsledok po zdanení</w:t>
            </w:r>
          </w:p>
        </w:tc>
        <w:tc>
          <w:tcPr>
            <w:tcW w:type="dxa" w:w="3685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2 315 643</w:t>
            </w:r>
          </w:p>
        </w:tc>
        <w:tc>
          <w:tcPr>
            <w:tcW w:type="dxa" w:w="1928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Celkové aktíva</w:t>
            </w:r>
          </w:p>
        </w:tc>
        <w:tc>
          <w:tcPr>
            <w:tcW w:type="dxa" w:w="1814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9F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4 683 600</w:t>
            </w:r>
          </w:p>
        </w:tc>
      </w:tr>
    </w:tbl>
    <w:p/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10086"/>
      </w:tblGrid>
      <w:tr>
        <w:tc>
          <w:tcPr>
            <w:tcW w:type="dxa" w:w="10086"/>
            <w:shd w:fill="FFF2CC"/>
            <w:tcMar>
              <w:top w:w="100" w:type="dxa"/>
              <w:start w:w="120" w:type="dxa"/>
              <w:bottom w:w="100" w:type="dxa"/>
              <w:end w:w="120" w:type="dxa"/>
            </w:tcMar>
          </w:tcPr>
          <w:p>
            <w:r>
              <w:rPr>
                <w:rFonts w:ascii="Calibri" w:hAnsi="Calibri"/>
              </w:rPr>
              <w:t>Údaj o priemernom prepočítanom počte zamestnancov za rok 2025 bol doplnený podľa interných podkladov účtovnej jednotky. Účtovná jednotka zároveň potvrdila, že nie je súčasťou konsolidovaného celku.</w:t>
            </w:r>
          </w:p>
        </w:tc>
      </w:tr>
    </w:tbl>
    <w:p/>
    <w:p>
      <w:pPr>
        <w:pStyle w:val="Heading1"/>
      </w:pPr>
      <w:r>
        <w:rPr>
          <w:color w:val="1F4E79"/>
        </w:rPr>
        <w:t>Článok I – Všeobecné informácie</w:t>
      </w:r>
    </w:p>
    <w:p>
      <w:pPr>
        <w:pStyle w:val="Heading2"/>
      </w:pPr>
      <w:r>
        <w:rPr>
          <w:color w:val="444444"/>
        </w:rPr>
        <w:t>1. Základné identifikačné údaje účtovnej jednotky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5043"/>
        <w:gridCol w:w="5043"/>
      </w:tblGrid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AF2F8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Obchodné meno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AF2F8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Slovwelding, s.r.o.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Sídlo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Mudroňová 1567/35, 934 01 Levice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IČO / DIČ / IČ DPH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36681202 / 2022254223 / SK2022254223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Právna forma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spoločnosť s ručením obmedzeným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Dátum vzniku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30.09.2006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Zápis v obchodnom registri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Obchodný register Okresného súdu Nitra, oddiel Sro, vložka č. 18696/N</w:t>
            </w:r>
          </w:p>
        </w:tc>
      </w:tr>
      <w:tr>
        <w:tc>
          <w:tcPr>
            <w:tcW w:type="dxa" w:w="289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Hlavný predmet činnosti</w:t>
            </w:r>
          </w:p>
        </w:tc>
        <w:tc>
          <w:tcPr>
            <w:tcW w:type="dxa" w:w="6236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9"/>
              </w:rPr>
              <w:t>SK NACE 25.62.0 – opracovanie kovov; zváracie, montážne a údržbové práce na potrubných systémoch a oceľových konštrukciách</w:t>
            </w:r>
          </w:p>
        </w:tc>
      </w:tr>
    </w:tbl>
    <w:p>
      <w:pPr>
        <w:pStyle w:val="Heading2"/>
      </w:pPr>
      <w:r>
        <w:rPr>
          <w:color w:val="444444"/>
        </w:rPr>
        <w:t>2. Opis hospodárskej činnosti</w:t>
      </w:r>
    </w:p>
    <w:p>
      <w:pPr>
        <w:spacing w:after="80" w:line="269" w:lineRule="auto"/>
      </w:pPr>
      <w:r>
        <w:t>Opracovanie kovov; spoločnosť sa podľa dostupných podkladov a webového profilu zameriava najmä na zváranie, montáže a opravy potrubí, údržbu a opravy potrubných systémov a oceľových konštrukcií, najmä pre projekty v rámci EÚ a Škandinávie.</w:t>
      </w:r>
    </w:p>
    <w:p>
      <w:pPr>
        <w:spacing w:after="80" w:line="269" w:lineRule="auto"/>
      </w:pPr>
      <w:r>
        <w:t>Spoločnosť realizuje zákazky najmä v oblasti energetiky, petrochemického, potravinárskeho a farmaceutického priemyslu. Podľa dostupných podkladov pôsobí najmä na projektoch v rámci Európskej únie a Škandinávie.</w:t>
      </w:r>
    </w:p>
    <w:p>
      <w:pPr>
        <w:pStyle w:val="Heading2"/>
      </w:pPr>
      <w:r>
        <w:rPr>
          <w:color w:val="444444"/>
        </w:rPr>
        <w:t>3. Právny dôvod zostavenia účtovnej závierky</w:t>
      </w:r>
    </w:p>
    <w:p>
      <w:pPr>
        <w:spacing w:after="80" w:line="269" w:lineRule="auto"/>
      </w:pPr>
      <w:r>
        <w:t>Účtovná závierka bola zostavená ako riadna individuálna účtovná závierka za účtovné obdobie od 1. januára 2025 do 31. decembra 2025.</w:t>
      </w:r>
    </w:p>
    <w:p>
      <w:pPr>
        <w:spacing w:after="80" w:line="269" w:lineRule="auto"/>
      </w:pPr>
      <w:r>
        <w:t>Účtovná jednotka bola v zostavenej účtovnej závierke klasifikovaná ako malá účtovná jednotka.</w:t>
      </w:r>
    </w:p>
    <w:p>
      <w:pPr>
        <w:pStyle w:val="Heading2"/>
      </w:pPr>
      <w:r>
        <w:rPr>
          <w:color w:val="444444"/>
        </w:rPr>
        <w:t>4. Priemerný počet zamestnancov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5043"/>
        <w:gridCol w:w="5043"/>
      </w:tblGrid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2C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Ukazovateľ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2CC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Údaj za rok 2025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Priemerný prepočítaný počet zamestnancov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r>
              <w:rPr>
                <w:rFonts w:ascii="Calibri" w:hAnsi="Calibri"/>
              </w:rPr>
              <w:t>2,75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D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Poznámka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DF3"/>
          </w:tcPr>
          <w:p>
            <w:r>
              <w:rPr>
                <w:rFonts w:ascii="Calibri" w:hAnsi="Calibri"/>
              </w:rPr>
              <w:t>Priemerný prepočítaný počet zamestnancov za rok 2025 bol určený ako 33/12 = 2,75 podľa interných mzdových podkladov účtovnej jednotky.</w:t>
            </w:r>
          </w:p>
        </w:tc>
      </w:tr>
    </w:tbl>
    <w:p>
      <w:pPr>
        <w:pStyle w:val="Heading2"/>
      </w:pPr>
      <w:r>
        <w:rPr>
          <w:color w:val="444444"/>
        </w:rPr>
        <w:t>5. Informácie o orgánoch a spoločníkoch spoločnosti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3362"/>
        <w:gridCol w:w="3362"/>
        <w:gridCol w:w="3362"/>
      </w:tblGrid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Spoločník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Vklad (EUR)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Podiel na základnom imaní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J Bengtsson Holding AB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5 437,00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36,25 %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Zbyněk Puk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4 688,00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31,25 %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Michal Szalontai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3 375,00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22,50 %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Guttviksbolaget B. Dahlberg AB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1 500,00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10,00 %</w:t>
            </w:r>
          </w:p>
        </w:tc>
      </w:tr>
    </w:tbl>
    <w:p>
      <w:pPr>
        <w:spacing w:after="80" w:line="269" w:lineRule="auto"/>
      </w:pPr>
      <w:r>
        <w:t>Základné imanie spoločnosti je splatené v plnej výške.</w:t>
      </w:r>
    </w:p>
    <w:p>
      <w:pPr>
        <w:pStyle w:val="Heading2"/>
      </w:pPr>
      <w:r>
        <w:rPr>
          <w:color w:val="444444"/>
        </w:rPr>
        <w:t>6. Informácie o konsolidovanom celku</w:t>
      </w:r>
    </w:p>
    <w:p>
      <w:pPr>
        <w:spacing w:after="80" w:line="269" w:lineRule="auto"/>
      </w:pPr>
      <w:r>
        <w:t>Spoločnosť nie je súčasťou konsolidovaného celku a nezostavuje konsolidovanú účtovnú závierku.</w:t>
      </w:r>
    </w:p>
    <w:p>
      <w:pPr>
        <w:pStyle w:val="Heading1"/>
      </w:pPr>
      <w:r>
        <w:rPr>
          <w:color w:val="1F4E79"/>
        </w:rPr>
        <w:t>Článok II – Informácie o prijatých postupoch</w:t>
      </w:r>
    </w:p>
    <w:p>
      <w:pPr>
        <w:pStyle w:val="Heading2"/>
      </w:pPr>
      <w:r>
        <w:rPr>
          <w:color w:val="444444"/>
        </w:rPr>
        <w:t>1. Východiská pre zostavenie účtovnej závierky</w:t>
      </w:r>
    </w:p>
    <w:p>
      <w:pPr>
        <w:spacing w:after="80" w:line="269" w:lineRule="auto"/>
      </w:pPr>
      <w:r>
        <w:t>Účtovná závierka bola zostavená za predpokladu nepretržitého pokračovania v činnosti účtovnej jednotky.</w:t>
      </w:r>
    </w:p>
    <w:p>
      <w:pPr>
        <w:spacing w:after="80" w:line="269" w:lineRule="auto"/>
      </w:pPr>
      <w:r>
        <w:t>Účtovné metódy a všeobecné účtovné zásady boli aplikované konzistentne s predchádzajúcim účtovným obdobím, ak nie je ďalej uvedené inak.</w:t>
      </w:r>
    </w:p>
    <w:p>
      <w:pPr>
        <w:pStyle w:val="Heading2"/>
      </w:pPr>
      <w:r>
        <w:rPr>
          <w:color w:val="444444"/>
        </w:rPr>
        <w:t>2. Spôsob oceňovania jednotlivých zložiek majetku a záväzkov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5043"/>
        <w:gridCol w:w="5043"/>
      </w:tblGrid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Použitý spôsob oceňovania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Dlhodobý hmotný majetok obstaraný kúpou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obstarávacou cenou vrátane nákladov súvisiacich s obstaraním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Pohľadávky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menovitou hodnotou; pri pochybných a rizikových pohľadávkach po zohľadnení opravnej položky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Peňažné prostriedky a ceniny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menovitou hodnotou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Záväzky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menovitou hodnotou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Časové rozlíšenie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 sume potrebnej na dodržanie zásady vecnej a časovej súvislosti</w:t>
            </w:r>
          </w:p>
        </w:tc>
      </w:tr>
      <w:tr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z príjmov</w:t>
            </w:r>
          </w:p>
        </w:tc>
        <w:tc>
          <w:tcPr>
            <w:tcW w:type="dxa" w:w="5043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BFBFB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splatná daň z príjmov; odložená daň v účtovnom období nebola vykázaná</w:t>
            </w:r>
          </w:p>
        </w:tc>
      </w:tr>
    </w:tbl>
    <w:p>
      <w:pPr>
        <w:pStyle w:val="Heading2"/>
      </w:pPr>
      <w:r>
        <w:rPr>
          <w:color w:val="444444"/>
        </w:rPr>
        <w:t>3. Odpisový plán dlhodobého hmotného majetku</w:t>
      </w:r>
    </w:p>
    <w:p>
      <w:pPr>
        <w:spacing w:after="80" w:line="269" w:lineRule="auto"/>
      </w:pPr>
      <w:r>
        <w:t>Účtovná jednotka uplatňuje pri dlhodobom hmotnom majetku časové odpisovanie. Odpisy sa určujú rovnomerne na základe predpokladanej doby používania jednotlivých druhov majetku.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3362"/>
        <w:gridCol w:w="3362"/>
        <w:gridCol w:w="3362"/>
      </w:tblGrid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Skupina majetku / príklad z evidencie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Predpokladaná doba odpisovania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Poznámka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Motorové vozidlá a notebook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 roky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vyplýva z evidovaného ročného odpisu v účtovníctve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Technologické zariadenia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6 rokov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vyplýva z evidovaného ročného odpisu v účtovníctve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Skladový stan PVC 800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podľa individuálneho odpisového plánu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ročný odpis 150,18 EUR v roku 2025</w:t>
            </w:r>
          </w:p>
        </w:tc>
      </w:tr>
    </w:tbl>
    <w:p>
      <w:pPr>
        <w:pStyle w:val="Heading2"/>
      </w:pPr>
      <w:r>
        <w:rPr>
          <w:color w:val="444444"/>
        </w:rPr>
        <w:t>4. Opravné položky, rezervy a opravy chýb minulých období</w:t>
      </w:r>
    </w:p>
    <w:p>
      <w:pPr>
        <w:spacing w:after="80" w:line="269" w:lineRule="auto"/>
      </w:pPr>
      <w:r>
        <w:t>K 31. 12. 2025 účtovná jednotka vykazuje opravnú položku k pohľadávkam vo výške 220 EUR. V účtovnom období neboli vo výkazoch vykázané rezervy.</w:t>
      </w:r>
    </w:p>
    <w:p>
      <w:pPr>
        <w:spacing w:after="80" w:line="269" w:lineRule="auto"/>
      </w:pPr>
      <w:r>
        <w:t>V účtovnom období neboli identifikované významné opravy chýb minulých účtovných období, ktoré by mali vplyv na porovnateľnosť údajov vo výkazoch.</w:t>
      </w:r>
    </w:p>
    <w:p>
      <w:pPr>
        <w:pStyle w:val="Heading1"/>
      </w:pPr>
      <w:r>
        <w:rPr>
          <w:color w:val="1F4E79"/>
        </w:rPr>
        <w:t>Článok III – Informácie, ktoré vysvetľujú a dopĺňajú súvahu a výkaz ziskov a strát</w:t>
      </w:r>
    </w:p>
    <w:p>
      <w:pPr>
        <w:pStyle w:val="Heading2"/>
      </w:pPr>
      <w:r>
        <w:rPr>
          <w:color w:val="444444"/>
        </w:rPr>
        <w:t>1. Dlhodobý hmotný majetok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017"/>
        <w:gridCol w:w="2017"/>
        <w:gridCol w:w="2017"/>
        <w:gridCol w:w="2017"/>
        <w:gridCol w:w="2017"/>
      </w:tblGrid>
      <w:tr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Stav k 1.1.2025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Prírastky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Úbytky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Stav k 31.12.2025</w:t>
            </w:r>
          </w:p>
        </w:tc>
      </w:tr>
      <w:tr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Obstarávacia cena DHM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196 446,53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3 604,39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0,00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200 050,92</w:t>
            </w:r>
          </w:p>
        </w:tc>
      </w:tr>
      <w:tr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Oprávky a oprávnené zníženia hodnoty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149 013,58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16 933,46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0,00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165 947,04</w:t>
            </w:r>
          </w:p>
        </w:tc>
      </w:tr>
      <w:tr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Zostatková hodnota DHM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47 432,95</w:t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  <w:tc>
          <w:tcPr>
            <w:tcW w:type="dxa" w:w="2017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34 103,88</w:t>
            </w:r>
          </w:p>
        </w:tc>
      </w:tr>
    </w:tbl>
    <w:p>
      <w:pPr>
        <w:spacing w:after="80" w:line="269" w:lineRule="auto"/>
      </w:pPr>
      <w:r>
        <w:t>V roku 2025 bol vykázaný prírastok dlhodobého hmotného majetku vo výške 3 604,39 EUR (skladový stan PVC 800). Účtovné odpisy za rok 2025 dosiahli 16 933,46 EUR.</w:t>
      </w:r>
    </w:p>
    <w:p>
      <w:pPr>
        <w:pStyle w:val="Heading2"/>
      </w:pPr>
      <w:r>
        <w:rPr>
          <w:color w:val="444444"/>
        </w:rPr>
        <w:t>2. Pohľadávky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521"/>
        <w:gridCol w:w="2521"/>
        <w:gridCol w:w="2521"/>
        <w:gridCol w:w="2521"/>
      </w:tblGrid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Druh pohľadávok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Komentár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Krátkodobé pohľadávky z obchodného styku (netto)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551 596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667 724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 zohľadnení opravnej položky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Daňové pohľadávky a dotácie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125 003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15 715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najmä preddavky na daň a súvisiace daňové položky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Ostatné krátkodobé pohľadávky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2 766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30 000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ostatné pohľadávky krátkodobého charakteru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Krátkodobé pohľadávky spolu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679 365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788 322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súčet vykázaný v súvahe</w:t>
            </w:r>
          </w:p>
        </w:tc>
      </w:tr>
    </w:tbl>
    <w:p>
      <w:pPr>
        <w:spacing w:after="80" w:line="269" w:lineRule="auto"/>
      </w:pPr>
      <w:r>
        <w:t>Účtovná jednotka k 31. 12. 2025 nevykazuje dlhodobé pohľadávky. Opravná položka k pohľadávkam predstavuje 220 EUR.</w:t>
      </w:r>
    </w:p>
    <w:p>
      <w:pPr>
        <w:pStyle w:val="Heading2"/>
      </w:pPr>
      <w:r>
        <w:rPr>
          <w:color w:val="444444"/>
        </w:rPr>
        <w:t>3. Krátkodobý finančný majetok a časové rozlíšenie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521"/>
        <w:gridCol w:w="2521"/>
        <w:gridCol w:w="2521"/>
        <w:gridCol w:w="2521"/>
      </w:tblGrid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Komentár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Pokladnica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20 208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25 131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Bankové účty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3 948 591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3 747 797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vrátane zúčtovania bankových operácií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Finančné účty spolu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3 968 799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3 772 928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Krátkodobé náklady budúcich období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1 332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1 332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predovšetkým poistné</w:t>
            </w:r>
          </w:p>
        </w:tc>
      </w:tr>
    </w:tbl>
    <w:p>
      <w:pPr>
        <w:pStyle w:val="Heading2"/>
      </w:pPr>
      <w:r>
        <w:rPr>
          <w:color w:val="444444"/>
        </w:rPr>
        <w:t>4. Vlastné imanie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3362"/>
        <w:gridCol w:w="3362"/>
        <w:gridCol w:w="3362"/>
      </w:tblGrid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31.12.2025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31.12.2024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Základné imanie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15 000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15 000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Zákonný rezervný fond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1 500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1 500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Nerozdelený zisk minulých rokov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2 172 796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1 998 873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Výsledok hospodárenia po zdanení za účtovné obdobie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2 315 643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AFAFA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2 414 218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Vlastné imanie spolu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4 504 939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4 429 591</w:t>
            </w:r>
          </w:p>
        </w:tc>
      </w:tr>
    </w:tbl>
    <w:p>
      <w:pPr>
        <w:spacing w:after="80" w:line="269" w:lineRule="auto"/>
      </w:pPr>
      <w:r>
        <w:t>Výsledok hospodárenia za rok 2025 po zdanení bude rozdelený na základe rozhodnutia valného zhromaždenia v nasledujúcom účtovnom období.</w:t>
      </w:r>
    </w:p>
    <w:p>
      <w:pPr>
        <w:pStyle w:val="Heading2"/>
      </w:pPr>
      <w:r>
        <w:rPr>
          <w:color w:val="444444"/>
        </w:rPr>
        <w:t>5. Záväzky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521"/>
        <w:gridCol w:w="2521"/>
        <w:gridCol w:w="2521"/>
        <w:gridCol w:w="2521"/>
      </w:tblGrid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31.12.2024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E2F0D9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Poznámka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Dlhodobé záväzky – sociálny fond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1 764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2 003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Krátkodobé záväzky z obchodného styku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148 868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170 191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vrátane bežných dodávateľských záväzkov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Záväzky voči zamestnancom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4 867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3 402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Záväzky zo sociálneho poistenia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3 749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2 411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Daňové záväzky a dotácie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19 413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1 085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najmä daň z príjmov, zrážková daň a iné daňové povinnosti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Záväzky spolu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178 661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179 092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</w:tbl>
    <w:p>
      <w:pPr>
        <w:spacing w:after="80" w:line="269" w:lineRule="auto"/>
      </w:pPr>
      <w:r>
        <w:t>K 31. 12. 2025 spoločnosť nevykazuje bankové úvery ani krátkodobé finančné výpomoci.</w:t>
      </w:r>
    </w:p>
    <w:p>
      <w:pPr>
        <w:pStyle w:val="Heading2"/>
      </w:pPr>
      <w:r>
        <w:rPr>
          <w:color w:val="444444"/>
        </w:rPr>
        <w:t>6. Výnosy a náklady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2521"/>
        <w:gridCol w:w="2521"/>
        <w:gridCol w:w="2521"/>
        <w:gridCol w:w="2521"/>
      </w:tblGrid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Ukazovateľ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Rok 2025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Rok 2024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2F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Komentár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Čistý obrat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9 289 701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9 441 791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Výnosy z hospodárskej činnosti spolu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9 289 701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9 441 791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Tržby z predaja služieb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8 522 875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8 440 236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dominantná zložka výnosov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Tržby z predaja materiálu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437 316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496 487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predaj materiálu a súvisiacich položiek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Ostatné prevádzkové výnosy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329 511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505 068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najmä ostatné prevádzkové výnosy, refakturácie a vrátenia DPH SEK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Náklady na služby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5 372 210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5 447 393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rozhodujúca nákladová položka spoločnosti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Spotreba materiálu, energie a ostatných neskladovateľných dodávok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504 714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590 314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Osobné náklady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105 853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76 801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Dane a poplatky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19 168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765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 roku 2025 významne ovplyvnené transakčnou daňou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Odpisy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16 933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13 149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Ostatné prevádzkové náklady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20 140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18 044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najmä dary, poistné, škody a odpis pohľadávky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Výsledok hospodárenia z hospodárskej činnosti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3 250 683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3 295 325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Výsledok hospodárenia z finančnej činnosti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-198 089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-216 898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ovplyvnený najmä kurzovými rozdielmi pri operáciách v SEK</w:t>
            </w:r>
          </w:p>
        </w:tc>
      </w:tr>
      <w:tr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Výsledok hospodárenia pred zdanením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3 052 594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3 078 427</w:t>
            </w:r>
          </w:p>
        </w:tc>
        <w:tc>
          <w:tcPr>
            <w:tcW w:type="dxa" w:w="2521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8FAFD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</w:r>
          </w:p>
        </w:tc>
      </w:tr>
    </w:tbl>
    <w:p>
      <w:pPr>
        <w:pStyle w:val="Heading2"/>
      </w:pPr>
      <w:r>
        <w:rPr>
          <w:color w:val="444444"/>
        </w:rPr>
        <w:t>7. Daň z príjmov</w:t>
      </w:r>
    </w:p>
    <w:p>
      <w:pPr>
        <w:spacing w:after="80" w:line="269" w:lineRule="auto"/>
      </w:pPr>
      <w:r>
        <w:t>Výsledok hospodárenia pred zdanením dosiahol 3 052 593,70 EUR. Pripočítateľné položky podľa daňového priznania predstavovali 18 032,93 EUR a základ dane za rok 2025 bol vykázaný vo výške 3 070 626,63 EUR.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3362"/>
        <w:gridCol w:w="3362"/>
        <w:gridCol w:w="3362"/>
      </w:tblGrid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Položka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Suma v EUR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CE4D6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Poznámka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z príjmov celkom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736 950,39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splatná daň za účtovné obdobie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z príjmov v SR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111 574,68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daňová povinnosť pripadajúca na Slovenskú republiku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z príjmov vo Švédsku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625 375,71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súvisiaca so švédskou stálou prevádzkarňou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Pripočítateľné položky – reprezentácia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13 443,47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nedaňové náklady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Pripočítateľné položky – dary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3 000,00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nedaňové náklady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Pripočítateľné položky – odpis pohľadávky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374,21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FF8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nedaňové náklady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Pripočítateľné položky – škody a úroky z omeškania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1 215,25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nedaňové náklady</w:t>
            </w:r>
          </w:p>
        </w:tc>
      </w:tr>
    </w:tbl>
    <w:p>
      <w:pPr>
        <w:spacing w:after="80" w:line="269" w:lineRule="auto"/>
      </w:pPr>
      <w:r>
        <w:t>Odložená daň z príjmov nebola k 31. 12. 2025 vykázaná.</w:t>
      </w:r>
    </w:p>
    <w:p>
      <w:pPr>
        <w:pStyle w:val="Heading2"/>
      </w:pPr>
      <w:r>
        <w:rPr>
          <w:color w:val="444444"/>
        </w:rPr>
        <w:t>8. Stála prevádzkareň vo Švédsku</w:t>
      </w:r>
    </w:p>
    <w:p>
      <w:pPr>
        <w:spacing w:after="80" w:line="269" w:lineRule="auto"/>
      </w:pPr>
      <w:r>
        <w:t>Podľa podkladov použitých pri zostavení daňového priznania bola významná časť činnosti spoločnosti v roku 2025 priradená švédskej stálej prevádzkarni. Na základe pomeru vystavených faktúr za rok 2025 bol použitý alokačný kľúč 99,45 % pre Švédsko a 0,55 % pre Slovenskú republiku.</w:t>
      </w:r>
    </w:p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3362"/>
        <w:gridCol w:w="3362"/>
        <w:gridCol w:w="3362"/>
      </w:tblGrid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Ukazovateľ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Suma v EUR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D9EAD3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8"/>
              </w:rPr>
              <w:t>Poznámka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Základ dane priradený švédskej stálej prevádzkarni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3 053 738,18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podľa podkladu k daňovému priznaniu</w:t>
            </w:r>
          </w:p>
        </w:tc>
      </w:tr>
      <w:tr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Daň z príjmov vo Švédsku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625 375,71</w:t>
            </w:r>
          </w:p>
        </w:tc>
        <w:tc>
          <w:tcPr>
            <w:tcW w:type="dxa" w:w="3362"/>
            <w:vAlign w:val="center"/>
            <w:tcMar>
              <w:top w:w="80" w:type="dxa"/>
              <w:start w:w="100" w:type="dxa"/>
              <w:bottom w:w="80" w:type="dxa"/>
              <w:end w:w="100" w:type="dxa"/>
            </w:tcMar>
            <w:shd w:fill="F7FBF4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sz w:val="18"/>
              </w:rPr>
              <w:t>súčasť splatnej dane za rok 2025</w:t>
            </w:r>
          </w:p>
        </w:tc>
      </w:tr>
    </w:tbl>
    <w:p>
      <w:pPr>
        <w:pStyle w:val="Heading2"/>
      </w:pPr>
      <w:r>
        <w:rPr>
          <w:color w:val="444444"/>
        </w:rPr>
        <w:t>9. Podsúvahové položky, deriváty a podmienené záväzky</w:t>
      </w:r>
    </w:p>
    <w:p>
      <w:pPr>
        <w:spacing w:after="80" w:line="269" w:lineRule="auto"/>
      </w:pPr>
      <w:r>
        <w:t>Na základe predložených podkladov účtovná jednotka k 31. 12. 2025 nevykazuje podsúvahové položky, derivátové operácie, bankové úvery ani tvorbu rezerv. Neboli identifikované ani významné podmienené záväzky, ktoré by bolo potrebné osobitne uviesť v týchto poznámkach.</w:t>
      </w:r>
    </w:p>
    <w:p>
      <w:pPr>
        <w:pStyle w:val="Heading2"/>
      </w:pPr>
      <w:r>
        <w:rPr>
          <w:color w:val="444444"/>
        </w:rPr>
        <w:t>10. Skutočnosti po dni, ku ktorému sa zostavuje účtovná závierka</w:t>
      </w:r>
    </w:p>
    <w:p>
      <w:pPr>
        <w:spacing w:after="80" w:line="269" w:lineRule="auto"/>
      </w:pPr>
      <w:r>
        <w:t>Do dňa zostavenia účtovnej závierky neboli na základe dostupných informácií identifikované také významné skutočnosti, ktoré by vyžadovali úpravu údajov vykázaných v účtovnej závierke k 31. 12. 2025. Ak by účtovná jednotka identifikovala ďalšie významné skutočnosti po tomto dni, odporúča sa doplniť ich do finálnej verzie poznámok pred podpisom.</w:t>
      </w:r>
    </w:p>
    <w:p/>
    <w:p>
      <w:pPr>
        <w:spacing w:before="360"/>
      </w:pPr>
      <w:r>
        <w:rPr>
          <w:i/>
        </w:rPr>
        <w:t>V Leviciach dňa 10.04.2026</w:t>
      </w:r>
    </w:p>
    <w:p/>
    <w:tbl>
      <w:tblPr>
        <w:tblStyle w:val="TableGrid"/>
        <w:tblW w:type="auto" w:w="0"/>
        <w:jc w:val="center"/>
        <w:tblLook w:firstColumn="1" w:firstRow="1" w:lastColumn="0" w:lastRow="0" w:noHBand="0" w:noVBand="1" w:val="04A0"/>
      </w:tblPr>
      <w:tblGrid>
        <w:gridCol w:w="5043"/>
        <w:gridCol w:w="5043"/>
      </w:tblGrid>
      <w:tr>
        <w:tc>
          <w:tcPr>
            <w:tcW w:type="dxa" w:w="5043"/>
            <w:vAlign w:val="center"/>
            <w:tcMar>
              <w:top w:w="260" w:type="dxa"/>
              <w:start w:w="100" w:type="dxa"/>
              <w:bottom w:w="380" w:type="dxa"/>
              <w:end w:w="100" w:type="dxa"/>
            </w:tcMar>
            <w:shd w:fill="FFFFFF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Zostavil:</w:t>
            </w:r>
          </w:p>
        </w:tc>
        <w:tc>
          <w:tcPr>
            <w:tcW w:type="dxa" w:w="5043"/>
            <w:vAlign w:val="center"/>
            <w:tcMar>
              <w:top w:w="260" w:type="dxa"/>
              <w:start w:w="100" w:type="dxa"/>
              <w:bottom w:w="380" w:type="dxa"/>
              <w:end w:w="100" w:type="dxa"/>
            </w:tcMar>
            <w:shd w:fill="FFFFFF"/>
          </w:tcPr>
          <w:p>
            <w:pPr>
              <w:spacing w:before="0" w:after="0" w:line="252" w:lineRule="auto"/>
            </w:pPr>
            <w:r>
              <w:rPr>
                <w:rFonts w:ascii="Calibri" w:hAnsi="Calibri"/>
                <w:b/>
                <w:sz w:val="19"/>
              </w:rPr>
              <w:t>Schválil / podpis štatutárneho orgánu:</w:t>
            </w:r>
          </w:p>
        </w:tc>
      </w:tr>
    </w:tbl>
    <w:sectPr w:rsidR="00FC693F" w:rsidRPr="0006063C" w:rsidSect="00034616">
      <w:pgSz w:w="12240" w:h="15840"/>
      <w:pgMar w:top="1134" w:right="1020" w:bottom="1020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Aptos" w:hAnsi="Aptos" w:eastAsia="Aptos"/>
      <w:sz w:val="21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 w:ascii="Aptos Display" w:hAnsi="Aptos Display" w:eastAsia="Aptos Display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 w:ascii="Aptos Display" w:hAnsi="Aptos Display" w:eastAsia="Aptos Display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 w:ascii="Aptos Display" w:hAnsi="Aptos Display" w:eastAsia="Aptos Display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