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35D" w:rsidRDefault="00C22852">
      <w:pPr>
        <w:spacing w:after="120"/>
        <w:jc w:val="center"/>
      </w:pPr>
      <w:r>
        <w:rPr>
          <w:rFonts w:ascii="Arial Narrow" w:eastAsia="Arial Narrow" w:hAnsi="Arial Narrow" w:cs="Arial Narrow"/>
          <w:b/>
          <w:sz w:val="24"/>
        </w:rPr>
        <w:t>POZNÁMKY K ÚČTOVNEJ ZÁVIERKE 20</w:t>
      </w:r>
      <w:r w:rsidR="006B6116">
        <w:rPr>
          <w:rFonts w:ascii="Arial Narrow" w:eastAsia="Arial Narrow" w:hAnsi="Arial Narrow" w:cs="Arial Narrow"/>
          <w:b/>
          <w:sz w:val="24"/>
        </w:rPr>
        <w:t>2</w:t>
      </w:r>
      <w:r w:rsidR="00115585">
        <w:rPr>
          <w:rFonts w:ascii="Arial Narrow" w:eastAsia="Arial Narrow" w:hAnsi="Arial Narrow" w:cs="Arial Narrow"/>
          <w:b/>
          <w:sz w:val="24"/>
        </w:rPr>
        <w:t>5</w:t>
      </w:r>
    </w:p>
    <w:p w:rsidR="0042735D" w:rsidRDefault="00C22852">
      <w:pPr>
        <w:jc w:val="center"/>
      </w:pPr>
      <w:r>
        <w:rPr>
          <w:rFonts w:ascii="Arial Narrow" w:eastAsia="Arial Narrow" w:hAnsi="Arial Narrow" w:cs="Arial Narrow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42735D" w:rsidRDefault="00C22852">
      <w:pPr>
        <w:jc w:val="center"/>
      </w:pPr>
      <w:r>
        <w:rPr>
          <w:rFonts w:ascii="Arial Narrow" w:eastAsia="Arial Narrow" w:hAnsi="Arial Narrow" w:cs="Arial Narrow"/>
          <w:b/>
        </w:rPr>
        <w:t>pre malé účtovné jednotky</w:t>
      </w:r>
    </w:p>
    <w:p w:rsidR="0042735D" w:rsidRDefault="0042735D"/>
    <w:p w:rsidR="0042735D" w:rsidRDefault="00C22852">
      <w:pPr>
        <w:jc w:val="center"/>
      </w:pPr>
      <w:r>
        <w:rPr>
          <w:rFonts w:ascii="Arial Narrow" w:eastAsia="Arial Narrow" w:hAnsi="Arial Narrow" w:cs="Arial Narrow"/>
          <w:b/>
          <w:u w:val="single"/>
        </w:rPr>
        <w:t>Článok I – VŠEOBECNÉ INFORMÁCIE</w:t>
      </w:r>
    </w:p>
    <w:p w:rsidR="0042735D" w:rsidRDefault="0042735D"/>
    <w:p w:rsidR="0042735D" w:rsidRDefault="00C22852"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b/>
        </w:rPr>
        <w:t>Základné informácie o účtovnej jednotke</w:t>
      </w:r>
    </w:p>
    <w:p w:rsidR="0042735D" w:rsidRDefault="0042735D"/>
    <w:tbl>
      <w:tblPr>
        <w:tblW w:w="96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5"/>
        <w:gridCol w:w="6970"/>
      </w:tblGrid>
      <w:tr w:rsidR="0042735D">
        <w:trPr>
          <w:trHeight w:val="231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Limas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42735D">
        <w:trPr>
          <w:trHeight w:val="249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Obchodná 1667, Krupina 96301</w:t>
            </w:r>
          </w:p>
        </w:tc>
      </w:tr>
      <w:tr w:rsidR="0042735D">
        <w:trPr>
          <w:trHeight w:val="125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s.r.o.</w:t>
            </w:r>
          </w:p>
        </w:tc>
      </w:tr>
      <w:tr w:rsidR="0042735D">
        <w:trPr>
          <w:trHeight w:val="143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Zápis do obchodného registra: Oddiel: </w:t>
            </w:r>
            <w:proofErr w:type="spellStart"/>
            <w:r>
              <w:rPr>
                <w:rFonts w:ascii="Arial Narrow" w:eastAsia="Arial Narrow" w:hAnsi="Arial Narrow" w:cs="Arial Narrow"/>
              </w:rPr>
              <w:t>Sro</w:t>
            </w:r>
            <w:proofErr w:type="spellEnd"/>
            <w:r>
              <w:rPr>
                <w:rFonts w:ascii="Arial Narrow" w:eastAsia="Arial Narrow" w:hAnsi="Arial Narrow" w:cs="Arial Narrow"/>
              </w:rPr>
              <w:t>, vložka číslo: 28657/S</w:t>
            </w:r>
          </w:p>
        </w:tc>
      </w:tr>
      <w:tr w:rsidR="0042735D">
        <w:trPr>
          <w:trHeight w:val="175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Veľkoobchod s mäsom a mäsovými výrobkami</w:t>
            </w:r>
          </w:p>
        </w:tc>
      </w:tr>
      <w:tr w:rsidR="0042735D"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Spoločnosť </w:t>
            </w:r>
            <w:proofErr w:type="spellStart"/>
            <w:r>
              <w:rPr>
                <w:rFonts w:ascii="Arial Narrow" w:eastAsia="Arial Narrow" w:hAnsi="Arial Narrow" w:cs="Arial Narrow"/>
              </w:rPr>
              <w:t>Limas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42735D"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Účtovné obdobie: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 w:rsidP="00115585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6B6116">
              <w:rPr>
                <w:rFonts w:ascii="Arial Narrow" w:eastAsia="Arial Narrow" w:hAnsi="Arial Narrow" w:cs="Arial Narrow"/>
              </w:rPr>
              <w:t>2</w:t>
            </w:r>
            <w:r w:rsidR="00115585"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:rsidR="0042735D" w:rsidRDefault="0042735D">
      <w:pPr>
        <w:jc w:val="both"/>
      </w:pPr>
    </w:p>
    <w:p w:rsidR="0042735D" w:rsidRDefault="00C22852">
      <w:pPr>
        <w:ind w:right="-425"/>
        <w:jc w:val="both"/>
      </w:pPr>
      <w:r>
        <w:rPr>
          <w:rFonts w:ascii="Arial Narrow" w:eastAsia="Arial Narrow" w:hAnsi="Arial Narrow" w:cs="Arial Narrow"/>
          <w:u w:val="single"/>
        </w:rPr>
        <w:t xml:space="preserve">Test veľkostnej skupiny účtovnej jednotky (2/7 </w:t>
      </w:r>
      <w:proofErr w:type="spellStart"/>
      <w:r>
        <w:rPr>
          <w:rFonts w:ascii="Arial Narrow" w:eastAsia="Arial Narrow" w:hAnsi="Arial Narrow" w:cs="Arial Narrow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u w:val="single"/>
        </w:rPr>
        <w:t>)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>(Do veľkostnej skupiny malá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eastAsia="Arial Narrow" w:hAnsi="Arial Narrow" w:cs="Arial Narrow"/>
        </w:rPr>
        <w:t>000</w:t>
      </w:r>
      <w:proofErr w:type="spellEnd"/>
      <w:r>
        <w:rPr>
          <w:rFonts w:ascii="Arial Narrow" w:eastAsia="Arial Narrow" w:hAnsi="Arial Narrow" w:cs="Arial Narrow"/>
        </w:rPr>
        <w:t xml:space="preserve"> eur, čistý obrat presiahol 700 000 eur, ale nepresiahol 8 000 </w:t>
      </w:r>
      <w:proofErr w:type="spellStart"/>
      <w:r>
        <w:rPr>
          <w:rFonts w:ascii="Arial Narrow" w:eastAsia="Arial Narrow" w:hAnsi="Arial Narrow" w:cs="Arial Narrow"/>
        </w:rPr>
        <w:t>000</w:t>
      </w:r>
      <w:proofErr w:type="spellEnd"/>
      <w:r>
        <w:rPr>
          <w:rFonts w:ascii="Arial Narrow" w:eastAsia="Arial Narrow" w:hAnsi="Arial Narrow" w:cs="Arial Narrow"/>
        </w:rPr>
        <w:t xml:space="preserve"> eur a priemerný prepočítaný počet zamestnancov počas účtovného obdobia presiahol 10, ale nepresiahol 50).  </w:t>
      </w:r>
    </w:p>
    <w:p w:rsidR="0042735D" w:rsidRDefault="0042735D">
      <w:pPr>
        <w:jc w:val="both"/>
      </w:pPr>
    </w:p>
    <w:tbl>
      <w:tblPr>
        <w:tblW w:w="95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6"/>
        <w:gridCol w:w="2835"/>
        <w:gridCol w:w="3260"/>
        <w:gridCol w:w="1277"/>
      </w:tblGrid>
      <w:tr w:rsidR="0042735D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42735D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713CB" w:rsidP="00C713CB">
            <w:pPr>
              <w:tabs>
                <w:tab w:val="center" w:pos="1309"/>
              </w:tabs>
              <w:jc w:val="both"/>
            </w:pPr>
            <w:r>
              <w:t>2834802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713CB" w:rsidP="00982A30">
            <w:pPr>
              <w:jc w:val="both"/>
            </w:pPr>
            <w:r>
              <w:t>2513724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42735D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713CB" w:rsidP="00176446">
            <w:pPr>
              <w:jc w:val="both"/>
            </w:pPr>
            <w:r>
              <w:t>5396987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713CB" w:rsidP="00176446">
            <w:pPr>
              <w:jc w:val="both"/>
            </w:pPr>
            <w:r>
              <w:t>4495250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42735D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7D27F9" w:rsidP="005C12F1">
            <w:pPr>
              <w:jc w:val="both"/>
            </w:pPr>
            <w:r>
              <w:t>40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5C12F1" w:rsidP="00115585">
            <w:pPr>
              <w:jc w:val="both"/>
            </w:pPr>
            <w:r>
              <w:t>3</w:t>
            </w:r>
            <w:r w:rsidR="00115585">
              <w:t>8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:rsidR="0042735D" w:rsidRDefault="0042735D">
      <w:pPr>
        <w:jc w:val="both"/>
      </w:pPr>
    </w:p>
    <w:p w:rsidR="0042735D" w:rsidRDefault="00C22852">
      <w:pPr>
        <w:jc w:val="both"/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spĺňa veľkostné podmienky na zatriedenie do veľkostnej skupiny – malá </w:t>
      </w:r>
      <w:r>
        <w:rPr>
          <w:rFonts w:ascii="Arial Narrow" w:eastAsia="Arial Narrow" w:hAnsi="Arial Narrow" w:cs="Arial Narrow"/>
          <w:b/>
        </w:rPr>
        <w:t xml:space="preserve">účtovná jednotka, </w:t>
      </w:r>
      <w:r>
        <w:rPr>
          <w:rFonts w:ascii="Arial Narrow" w:eastAsia="Arial Narrow" w:hAnsi="Arial Narrow" w:cs="Arial Narrow"/>
        </w:rPr>
        <w:t>preto zostavuje účtovnú závierku podľa metodiky pre túto veľkostnú skupinu (Opatrenie č.MF/23378/2014-74).</w:t>
      </w:r>
    </w:p>
    <w:p w:rsidR="0042735D" w:rsidRDefault="0042735D"/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účtovnej závierky za rok 20</w:t>
      </w:r>
      <w:r w:rsidR="006B6116">
        <w:rPr>
          <w:rFonts w:ascii="Arial Narrow" w:eastAsia="Arial Narrow" w:hAnsi="Arial Narrow" w:cs="Arial Narrow"/>
          <w:b/>
        </w:rPr>
        <w:t>2</w:t>
      </w:r>
      <w:r w:rsidR="00115585">
        <w:rPr>
          <w:rFonts w:ascii="Arial Narrow" w:eastAsia="Arial Narrow" w:hAnsi="Arial Narrow" w:cs="Arial Narrow"/>
          <w:b/>
        </w:rPr>
        <w:t>5</w:t>
      </w:r>
    </w:p>
    <w:p w:rsidR="0042735D" w:rsidRDefault="0042735D">
      <w:pPr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b/>
        </w:rPr>
        <w:t>na zostavenie účtovnej závierky</w:t>
      </w: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 xml:space="preserve">Táto účtovná závierka je riadna individuálna účtovná závierka spoločnosti </w:t>
      </w:r>
      <w:proofErr w:type="spellStart"/>
      <w:r>
        <w:rPr>
          <w:rFonts w:ascii="Arial Narrow" w:eastAsia="Arial Narrow" w:hAnsi="Arial Narrow" w:cs="Arial Narrow"/>
        </w:rPr>
        <w:t>Limas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s.r.o</w:t>
      </w:r>
      <w:proofErr w:type="spellEnd"/>
      <w:r>
        <w:rPr>
          <w:rFonts w:ascii="Arial Narrow" w:eastAsia="Arial Narrow" w:hAnsi="Arial Narrow" w:cs="Arial Narrow"/>
        </w:rPr>
        <w:t>... so sídlom v Krupine. Bola zostavená za účtovné obdobie od 1.januára do 31.decembra 20</w:t>
      </w:r>
      <w:r w:rsidR="006B6116">
        <w:rPr>
          <w:rFonts w:ascii="Arial Narrow" w:eastAsia="Arial Narrow" w:hAnsi="Arial Narrow" w:cs="Arial Narrow"/>
        </w:rPr>
        <w:t>2</w:t>
      </w:r>
      <w:r w:rsidR="00115585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podľa slovenských právnych predpisov.</w:t>
      </w:r>
    </w:p>
    <w:p w:rsidR="0042735D" w:rsidRDefault="0042735D">
      <w:pPr>
        <w:spacing w:after="120"/>
        <w:jc w:val="both"/>
      </w:pP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Údaje o skupine účtovných jednotiek v súvislosti s konsolidáciou</w:t>
      </w:r>
    </w:p>
    <w:p w:rsidR="0042735D" w:rsidRDefault="0042735D">
      <w:pPr>
        <w:ind w:left="360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  <w:b/>
        </w:rPr>
        <w:t>a)Konsolidujúca účtovná jednotka</w:t>
      </w: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  <w:b/>
        </w:rPr>
        <w:t>b) Bezprostredne konsolidujúca účtovná jednotka</w:t>
      </w: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  <w:b/>
        </w:rPr>
        <w:t>c) Register s uloženými konsolidovanými uzávierkami</w:t>
      </w: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spacing w:after="120"/>
        <w:jc w:val="both"/>
      </w:pP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  <w:b/>
        </w:rPr>
        <w:t>d)Oslobodenie § 22 zákona ods. 8. Zákona o účtovníctve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</w:rPr>
        <w:t>:</w:t>
      </w:r>
    </w:p>
    <w:tbl>
      <w:tblPr>
        <w:tblW w:w="97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6"/>
        <w:gridCol w:w="2523"/>
        <w:gridCol w:w="2368"/>
      </w:tblGrid>
      <w:tr w:rsidR="0042735D">
        <w:trPr>
          <w:trHeight w:val="537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2735D">
        <w:trPr>
          <w:trHeight w:val="163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7D27F9" w:rsidP="005C12F1">
            <w:pPr>
              <w:jc w:val="both"/>
            </w:pPr>
            <w:r>
              <w:t>40</w:t>
            </w:r>
            <w:bookmarkStart w:id="0" w:name="_GoBack"/>
            <w:bookmarkEnd w:id="0"/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 w:rsidP="00115585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C12F1">
              <w:rPr>
                <w:rFonts w:ascii="Arial Narrow" w:eastAsia="Arial Narrow" w:hAnsi="Arial Narrow" w:cs="Arial Narrow"/>
              </w:rPr>
              <w:t>3</w:t>
            </w:r>
            <w:r w:rsidR="00115585">
              <w:rPr>
                <w:rFonts w:ascii="Arial Narrow" w:eastAsia="Arial Narrow" w:hAnsi="Arial Narrow" w:cs="Arial Narrow"/>
              </w:rPr>
              <w:t>8</w:t>
            </w:r>
          </w:p>
        </w:tc>
      </w:tr>
    </w:tbl>
    <w:p w:rsidR="0042735D" w:rsidRDefault="0042735D">
      <w:pPr>
        <w:ind w:left="928" w:right="-468"/>
        <w:jc w:val="both"/>
      </w:pP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Článok II – INFORMÁCIE O ORGÁNOCH SPOLOČNOSTI</w:t>
      </w:r>
    </w:p>
    <w:p w:rsidR="0042735D" w:rsidRDefault="0042735D">
      <w:pPr>
        <w:ind w:right="-468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  <w:b/>
          <w:u w:val="single"/>
        </w:rPr>
        <w:t>Informácie o orgánoch účtovnej jednotky</w:t>
      </w:r>
      <w:r>
        <w:rPr>
          <w:rFonts w:ascii="Arial Narrow" w:eastAsia="Arial Narrow" w:hAnsi="Arial Narrow" w:cs="Arial Narrow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12"/>
        <w:gridCol w:w="1700"/>
        <w:gridCol w:w="1702"/>
      </w:tblGrid>
      <w:tr w:rsidR="0042735D"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Times New Roman" w:hAnsi="Times New Roman"/>
                <w:sz w:val="24"/>
              </w:rPr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Times New Roman" w:hAnsi="Times New Roman"/>
                <w:sz w:val="24"/>
              </w:rPr>
              <w:t>Bežné účtovné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Times New Roman" w:hAnsi="Times New Roman"/>
                <w:sz w:val="24"/>
              </w:rPr>
              <w:t>Bezprostredne predchádzajúce účtovné obdobie</w:t>
            </w:r>
          </w:p>
        </w:tc>
      </w:tr>
      <w:tr w:rsidR="0042735D"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  <w:b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2735D"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 xml:space="preserve">Stanislav </w:t>
            </w:r>
            <w:proofErr w:type="spellStart"/>
            <w:r>
              <w:rPr>
                <w:rFonts w:ascii="Arial Narrow" w:eastAsia="Arial Narrow" w:hAnsi="Arial Narrow" w:cs="Arial Narrow"/>
              </w:rPr>
              <w:t>Lihocký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- trvá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> Bez príjmu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> Bez príjmu</w:t>
            </w:r>
          </w:p>
        </w:tc>
      </w:tr>
      <w:tr w:rsidR="0042735D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42735D"/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</w:tr>
      <w:tr w:rsidR="0042735D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42735D"/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42735D"/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735D" w:rsidRDefault="0042735D"/>
        </w:tc>
      </w:tr>
    </w:tbl>
    <w:p w:rsidR="0042735D" w:rsidRDefault="0042735D">
      <w:pPr>
        <w:ind w:right="-468"/>
        <w:jc w:val="both"/>
      </w:pPr>
    </w:p>
    <w:p w:rsidR="0042735D" w:rsidRDefault="0042735D">
      <w:pPr>
        <w:ind w:right="-468"/>
        <w:jc w:val="both"/>
      </w:pPr>
    </w:p>
    <w:p w:rsidR="0042735D" w:rsidRDefault="00C22852">
      <w:pPr>
        <w:ind w:right="-141"/>
        <w:jc w:val="center"/>
      </w:pPr>
      <w:r>
        <w:rPr>
          <w:rFonts w:ascii="Arial Narrow" w:eastAsia="Arial Narrow" w:hAnsi="Arial Narrow" w:cs="Arial Narrow"/>
          <w:b/>
          <w:u w:val="single"/>
        </w:rPr>
        <w:t>Článok III – INFORMÁCIE O PRIJATÝCH POSTUPOCH</w:t>
      </w:r>
    </w:p>
    <w:p w:rsidR="0042735D" w:rsidRDefault="0042735D">
      <w:pPr>
        <w:ind w:right="-141"/>
        <w:jc w:val="both"/>
      </w:pP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b/>
        </w:rPr>
        <w:t>Zostavenie účtovnej závierky – predpoklad nepretržitosti</w:t>
      </w: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>Účtovná závierka za rok 20</w:t>
      </w:r>
      <w:r w:rsidR="006B6116">
        <w:rPr>
          <w:rFonts w:ascii="Arial Narrow" w:eastAsia="Arial Narrow" w:hAnsi="Arial Narrow" w:cs="Arial Narrow"/>
        </w:rPr>
        <w:t>2</w:t>
      </w:r>
      <w:r w:rsidR="00115585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bola zostavená za splnenia predpokladu, že účtovná jednotka bude nepretržite pokračovať vo svojej činnosti minimálne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účtovníctve.</w:t>
      </w: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 </w:t>
      </w: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Informácia o aplikácii účtovných zásad a účtovných metód</w:t>
      </w: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Moment zaúčtovania výnosov – výnosy sa účtujú pri splnení dodacích podmienok , nakoľko v tomto okamihu prechádzajú na odberateľa významné riziká a vlastnícke práva.</w:t>
      </w: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</w:t>
      </w:r>
      <w:r>
        <w:rPr>
          <w:rFonts w:ascii="Arial Narrow" w:eastAsia="Arial Narrow" w:hAnsi="Arial Narrow" w:cs="Arial Narrow"/>
        </w:rPr>
        <w:lastRenderedPageBreak/>
        <w:t>k dátumu, ku ktorému sa zostavuje účtovná závierka, ako aj na vykazovanú výšku výnosov a nákladov počas roka. Skutočné výsledky sa môžu od takýchto odhadov líšiť.</w:t>
      </w:r>
    </w:p>
    <w:p w:rsidR="0042735D" w:rsidRDefault="0042735D">
      <w:pPr>
        <w:ind w:right="-468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42735D" w:rsidRDefault="0042735D">
      <w:pPr>
        <w:ind w:right="-468"/>
        <w:jc w:val="both"/>
      </w:pPr>
    </w:p>
    <w:p w:rsidR="0042735D" w:rsidRDefault="0042735D">
      <w:pPr>
        <w:ind w:right="-141"/>
        <w:jc w:val="both"/>
      </w:pPr>
    </w:p>
    <w:p w:rsidR="0042735D" w:rsidRDefault="00C22852">
      <w:pPr>
        <w:ind w:right="-468"/>
        <w:jc w:val="both"/>
      </w:pPr>
      <w:r>
        <w:rPr>
          <w:rFonts w:ascii="Arial Narrow" w:eastAsia="Arial Narrow" w:hAnsi="Arial Narrow" w:cs="Arial Narrow"/>
        </w:rPr>
        <w:t>Spoločnosť v priebehu roka 20</w:t>
      </w:r>
      <w:r w:rsidR="006B6116">
        <w:rPr>
          <w:rFonts w:ascii="Arial Narrow" w:eastAsia="Arial Narrow" w:hAnsi="Arial Narrow" w:cs="Arial Narrow"/>
        </w:rPr>
        <w:t>2</w:t>
      </w:r>
      <w:r w:rsidR="005C12F1">
        <w:rPr>
          <w:rFonts w:ascii="Arial Narrow" w:eastAsia="Arial Narrow" w:hAnsi="Arial Narrow" w:cs="Arial Narrow"/>
        </w:rPr>
        <w:t>4</w:t>
      </w:r>
      <w:r>
        <w:rPr>
          <w:rFonts w:ascii="Arial Narrow" w:eastAsia="Arial Narrow" w:hAnsi="Arial Narrow" w:cs="Arial Narrow"/>
        </w:rPr>
        <w:t xml:space="preserve"> nemenila účtovné zásady ani účtovné metódy.</w:t>
      </w:r>
    </w:p>
    <w:p w:rsidR="0042735D" w:rsidRDefault="0042735D">
      <w:pPr>
        <w:ind w:right="-141"/>
        <w:jc w:val="both"/>
      </w:pP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 </w:t>
      </w: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3) Informácie o charaktere a účele </w:t>
      </w:r>
      <w:r>
        <w:rPr>
          <w:rFonts w:ascii="Arial Narrow" w:eastAsia="Arial Narrow" w:hAnsi="Arial Narrow" w:cs="Arial Narrow"/>
          <w:b/>
        </w:rPr>
        <w:t>transakcií, ktoré sa neuvádzajú v súvahe</w:t>
      </w: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ind w:right="-141"/>
        <w:jc w:val="both"/>
      </w:pPr>
    </w:p>
    <w:p w:rsidR="0042735D" w:rsidRDefault="00C22852">
      <w:pPr>
        <w:spacing w:after="120"/>
        <w:ind w:right="-141"/>
        <w:jc w:val="both"/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určenie oceňovania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:rsidR="0042735D" w:rsidRDefault="00C22852">
      <w:pPr>
        <w:ind w:right="-141"/>
        <w:jc w:val="both"/>
      </w:pPr>
      <w:r>
        <w:rPr>
          <w:rFonts w:ascii="Arial Narrow" w:eastAsia="Arial Narrow" w:hAnsi="Arial Narrow" w:cs="Arial Narrow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42735D" w:rsidRDefault="0042735D">
      <w:pPr>
        <w:tabs>
          <w:tab w:val="left" w:pos="808"/>
        </w:tabs>
        <w:jc w:val="both"/>
      </w:pPr>
    </w:p>
    <w:p w:rsidR="0042735D" w:rsidRDefault="00C22852">
      <w:pPr>
        <w:tabs>
          <w:tab w:val="left" w:pos="808"/>
        </w:tabs>
        <w:jc w:val="center"/>
      </w:pPr>
      <w:r>
        <w:rPr>
          <w:rFonts w:ascii="Arial Narrow" w:eastAsia="Arial Narrow" w:hAnsi="Arial Narrow" w:cs="Arial Narrow"/>
          <w:b/>
        </w:rPr>
        <w:t>Č.</w:t>
      </w:r>
    </w:p>
    <w:p w:rsidR="0042735D" w:rsidRDefault="00C22852">
      <w:pPr>
        <w:tabs>
          <w:tab w:val="left" w:pos="808"/>
        </w:tabs>
        <w:jc w:val="center"/>
      </w:pPr>
      <w:r>
        <w:rPr>
          <w:rFonts w:ascii="Arial Narrow" w:eastAsia="Arial Narrow" w:hAnsi="Arial Narrow" w:cs="Arial Narrow"/>
          <w:b/>
        </w:rPr>
        <w:t>Názov položky</w:t>
      </w:r>
    </w:p>
    <w:p w:rsidR="0042735D" w:rsidRDefault="00C22852">
      <w:pPr>
        <w:tabs>
          <w:tab w:val="left" w:pos="808"/>
        </w:tabs>
        <w:jc w:val="center"/>
      </w:pPr>
      <w:r>
        <w:rPr>
          <w:rFonts w:ascii="Arial Narrow" w:eastAsia="Arial Narrow" w:hAnsi="Arial Narrow" w:cs="Arial Narrow"/>
          <w:b/>
        </w:rPr>
        <w:t>Spôsob oceňovania</w:t>
      </w:r>
    </w:p>
    <w:p w:rsidR="0042735D" w:rsidRDefault="0042735D">
      <w:pPr>
        <w:tabs>
          <w:tab w:val="left" w:pos="808"/>
        </w:tabs>
        <w:jc w:val="both"/>
      </w:pPr>
    </w:p>
    <w:tbl>
      <w:tblPr>
        <w:tblW w:w="96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"/>
        <w:gridCol w:w="5276"/>
        <w:gridCol w:w="3606"/>
      </w:tblGrid>
      <w:tr w:rsidR="0042735D">
        <w:tc>
          <w:tcPr>
            <w:tcW w:w="71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Č.</w:t>
            </w:r>
          </w:p>
        </w:tc>
        <w:tc>
          <w:tcPr>
            <w:tcW w:w="527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360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oceňovania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externe kúpený: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interne vytvorený: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inak (darom):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Reprodukčná 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externe kúpený: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interne vytvorený: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inak (darom):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Reprodukčná 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Dlhodobý finančný majetok: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kúpou: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Zásoby vytvorené vlastnou činnosťou: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inak (darom):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Reprodukčná 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</w:pPr>
            <w:r>
              <w:rPr>
                <w:rFonts w:ascii="Arial Narrow" w:eastAsia="Arial Narrow" w:hAnsi="Arial Narrow" w:cs="Arial Narrow"/>
              </w:rPr>
              <w:t>ZV a zákazková výstavba nehnuteľnosti určenej na predaj: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Vlastné pohľadávky: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Kúpené pohľadávky: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lastRenderedPageBreak/>
              <w:t>13.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Krátkodobý finančný majetok: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aktív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pôžičiek a úverov: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pasív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Deriváty: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zabezpečené derivátmi: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42735D"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Splatná daň z príjmov a odložená daň z príjmov: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2735D" w:rsidRDefault="00C22852">
            <w:pPr>
              <w:spacing w:after="283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:rsidR="0042735D" w:rsidRDefault="0042735D">
      <w:pPr>
        <w:tabs>
          <w:tab w:val="left" w:pos="808"/>
        </w:tabs>
        <w:jc w:val="both"/>
      </w:pPr>
    </w:p>
    <w:p w:rsidR="0042735D" w:rsidRDefault="0042735D">
      <w:pPr>
        <w:tabs>
          <w:tab w:val="left" w:pos="808"/>
        </w:tabs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b) Trvalé zníženie hodnoty majetku nebolo účtované. Prechodné zníženie hodnoty majetku je zaúčtované formou opravnej položky. Opravné položky k majetku, okrem dlhodobej pohľadávky stanovila účtovná jednotka odborným odhadom bonity príslušného majetku. Opravnú položku k dlhodobej pohľadávke spoločnosť netvorila, pretože pri vzniku takejto pohľadávky sa cena </w:t>
      </w:r>
      <w:proofErr w:type="spellStart"/>
      <w:r>
        <w:rPr>
          <w:rFonts w:ascii="Arial Narrow" w:eastAsia="Arial Narrow" w:hAnsi="Arial Narrow" w:cs="Arial Narrow"/>
        </w:rPr>
        <w:t>navyšuje</w:t>
      </w:r>
      <w:proofErr w:type="spellEnd"/>
      <w:r>
        <w:rPr>
          <w:rFonts w:ascii="Arial Narrow" w:eastAsia="Arial Narrow" w:hAnsi="Arial Narrow" w:cs="Arial Narrow"/>
        </w:rPr>
        <w:t xml:space="preserve"> koeficientom v závislosti od splatnosti v mesiacoch.</w:t>
      </w:r>
    </w:p>
    <w:p w:rsidR="0042735D" w:rsidRDefault="0042735D">
      <w:pPr>
        <w:spacing w:after="120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>c) Záväzky účtovná jednotka ocenila menovitou hodnotou záväzkov. Rezervy účtovná jednotka ocenila odborným odhadom budúcej menovitej hodnoty potrebnej na ich úhradu.</w:t>
      </w:r>
    </w:p>
    <w:p w:rsidR="0042735D" w:rsidRDefault="0042735D">
      <w:pPr>
        <w:spacing w:after="120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d) Určenie ocenenia </w:t>
      </w:r>
      <w:r>
        <w:rPr>
          <w:rFonts w:ascii="Arial Narrow" w:eastAsia="Arial Narrow" w:hAnsi="Arial Narrow" w:cs="Arial Narrow"/>
          <w:u w:val="single"/>
        </w:rPr>
        <w:t>finančných nástrojov alebo majetku</w:t>
      </w:r>
      <w:r>
        <w:rPr>
          <w:rFonts w:ascii="Arial Narrow" w:eastAsia="Arial Narrow" w:hAnsi="Arial Narrow" w:cs="Arial Narrow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. Účtovná jednotka počas účtovného obdobia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dňu nepoužila ocenenie reálnou hodnotou, lebo nemala k tomu vecnú náplň.</w:t>
      </w:r>
    </w:p>
    <w:p w:rsidR="0042735D" w:rsidRDefault="0042735D">
      <w:pPr>
        <w:spacing w:after="120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e) Určenie ocenenia </w:t>
      </w:r>
      <w:r>
        <w:rPr>
          <w:rFonts w:ascii="Arial Narrow" w:eastAsia="Arial Narrow" w:hAnsi="Arial Narrow" w:cs="Arial Narrow"/>
          <w:u w:val="single"/>
        </w:rPr>
        <w:t>finančných nástrojov</w:t>
      </w:r>
      <w:r>
        <w:rPr>
          <w:rFonts w:ascii="Arial Narrow" w:eastAsia="Arial Narrow" w:hAnsi="Arial Narrow" w:cs="Arial Narrow"/>
        </w:rPr>
        <w:t xml:space="preserve"> pri oceňovaní obstarávacou cenou alebo vlastnými nákladmi. Účtovná jednotka počas účtovného obdobia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dňu nepoužila ocenenie obstarávacou cenou alebo vlastnými nákladmi, lebo nemala k tomu vecnú náplň.</w:t>
      </w: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42735D" w:rsidRDefault="0042735D">
      <w:pPr>
        <w:spacing w:after="120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:rsidR="0042735D" w:rsidRDefault="00C22852">
      <w:r>
        <w:rPr>
          <w:rFonts w:ascii="Arial Narrow" w:eastAsia="Arial Narrow" w:hAnsi="Arial Narrow" w:cs="Arial Narrow"/>
        </w:rPr>
        <w:t>g) Tvorba odpisového plánu pre dlhodobý majetok</w:t>
      </w:r>
    </w:p>
    <w:p w:rsidR="0042735D" w:rsidRDefault="00C22852">
      <w:r>
        <w:rPr>
          <w:rFonts w:ascii="Arial Narrow" w:eastAsia="Arial Narrow" w:hAnsi="Arial Narrow" w:cs="Arial Narrow"/>
        </w:rPr>
        <w:t xml:space="preserve"> pre dlhodobý majetok, pričom sa uvádza doba odpisovania, sadzby odpisov a odpisové metódy pre </w:t>
      </w:r>
      <w:proofErr w:type="spellStart"/>
      <w:r>
        <w:rPr>
          <w:rFonts w:ascii="Arial Narrow" w:eastAsia="Arial Narrow" w:hAnsi="Arial Narrow" w:cs="Arial Narrow"/>
        </w:rPr>
        <w:t>učtovné</w:t>
      </w:r>
      <w:proofErr w:type="spellEnd"/>
      <w:r>
        <w:rPr>
          <w:rFonts w:ascii="Arial Narrow" w:eastAsia="Arial Narrow" w:hAnsi="Arial Narrow" w:cs="Arial Narrow"/>
        </w:rPr>
        <w:t xml:space="preserve"> odpisy</w:t>
      </w:r>
    </w:p>
    <w:p w:rsidR="0042735D" w:rsidRDefault="0042735D"/>
    <w:tbl>
      <w:tblPr>
        <w:tblW w:w="83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3"/>
        <w:gridCol w:w="665"/>
        <w:gridCol w:w="2656"/>
        <w:gridCol w:w="2654"/>
      </w:tblGrid>
      <w:tr w:rsidR="0042735D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  <w:b/>
                <w:color w:val="000000"/>
              </w:rPr>
              <w:t>Dlhodobý hm. a nehmotný odpisovaný majetok</w:t>
            </w: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  <w:b/>
                <w:color w:val="000000"/>
              </w:rPr>
              <w:t>Číslo účtu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Doba odpisovania</w:t>
            </w: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pPr>
              <w:jc w:val="center"/>
            </w:pPr>
            <w:r>
              <w:rPr>
                <w:rFonts w:ascii="Times New Roman" w:hAnsi="Times New Roman"/>
                <w:b/>
                <w:sz w:val="24"/>
              </w:rPr>
              <w:t>Odpisová sadzba (%)</w:t>
            </w:r>
          </w:p>
        </w:tc>
      </w:tr>
      <w:tr w:rsidR="0042735D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</w:tr>
      <w:tr w:rsidR="0042735D">
        <w:trPr>
          <w:trHeight w:val="291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</w:tr>
      <w:tr w:rsidR="0042735D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</w:tr>
      <w:tr w:rsidR="0042735D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>
            <w:pPr>
              <w:jc w:val="center"/>
            </w:pPr>
          </w:p>
        </w:tc>
      </w:tr>
      <w:tr w:rsidR="0042735D">
        <w:trPr>
          <w:trHeight w:val="375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r>
              <w:rPr>
                <w:rFonts w:ascii="Arial Narrow" w:eastAsia="Arial Narrow" w:hAnsi="Arial Narrow" w:cs="Arial Narrow"/>
                <w:color w:val="000000"/>
              </w:rPr>
              <w:t>Dopravné prostriedky</w:t>
            </w: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022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pPr>
              <w:jc w:val="center"/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C22852">
            <w:pPr>
              <w:jc w:val="center"/>
            </w:pPr>
            <w:r>
              <w:rPr>
                <w:rFonts w:ascii="Times New Roman" w:hAnsi="Times New Roman"/>
                <w:sz w:val="24"/>
              </w:rPr>
              <w:t>25</w:t>
            </w:r>
          </w:p>
        </w:tc>
      </w:tr>
    </w:tbl>
    <w:p w:rsidR="0042735D" w:rsidRDefault="0042735D"/>
    <w:p w:rsidR="0042735D" w:rsidRDefault="00C22852">
      <w:r>
        <w:rPr>
          <w:rFonts w:ascii="Arial Narrow" w:eastAsia="Arial Narrow" w:hAnsi="Arial Narrow" w:cs="Arial Narrow"/>
        </w:rPr>
        <w:t>Komentár k odpisovému plánu:</w:t>
      </w:r>
    </w:p>
    <w:p w:rsidR="0042735D" w:rsidRDefault="00C22852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používa účtovné odpisy nezávisle na daňových odpisoch. Majetok sa začína odpisovať v mesiaci, kedy bol zaradený do užívania. Účtovné odpisy vychádzajú z predpokladanej doby používania majetku. Dlhodobý majetok sa odpisuje počas 4 rokov od jeho obstarania.</w:t>
      </w:r>
    </w:p>
    <w:p w:rsidR="0042735D" w:rsidRDefault="00C22852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používa rovnomerné odpisovanie dlhodobého hmotného a nehmotného majetku.</w:t>
      </w:r>
    </w:p>
    <w:p w:rsidR="0042735D" w:rsidRDefault="00C22852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 xml:space="preserve">UJ nepoužíva </w:t>
      </w:r>
      <w:proofErr w:type="spellStart"/>
      <w:r>
        <w:rPr>
          <w:rFonts w:ascii="Arial Narrow" w:eastAsia="Arial Narrow" w:hAnsi="Arial Narrow" w:cs="Arial Narrow"/>
        </w:rPr>
        <w:t>jednorázový</w:t>
      </w:r>
      <w:proofErr w:type="spellEnd"/>
      <w:r>
        <w:rPr>
          <w:rFonts w:ascii="Arial Narrow" w:eastAsia="Arial Narrow" w:hAnsi="Arial Narrow" w:cs="Arial Narrow"/>
        </w:rPr>
        <w:t xml:space="preserve"> odpis dlhodobého majetku z dôvodu </w:t>
      </w:r>
      <w:proofErr w:type="spellStart"/>
      <w:r>
        <w:rPr>
          <w:rFonts w:ascii="Arial Narrow" w:eastAsia="Arial Narrow" w:hAnsi="Arial Narrow" w:cs="Arial Narrow"/>
        </w:rPr>
        <w:t>jednorázového</w:t>
      </w:r>
      <w:proofErr w:type="spellEnd"/>
      <w:r>
        <w:rPr>
          <w:rFonts w:ascii="Arial Narrow" w:eastAsia="Arial Narrow" w:hAnsi="Arial Narrow" w:cs="Arial Narrow"/>
        </w:rPr>
        <w:t xml:space="preserve"> trvalého zníženia hodnoty majetku (§13/2 PU)</w:t>
      </w:r>
    </w:p>
    <w:p w:rsidR="0042735D" w:rsidRDefault="00C22852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nepoužíva kategóriu drobného dlhodobé nehmotného majetku – položky pod 2400 eur jednotkovej ceny,  životnosť nad jeden rok</w:t>
      </w:r>
    </w:p>
    <w:p w:rsidR="0042735D" w:rsidRDefault="00C22852">
      <w:pPr>
        <w:numPr>
          <w:ilvl w:val="0"/>
          <w:numId w:val="1"/>
        </w:numPr>
        <w:ind w:left="-360" w:firstLine="360"/>
      </w:pPr>
      <w:r>
        <w:rPr>
          <w:rFonts w:ascii="Arial Narrow" w:eastAsia="Arial Narrow" w:hAnsi="Arial Narrow" w:cs="Arial Narrow"/>
        </w:rPr>
        <w:t>UJ nepoužíva kategóriu drobného dlhodobého hmotného majetku – položky pod 1700 eur jednotkovej ceny, životnosť nad jeden rok</w:t>
      </w:r>
    </w:p>
    <w:p w:rsidR="0042735D" w:rsidRDefault="0042735D"/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  <w:b/>
        </w:rPr>
        <w:t>h) Informácia o poskytnutých dotáciách a pri dotáciách na obstaranie majetku sa uvedú zložky majetku a ich ocenenie:</w:t>
      </w:r>
    </w:p>
    <w:p w:rsidR="0042735D" w:rsidRDefault="00C22852">
      <w:r>
        <w:rPr>
          <w:rFonts w:ascii="Arial Narrow" w:eastAsia="Arial Narrow" w:hAnsi="Arial Narrow" w:cs="Arial Narrow"/>
        </w:rPr>
        <w:t>Spoločnosť neprijala žiadne dotácie na  obstaranie majetku.</w:t>
      </w:r>
    </w:p>
    <w:p w:rsidR="0042735D" w:rsidRDefault="0042735D">
      <w:pPr>
        <w:spacing w:after="120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  <w:b/>
        </w:rPr>
        <w:t>5) Informácie o oprave významných a nevýznamných chýb minulých účtovných období účtovaných v bežnom účtovnom období: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>Spoločnosť v roku 20</w:t>
      </w:r>
      <w:r w:rsidR="00890AFB">
        <w:rPr>
          <w:rFonts w:ascii="Arial Narrow" w:eastAsia="Arial Narrow" w:hAnsi="Arial Narrow" w:cs="Arial Narrow"/>
        </w:rPr>
        <w:t>2</w:t>
      </w:r>
      <w:r w:rsidR="00115585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neúčtovala významné ani menej významné chyby minulých účtovných období.</w:t>
      </w:r>
    </w:p>
    <w:p w:rsidR="0042735D" w:rsidRDefault="0042735D">
      <w:pPr>
        <w:jc w:val="both"/>
      </w:pPr>
    </w:p>
    <w:p w:rsidR="0042735D" w:rsidRDefault="00C22852">
      <w:pPr>
        <w:ind w:right="-468"/>
        <w:jc w:val="center"/>
      </w:pPr>
      <w:r>
        <w:rPr>
          <w:rFonts w:ascii="Arial Narrow" w:eastAsia="Arial Narrow" w:hAnsi="Arial Narrow" w:cs="Arial Narrow"/>
          <w:b/>
          <w:u w:val="single"/>
        </w:rPr>
        <w:t>Článok IV – INFORMÁCIE, KTORÉ VYSVETĽUJÚ A DOPĹŇAJÚ SÚVAHU A VÝKAZ ZISKOV A STRÁT</w:t>
      </w:r>
    </w:p>
    <w:p w:rsidR="0042735D" w:rsidRDefault="0042735D">
      <w:pPr>
        <w:ind w:right="-468"/>
        <w:jc w:val="both"/>
      </w:pP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výpočtu a prehodnotenie opodstatnenosti jeho výšky a odpisu jeho hodnoty: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>Spoločnosť v roku 20</w:t>
      </w:r>
      <w:r w:rsidR="00890AFB">
        <w:rPr>
          <w:rFonts w:ascii="Arial Narrow" w:eastAsia="Arial Narrow" w:hAnsi="Arial Narrow" w:cs="Arial Narrow"/>
        </w:rPr>
        <w:t>2</w:t>
      </w:r>
      <w:r w:rsidR="00115585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neúčtovala o </w:t>
      </w:r>
      <w:proofErr w:type="spellStart"/>
      <w:r>
        <w:rPr>
          <w:rFonts w:ascii="Arial Narrow" w:eastAsia="Arial Narrow" w:hAnsi="Arial Narrow" w:cs="Arial Narrow"/>
        </w:rPr>
        <w:t>googwille</w:t>
      </w:r>
      <w:proofErr w:type="spellEnd"/>
      <w:r>
        <w:rPr>
          <w:rFonts w:ascii="Arial Narrow" w:eastAsia="Arial Narrow" w:hAnsi="Arial Narrow" w:cs="Arial Narrow"/>
        </w:rPr>
        <w:t xml:space="preserve"> ani o 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42735D" w:rsidRDefault="0042735D">
      <w:pPr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položkách derivátov, majetku a záväzkoch zabezpečených derivátmi (§ 16 PU):</w:t>
      </w: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>Spoločnosť neúčtuje o derivátoch, ani o majetku a záväzkoch zabezpečených derivátmi.</w:t>
      </w:r>
    </w:p>
    <w:p w:rsidR="0042735D" w:rsidRDefault="00C22852">
      <w:pPr>
        <w:spacing w:after="120"/>
        <w:ind w:right="-141"/>
        <w:jc w:val="both"/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</w:rPr>
        <w:t xml:space="preserve">:  </w:t>
      </w:r>
    </w:p>
    <w:p w:rsidR="0042735D" w:rsidRDefault="00C22852">
      <w:pPr>
        <w:spacing w:before="120"/>
        <w:ind w:right="-471"/>
        <w:jc w:val="both"/>
      </w:pPr>
      <w:r>
        <w:rPr>
          <w:rFonts w:ascii="Arial Narrow" w:eastAsia="Arial Narrow" w:hAnsi="Arial Narrow" w:cs="Arial Narrow"/>
        </w:rPr>
        <w:t>Spoločnosť k 31.12.20</w:t>
      </w:r>
      <w:r w:rsidR="00890AFB">
        <w:rPr>
          <w:rFonts w:ascii="Arial Narrow" w:eastAsia="Arial Narrow" w:hAnsi="Arial Narrow" w:cs="Arial Narrow"/>
        </w:rPr>
        <w:t>2</w:t>
      </w:r>
      <w:r w:rsidR="00115585">
        <w:rPr>
          <w:rFonts w:ascii="Arial Narrow" w:eastAsia="Arial Narrow" w:hAnsi="Arial Narrow" w:cs="Arial Narrow"/>
        </w:rPr>
        <w:t>5</w:t>
      </w:r>
      <w:r>
        <w:rPr>
          <w:rFonts w:ascii="Arial Narrow" w:eastAsia="Arial Narrow" w:hAnsi="Arial Narrow" w:cs="Arial Narrow"/>
        </w:rPr>
        <w:t xml:space="preserve"> neeviduje záväzky so zostatkovou dobou splatnosti dlhšou ako 5 rokov.</w:t>
      </w:r>
    </w:p>
    <w:p w:rsidR="0042735D" w:rsidRDefault="0042735D">
      <w:pPr>
        <w:spacing w:before="120"/>
        <w:ind w:right="-471"/>
        <w:jc w:val="both"/>
      </w:pPr>
    </w:p>
    <w:p w:rsidR="0042735D" w:rsidRDefault="00C22852">
      <w:pPr>
        <w:spacing w:after="120"/>
        <w:ind w:right="-141"/>
        <w:jc w:val="both"/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zabezpečených záväzkov</w:t>
      </w:r>
      <w:r>
        <w:rPr>
          <w:rFonts w:ascii="Arial Narrow" w:eastAsia="Arial Narrow" w:hAnsi="Arial Narrow" w:cs="Arial Narrow"/>
        </w:rPr>
        <w:t xml:space="preserve"> – opis a spôsob zabezpečenia záväzkov: za bežné účtovné </w:t>
      </w:r>
      <w:proofErr w:type="spellStart"/>
      <w:r>
        <w:rPr>
          <w:rFonts w:ascii="Arial Narrow" w:eastAsia="Arial Narrow" w:hAnsi="Arial Narrow" w:cs="Arial Narrow"/>
        </w:rPr>
        <w:t>obodobie</w:t>
      </w:r>
      <w:proofErr w:type="spellEnd"/>
      <w:r>
        <w:rPr>
          <w:rFonts w:ascii="Arial Narrow" w:eastAsia="Arial Narrow" w:hAnsi="Arial Narrow" w:cs="Arial Narrow"/>
        </w:rPr>
        <w:t>:</w:t>
      </w:r>
    </w:p>
    <w:tbl>
      <w:tblPr>
        <w:tblW w:w="94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42735D"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  <w:sz w:val="24"/>
              </w:rPr>
              <w:t>Zabezpečené záväzky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  <w:sz w:val="24"/>
              </w:rPr>
              <w:t>Spôsob zabezpečenia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42735D" w:rsidRDefault="00C22852">
            <w:pPr>
              <w:jc w:val="both"/>
            </w:pPr>
            <w:r>
              <w:rPr>
                <w:rFonts w:ascii="Arial Narrow" w:eastAsia="Arial Narrow" w:hAnsi="Arial Narrow" w:cs="Arial Narrow"/>
                <w:sz w:val="24"/>
              </w:rPr>
              <w:t>Hodnota záväzkov</w:t>
            </w:r>
          </w:p>
        </w:tc>
      </w:tr>
      <w:tr w:rsidR="0042735D"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42735D" w:rsidRDefault="0042735D">
            <w:pPr>
              <w:jc w:val="both"/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42735D" w:rsidRDefault="0042735D">
            <w:pPr>
              <w:jc w:val="both"/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5" w:type="dxa"/>
              <w:bottom w:w="0" w:type="dxa"/>
              <w:right w:w="55" w:type="dxa"/>
            </w:tcMar>
          </w:tcPr>
          <w:p w:rsidR="0042735D" w:rsidRDefault="0042735D">
            <w:pPr>
              <w:jc w:val="both"/>
            </w:pPr>
          </w:p>
        </w:tc>
      </w:tr>
    </w:tbl>
    <w:p w:rsidR="0042735D" w:rsidRDefault="0042735D">
      <w:pPr>
        <w:ind w:right="-468"/>
        <w:jc w:val="both"/>
      </w:pPr>
    </w:p>
    <w:p w:rsidR="0042735D" w:rsidRDefault="0042735D">
      <w:pPr>
        <w:ind w:right="-468"/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>: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Spoločnosť nevlastní vlastné akcie.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 xml:space="preserve">5) Informácie o sume a dôvodoch vzniku jednotlivých položiek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výnimočný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časti, náklady z dôvodu predaja podniku alebo jeho časti, škody z dôvodu živelných pohrôm):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náplne.</w:t>
      </w:r>
    </w:p>
    <w:p w:rsidR="0042735D" w:rsidRDefault="00C22852">
      <w:pPr>
        <w:spacing w:after="120"/>
        <w:ind w:right="-471"/>
        <w:jc w:val="center"/>
      </w:pPr>
      <w:r>
        <w:rPr>
          <w:rFonts w:ascii="Arial Narrow" w:eastAsia="Arial Narrow" w:hAnsi="Arial Narrow" w:cs="Arial Narrow"/>
          <w:b/>
        </w:rPr>
        <w:lastRenderedPageBreak/>
        <w:t>Článok V – INFORMÁCIE O INÝCH AKTÍVACH A INÝCH PASÍVACH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ručenia:</w:t>
      </w:r>
    </w:p>
    <w:p w:rsidR="0042735D" w:rsidRDefault="0042735D">
      <w:pPr>
        <w:jc w:val="both"/>
      </w:pP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finančné povinnosti</w:t>
      </w:r>
      <w:r>
        <w:rPr>
          <w:rFonts w:ascii="Arial Narrow" w:eastAsia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opravy: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jc w:val="both"/>
      </w:pPr>
    </w:p>
    <w:p w:rsidR="0042735D" w:rsidRDefault="00C22852">
      <w:pPr>
        <w:spacing w:after="120"/>
        <w:jc w:val="both"/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účty</w:t>
      </w:r>
      <w:r>
        <w:rPr>
          <w:rFonts w:ascii="Arial Narrow" w:eastAsia="Arial Narrow" w:hAnsi="Arial Narrow" w:cs="Arial Narrow"/>
        </w:rPr>
        <w:t xml:space="preserve"> – uvádzajú sa informácie o významných položkách sledovaných na podsúvahových účtoch (§ 85 PU):</w:t>
      </w:r>
    </w:p>
    <w:p w:rsidR="0042735D" w:rsidRDefault="00C22852">
      <w:pPr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42735D">
      <w:pPr>
        <w:ind w:right="-468"/>
        <w:jc w:val="center"/>
      </w:pPr>
    </w:p>
    <w:p w:rsidR="0042735D" w:rsidRDefault="00C22852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Článok VI – UDALOSTI, KTORÉ NASTALI PO ZÁVIERKOVOM DNI</w:t>
      </w:r>
    </w:p>
    <w:p w:rsidR="0042735D" w:rsidRDefault="00C22852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(Následné udalosti)</w:t>
      </w:r>
    </w:p>
    <w:p w:rsidR="0042735D" w:rsidRDefault="0042735D">
      <w:pPr>
        <w:ind w:right="-468"/>
        <w:jc w:val="center"/>
      </w:pPr>
    </w:p>
    <w:p w:rsidR="0042735D" w:rsidRDefault="00C22852">
      <w:pPr>
        <w:ind w:right="-468"/>
      </w:pPr>
      <w:r>
        <w:rPr>
          <w:rFonts w:ascii="Arial Narrow" w:eastAsia="Arial Narrow" w:hAnsi="Arial Narrow" w:cs="Arial Narrow"/>
        </w:rPr>
        <w:t>Po 31. decembri 20</w:t>
      </w:r>
      <w:r w:rsidR="00890AFB">
        <w:rPr>
          <w:rFonts w:ascii="Arial Narrow" w:eastAsia="Arial Narrow" w:hAnsi="Arial Narrow" w:cs="Arial Narrow"/>
        </w:rPr>
        <w:t>2</w:t>
      </w:r>
      <w:r w:rsidR="009D6270">
        <w:rPr>
          <w:rFonts w:ascii="Arial Narrow" w:eastAsia="Arial Narrow" w:hAnsi="Arial Narrow" w:cs="Arial Narrow"/>
        </w:rPr>
        <w:t>4</w:t>
      </w:r>
      <w:r>
        <w:rPr>
          <w:rFonts w:ascii="Arial Narrow" w:eastAsia="Arial Narrow" w:hAnsi="Arial Narrow" w:cs="Arial Narrow"/>
        </w:rPr>
        <w:t xml:space="preserve"> až do zostavenia účtovnej závierky nenastali také udalosti, ktoré by významným spôsobom ovplyvnili aktíva a pasíva spoločnosti.</w:t>
      </w:r>
    </w:p>
    <w:p w:rsidR="0042735D" w:rsidRDefault="0042735D">
      <w:pPr>
        <w:ind w:right="-468"/>
        <w:jc w:val="center"/>
      </w:pPr>
    </w:p>
    <w:p w:rsidR="0042735D" w:rsidRDefault="0042735D">
      <w:pPr>
        <w:ind w:right="-468"/>
        <w:jc w:val="center"/>
      </w:pPr>
    </w:p>
    <w:p w:rsidR="0042735D" w:rsidRDefault="00C22852">
      <w:pPr>
        <w:ind w:right="-468"/>
        <w:jc w:val="center"/>
      </w:pPr>
      <w:r>
        <w:rPr>
          <w:rFonts w:ascii="Arial Narrow" w:eastAsia="Arial Narrow" w:hAnsi="Arial Narrow" w:cs="Arial Narrow"/>
          <w:b/>
        </w:rPr>
        <w:t>Článok VII – OSTATNÉ INFORMÁCIE</w:t>
      </w:r>
    </w:p>
    <w:p w:rsidR="0042735D" w:rsidRDefault="0042735D">
      <w:pPr>
        <w:ind w:right="-468"/>
        <w:jc w:val="both"/>
      </w:pP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1)Informácie o výlučnom práve poskytovať služby vo verejnom záujme: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Bez náplne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:rsidR="0042735D" w:rsidRDefault="00C22852">
      <w:pPr>
        <w:spacing w:after="120"/>
        <w:ind w:right="-471"/>
        <w:jc w:val="both"/>
      </w:pPr>
      <w:r>
        <w:rPr>
          <w:rFonts w:ascii="Arial Narrow" w:eastAsia="Arial Narrow" w:hAnsi="Arial Narrow" w:cs="Arial Narrow"/>
        </w:rPr>
        <w:t>V spoločnosti nemá žiadny orgán verejnej moci podiely na hlasovacích právach.</w:t>
      </w:r>
    </w:p>
    <w:p w:rsidR="0042735D" w:rsidRDefault="0042735D">
      <w:pPr>
        <w:spacing w:after="120"/>
        <w:ind w:right="-471"/>
        <w:jc w:val="both"/>
      </w:pPr>
    </w:p>
    <w:p w:rsidR="0042735D" w:rsidRDefault="0042735D">
      <w:pPr>
        <w:spacing w:after="120"/>
        <w:ind w:right="-471"/>
        <w:jc w:val="both"/>
      </w:pPr>
    </w:p>
    <w:p w:rsidR="0042735D" w:rsidRDefault="0042735D">
      <w:pPr>
        <w:spacing w:after="120"/>
        <w:ind w:right="-471"/>
        <w:jc w:val="both"/>
      </w:pPr>
    </w:p>
    <w:p w:rsidR="0042735D" w:rsidRDefault="0042735D">
      <w:pPr>
        <w:spacing w:after="120"/>
        <w:ind w:right="-471"/>
        <w:jc w:val="both"/>
      </w:pPr>
    </w:p>
    <w:tbl>
      <w:tblPr>
        <w:tblW w:w="85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59"/>
        <w:gridCol w:w="2720"/>
        <w:gridCol w:w="2926"/>
      </w:tblGrid>
      <w:tr w:rsidR="0042735D">
        <w:trPr>
          <w:trHeight w:val="93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  <w:tc>
          <w:tcPr>
            <w:tcW w:w="272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  <w:tc>
          <w:tcPr>
            <w:tcW w:w="292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2735D" w:rsidRDefault="0042735D"/>
        </w:tc>
      </w:tr>
    </w:tbl>
    <w:p w:rsidR="0042735D" w:rsidRDefault="0042735D">
      <w:pPr>
        <w:spacing w:after="120"/>
        <w:ind w:right="-471"/>
        <w:jc w:val="both"/>
      </w:pPr>
    </w:p>
    <w:sectPr w:rsidR="0042735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53A6" w:rsidRDefault="00A253A6">
      <w:r>
        <w:separator/>
      </w:r>
    </w:p>
  </w:endnote>
  <w:endnote w:type="continuationSeparator" w:id="0">
    <w:p w:rsidR="00A253A6" w:rsidRDefault="00A25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53A6" w:rsidRDefault="00A253A6">
      <w:r>
        <w:rPr>
          <w:color w:val="000000"/>
        </w:rPr>
        <w:separator/>
      </w:r>
    </w:p>
  </w:footnote>
  <w:footnote w:type="continuationSeparator" w:id="0">
    <w:p w:rsidR="00A253A6" w:rsidRDefault="00A253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A63DDB"/>
    <w:multiLevelType w:val="multilevel"/>
    <w:tmpl w:val="75A84B04"/>
    <w:lvl w:ilvl="0">
      <w:numFmt w:val="bullet"/>
      <w:lvlText w:val="•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2735D"/>
    <w:rsid w:val="000101E5"/>
    <w:rsid w:val="000404FD"/>
    <w:rsid w:val="000B2C98"/>
    <w:rsid w:val="00115585"/>
    <w:rsid w:val="00176446"/>
    <w:rsid w:val="002C473C"/>
    <w:rsid w:val="002C6CDC"/>
    <w:rsid w:val="0034645E"/>
    <w:rsid w:val="0038433E"/>
    <w:rsid w:val="0042735D"/>
    <w:rsid w:val="004279CE"/>
    <w:rsid w:val="005466AD"/>
    <w:rsid w:val="0057435E"/>
    <w:rsid w:val="00591158"/>
    <w:rsid w:val="005C12F1"/>
    <w:rsid w:val="006B6116"/>
    <w:rsid w:val="006C0A5C"/>
    <w:rsid w:val="006D5784"/>
    <w:rsid w:val="007156C9"/>
    <w:rsid w:val="007D27F9"/>
    <w:rsid w:val="00802355"/>
    <w:rsid w:val="008144AA"/>
    <w:rsid w:val="008144E9"/>
    <w:rsid w:val="00890AFB"/>
    <w:rsid w:val="00956439"/>
    <w:rsid w:val="00982A30"/>
    <w:rsid w:val="009C5D22"/>
    <w:rsid w:val="009D6270"/>
    <w:rsid w:val="00A253A6"/>
    <w:rsid w:val="00A444B3"/>
    <w:rsid w:val="00A45520"/>
    <w:rsid w:val="00AF2232"/>
    <w:rsid w:val="00BB47D7"/>
    <w:rsid w:val="00BF36D6"/>
    <w:rsid w:val="00C07946"/>
    <w:rsid w:val="00C22852"/>
    <w:rsid w:val="00C44C1D"/>
    <w:rsid w:val="00C713CB"/>
    <w:rsid w:val="00D4646F"/>
    <w:rsid w:val="00D468C0"/>
    <w:rsid w:val="00D74246"/>
    <w:rsid w:val="00DF7DA2"/>
    <w:rsid w:val="00E8495B"/>
    <w:rsid w:val="00EE13E4"/>
    <w:rsid w:val="00F57827"/>
    <w:rsid w:val="00FC4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kern w:val="3"/>
        <w:sz w:val="22"/>
        <w:szCs w:val="22"/>
        <w:lang w:val="sk-SK" w:eastAsia="sk-SK" w:bidi="ar-SA"/>
      </w:rPr>
    </w:rPrDefault>
    <w:pPrDefault>
      <w:pPr>
        <w:widowControl w:val="0"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</w:style>
  <w:style w:type="character" w:customStyle="1" w:styleId="Standardnpsmoodstavce">
    <w:name w:val="Standardní písmo odstavce"/>
  </w:style>
  <w:style w:type="paragraph" w:customStyle="1" w:styleId="Standard">
    <w:name w:val="Standard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kern w:val="3"/>
        <w:sz w:val="22"/>
        <w:szCs w:val="22"/>
        <w:lang w:val="sk-SK" w:eastAsia="sk-SK" w:bidi="ar-SA"/>
      </w:rPr>
    </w:rPrDefault>
    <w:pPrDefault>
      <w:pPr>
        <w:widowControl w:val="0"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</w:style>
  <w:style w:type="character" w:customStyle="1" w:styleId="Standardnpsmoodstavce">
    <w:name w:val="Standardní písmo odstavce"/>
  </w:style>
  <w:style w:type="paragraph" w:customStyle="1" w:styleId="Standard">
    <w:name w:val="Standard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1959</Words>
  <Characters>11167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13100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Krupová</dc:creator>
  <cp:lastModifiedBy>Vaha1</cp:lastModifiedBy>
  <cp:revision>12</cp:revision>
  <cp:lastPrinted>2025-06-16T11:50:00Z</cp:lastPrinted>
  <dcterms:created xsi:type="dcterms:W3CDTF">2024-03-14T09:02:00Z</dcterms:created>
  <dcterms:modified xsi:type="dcterms:W3CDTF">2026-04-13T12:42:00Z</dcterms:modified>
</cp:coreProperties>
</file>