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D6E" w:rsidRDefault="00683D6E" w:rsidP="00683D6E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Výročná správa</w:t>
      </w:r>
    </w:p>
    <w:p w:rsidR="00683D6E" w:rsidRDefault="00683D6E" w:rsidP="00683D6E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 xml:space="preserve">neinvestičného fondu LUKI, </w:t>
      </w:r>
      <w:proofErr w:type="spellStart"/>
      <w:r>
        <w:rPr>
          <w:b/>
          <w:sz w:val="40"/>
          <w:szCs w:val="40"/>
          <w:lang w:val="sk-SK"/>
        </w:rPr>
        <w:t>n.f</w:t>
      </w:r>
      <w:proofErr w:type="spellEnd"/>
      <w:r>
        <w:rPr>
          <w:b/>
          <w:sz w:val="40"/>
          <w:szCs w:val="40"/>
          <w:lang w:val="sk-SK"/>
        </w:rPr>
        <w:t>.</w:t>
      </w:r>
    </w:p>
    <w:p w:rsidR="00683D6E" w:rsidRDefault="00683D6E" w:rsidP="00683D6E">
      <w:pPr>
        <w:jc w:val="center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t>za rok 2024</w:t>
      </w:r>
    </w:p>
    <w:p w:rsidR="00683D6E" w:rsidRDefault="00683D6E" w:rsidP="00683D6E">
      <w:pPr>
        <w:jc w:val="center"/>
        <w:rPr>
          <w:b/>
          <w:sz w:val="40"/>
          <w:szCs w:val="40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</w:p>
    <w:p w:rsidR="00683D6E" w:rsidRDefault="00683D6E" w:rsidP="00683D6E">
      <w:pPr>
        <w:ind w:left="3540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LUKI, </w:t>
      </w:r>
      <w:proofErr w:type="spellStart"/>
      <w:r>
        <w:rPr>
          <w:sz w:val="28"/>
          <w:szCs w:val="28"/>
          <w:lang w:val="sk-SK"/>
        </w:rPr>
        <w:t>n.f</w:t>
      </w:r>
      <w:proofErr w:type="spellEnd"/>
      <w:r>
        <w:rPr>
          <w:sz w:val="28"/>
          <w:szCs w:val="28"/>
          <w:lang w:val="sk-SK"/>
        </w:rPr>
        <w:t>.</w:t>
      </w:r>
    </w:p>
    <w:p w:rsidR="00683D6E" w:rsidRDefault="00683D6E" w:rsidP="00683D6E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Neinvestičný fond</w:t>
      </w:r>
    </w:p>
    <w:p w:rsidR="00683D6E" w:rsidRDefault="00683D6E" w:rsidP="00683D6E">
      <w:pPr>
        <w:jc w:val="center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Hričovské Podhradie 102, 013 41 Dolný Hričov</w:t>
      </w: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Názov</w:t>
      </w:r>
      <w:r>
        <w:rPr>
          <w:lang w:val="sk-SK"/>
        </w:rPr>
        <w:tab/>
      </w:r>
      <w:r>
        <w:rPr>
          <w:sz w:val="28"/>
          <w:szCs w:val="28"/>
          <w:lang w:val="sk-SK"/>
        </w:rPr>
        <w:tab/>
      </w:r>
      <w:r>
        <w:rPr>
          <w:sz w:val="28"/>
          <w:szCs w:val="28"/>
          <w:lang w:val="sk-SK"/>
        </w:rPr>
        <w:tab/>
        <w:t>:</w:t>
      </w:r>
      <w:r>
        <w:rPr>
          <w:sz w:val="28"/>
          <w:szCs w:val="28"/>
          <w:lang w:val="sk-SK"/>
        </w:rPr>
        <w:tab/>
      </w:r>
      <w:r>
        <w:rPr>
          <w:lang w:val="sk-SK"/>
        </w:rPr>
        <w:t xml:space="preserve">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>.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Právna forma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neinvestičný fond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Adresa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Hričovské Podhradie 102, 013 41 Dolný Hričov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IČO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45739374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Bankové spojenie</w:t>
      </w:r>
      <w:r>
        <w:rPr>
          <w:lang w:val="sk-SK"/>
        </w:rPr>
        <w:tab/>
        <w:t>:</w:t>
      </w:r>
      <w:r>
        <w:rPr>
          <w:lang w:val="sk-SK"/>
        </w:rPr>
        <w:tab/>
        <w:t>2958706449/ 1100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Správca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83D6E" w:rsidRDefault="00683D6E" w:rsidP="00683D6E">
      <w:pPr>
        <w:rPr>
          <w:lang w:val="sk-SK"/>
        </w:rPr>
      </w:pPr>
      <w:r>
        <w:rPr>
          <w:lang w:val="sk-SK"/>
        </w:rPr>
        <w:lastRenderedPageBreak/>
        <w:t>Správna rada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83D6E" w:rsidRDefault="00683D6E" w:rsidP="00683D6E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Dagmar </w:t>
      </w:r>
      <w:proofErr w:type="spellStart"/>
      <w:r>
        <w:rPr>
          <w:lang w:val="sk-SK"/>
        </w:rPr>
        <w:t>Laluhová</w:t>
      </w:r>
      <w:proofErr w:type="spellEnd"/>
    </w:p>
    <w:p w:rsidR="00683D6E" w:rsidRDefault="00683D6E" w:rsidP="00683D6E">
      <w:pPr>
        <w:rPr>
          <w:lang w:val="sk-SK"/>
        </w:rPr>
      </w:pPr>
      <w:r>
        <w:rPr>
          <w:lang w:val="sk-SK"/>
        </w:rPr>
        <w:t>Registrácia</w:t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>NF- 4/ 12 neinvestičný fond Obvodný úrad v Žiline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Zakladatelia fondu</w:t>
      </w:r>
      <w:r>
        <w:rPr>
          <w:lang w:val="sk-SK"/>
        </w:rPr>
        <w:tab/>
        <w:t>:</w:t>
      </w:r>
      <w:r>
        <w:rPr>
          <w:lang w:val="sk-SK"/>
        </w:rPr>
        <w:tab/>
        <w:t xml:space="preserve">Andrea </w:t>
      </w:r>
      <w:proofErr w:type="spellStart"/>
      <w:r>
        <w:rPr>
          <w:lang w:val="sk-SK"/>
        </w:rPr>
        <w:t>Hvorečná</w:t>
      </w:r>
      <w:proofErr w:type="spellEnd"/>
    </w:p>
    <w:p w:rsidR="00683D6E" w:rsidRDefault="00683D6E" w:rsidP="00683D6E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Silvia Beňadiková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Poslanie a ciele fondu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Činnosť fondu je zameraná na poskytovanie zdravotnej, materiálnej a technickej pomoci a podporu pre zdravotne postihnutého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, zabezpečenie liečebnej a rehabilitačnej starostlivosti ako aj obstaranie zdravotníckych a rehabilitačných pomôcok. Individuálna humanitárna pomoc pre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 spočíva aj vo vykonávaní stavebných úprav bytových a nebytových priestorov za účelom ich sprístupnenia a začlenenie sa do bežného života spoločnosti .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Neinvestičný fond LUKI, </w:t>
      </w:r>
      <w:proofErr w:type="spellStart"/>
      <w:r>
        <w:rPr>
          <w:lang w:val="sk-SK"/>
        </w:rPr>
        <w:t>n.f</w:t>
      </w:r>
      <w:proofErr w:type="spellEnd"/>
      <w:r>
        <w:rPr>
          <w:lang w:val="sk-SK"/>
        </w:rPr>
        <w:t xml:space="preserve">. bol zriadený v roku </w:t>
      </w:r>
      <w:smartTag w:uri="urn:schemas-microsoft-com:office:smarttags" w:element="metricconverter">
        <w:smartTagPr>
          <w:attr w:name="ProductID" w:val="2012 a"/>
        </w:smartTagPr>
        <w:r>
          <w:rPr>
            <w:lang w:val="sk-SK"/>
          </w:rPr>
          <w:t>2012 a</w:t>
        </w:r>
      </w:smartTag>
      <w:r>
        <w:rPr>
          <w:lang w:val="sk-SK"/>
        </w:rPr>
        <w:t xml:space="preserve"> podporoval činnosti v zmysle princípov a cieľov, ktoré boli účelom jeho zriadenia a vynakladal úsilie na informovanosť a propagáciu zriadeného fondu. V roku 2013 pokračoval v svojej činnosti a pripravoval podmienky na splnenie kritérií </w:t>
      </w:r>
      <w:proofErr w:type="spellStart"/>
      <w:r>
        <w:rPr>
          <w:lang w:val="sk-SK"/>
        </w:rPr>
        <w:t>prímania</w:t>
      </w:r>
      <w:proofErr w:type="spellEnd"/>
      <w:r>
        <w:rPr>
          <w:lang w:val="sk-SK"/>
        </w:rPr>
        <w:t xml:space="preserve"> dvoch percent z príjmov fyzických a právnických osôb.  V roku 2014 taktiež pokračoval vo svojej činnosti a získané finančné prostriedky vynaložil na zabezpečenie špecifických potrieb pre postihnutého Lukáška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Rok 2015 bol úspešný v činnosti pre získanie 2% z daní fyzických a právnických osôb ako i darov fyzických osôb. V roku 2016 sme získali taktiež významnú sumu z 2% dane fyzických a právnických osôb, ktoré boli poskytnuté pre mobilitu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>. V roku 2017 sme ešte viac zapracovali na získanie vyššej sumy 2 % daní, ako v predchádzajúcich  obdobiach.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V roku 2018 sme zakúpili špeciálne zdvíhacie zariadenie, ktoré významne pomáha pri každodennej obsluhe, a zvládaní hygienických činností Lukáša </w:t>
      </w:r>
      <w:proofErr w:type="spellStart"/>
      <w:r>
        <w:rPr>
          <w:lang w:val="sk-SK"/>
        </w:rPr>
        <w:t>Janošíka</w:t>
      </w:r>
      <w:proofErr w:type="spellEnd"/>
      <w:r>
        <w:rPr>
          <w:lang w:val="sk-SK"/>
        </w:rPr>
        <w:t xml:space="preserve">. 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V roku 2019 sme maximalizovali úsilie pri oslovovaní daňových subjektov pre získanie 2% z ich daní. Oslovovanie počas troch mesiacov sa odzrkadlilo v doposiaľ najvyššej získanej sume, ktorú spolu s vyzberanou sumou za rok 2020 podporíme zdravotnú a materiálovú pomoc Lukášovi </w:t>
      </w:r>
      <w:proofErr w:type="spellStart"/>
      <w:r>
        <w:rPr>
          <w:lang w:val="sk-SK"/>
        </w:rPr>
        <w:t>Janošíkovi</w:t>
      </w:r>
      <w:proofErr w:type="spellEnd"/>
      <w:r>
        <w:rPr>
          <w:lang w:val="sk-SK"/>
        </w:rPr>
        <w:t xml:space="preserve">. V roku 2019 sme z fondu zakúpili </w:t>
      </w:r>
      <w:proofErr w:type="spellStart"/>
      <w:r>
        <w:rPr>
          <w:lang w:val="sk-SK"/>
        </w:rPr>
        <w:t>tablet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Lenovo</w:t>
      </w:r>
      <w:proofErr w:type="spellEnd"/>
      <w:r>
        <w:rPr>
          <w:lang w:val="sk-SK"/>
        </w:rPr>
        <w:t xml:space="preserve">, pre socializáciu a rozvoj tvorivosti a trénovanie motoriky. V roku 2020 sme z dôvodu pandémie </w:t>
      </w:r>
      <w:proofErr w:type="spellStart"/>
      <w:r>
        <w:rPr>
          <w:lang w:val="sk-SK"/>
        </w:rPr>
        <w:t>Covid</w:t>
      </w:r>
      <w:proofErr w:type="spellEnd"/>
      <w:r>
        <w:rPr>
          <w:lang w:val="sk-SK"/>
        </w:rPr>
        <w:t xml:space="preserve"> 19 sme získali rapídne nižšiu sumu podielu 2% z daní ako v predchádzajúcom období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ale sa nám podarilo zadovážiť najlepší </w:t>
      </w:r>
      <w:proofErr w:type="spellStart"/>
      <w:r>
        <w:rPr>
          <w:lang w:val="sk-SK"/>
        </w:rPr>
        <w:t>švajčiarský</w:t>
      </w:r>
      <w:proofErr w:type="spellEnd"/>
      <w:r>
        <w:rPr>
          <w:lang w:val="sk-SK"/>
        </w:rPr>
        <w:t xml:space="preserve"> masážny prístroj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, </w:t>
      </w:r>
      <w:proofErr w:type="spellStart"/>
      <w:r>
        <w:rPr>
          <w:lang w:val="sk-SK"/>
        </w:rPr>
        <w:t>bioptronovú</w:t>
      </w:r>
      <w:proofErr w:type="spellEnd"/>
      <w:r>
        <w:rPr>
          <w:lang w:val="sk-SK"/>
        </w:rPr>
        <w:t xml:space="preserve"> lampu </w:t>
      </w:r>
      <w:proofErr w:type="spellStart"/>
      <w:r>
        <w:rPr>
          <w:lang w:val="sk-SK"/>
        </w:rPr>
        <w:t>Bioptron</w:t>
      </w:r>
      <w:proofErr w:type="spellEnd"/>
      <w:r>
        <w:rPr>
          <w:lang w:val="sk-SK"/>
        </w:rPr>
        <w:t xml:space="preserve"> </w:t>
      </w:r>
      <w:proofErr w:type="spellStart"/>
      <w:r>
        <w:rPr>
          <w:lang w:val="sk-SK"/>
        </w:rPr>
        <w:t>Pro</w:t>
      </w:r>
      <w:proofErr w:type="spellEnd"/>
      <w:r>
        <w:rPr>
          <w:lang w:val="sk-SK"/>
        </w:rPr>
        <w:t xml:space="preserve"> 1 na liečebné účely, ako aj sadu farebných filtrov – </w:t>
      </w:r>
      <w:proofErr w:type="spellStart"/>
      <w:r>
        <w:rPr>
          <w:lang w:val="sk-SK"/>
        </w:rPr>
        <w:t>Koloroterapiu</w:t>
      </w:r>
      <w:proofErr w:type="spellEnd"/>
      <w:r>
        <w:rPr>
          <w:lang w:val="sk-SK"/>
        </w:rPr>
        <w:t>,</w:t>
      </w:r>
    </w:p>
    <w:p w:rsidR="00683D6E" w:rsidRDefault="00683D6E" w:rsidP="00683D6E">
      <w:pPr>
        <w:rPr>
          <w:lang w:val="sk-SK"/>
        </w:rPr>
      </w:pPr>
      <w:proofErr w:type="spellStart"/>
      <w:r>
        <w:rPr>
          <w:lang w:val="sk-SK"/>
        </w:rPr>
        <w:t>doplňajúcu</w:t>
      </w:r>
      <w:proofErr w:type="spellEnd"/>
      <w:r>
        <w:rPr>
          <w:lang w:val="sk-SK"/>
        </w:rPr>
        <w:t xml:space="preserve"> o rehabilitačné funkcie </w:t>
      </w:r>
      <w:proofErr w:type="spellStart"/>
      <w:r>
        <w:rPr>
          <w:lang w:val="sk-SK"/>
        </w:rPr>
        <w:t>bioptronovej</w:t>
      </w:r>
      <w:proofErr w:type="spellEnd"/>
      <w:r>
        <w:rPr>
          <w:lang w:val="sk-SK"/>
        </w:rPr>
        <w:t xml:space="preserve"> lampy </w:t>
      </w:r>
      <w:proofErr w:type="spellStart"/>
      <w:r>
        <w:rPr>
          <w:lang w:val="sk-SK"/>
        </w:rPr>
        <w:t>zepter</w:t>
      </w:r>
      <w:proofErr w:type="spellEnd"/>
      <w:r>
        <w:rPr>
          <w:lang w:val="sk-SK"/>
        </w:rPr>
        <w:t xml:space="preserve">. V roku 2021 sme neboli zaradený do zoznamu </w:t>
      </w:r>
      <w:proofErr w:type="spellStart"/>
      <w:r>
        <w:rPr>
          <w:lang w:val="sk-SK"/>
        </w:rPr>
        <w:t>príjmateľov</w:t>
      </w:r>
      <w:proofErr w:type="spellEnd"/>
      <w:r>
        <w:rPr>
          <w:lang w:val="sk-SK"/>
        </w:rPr>
        <w:t xml:space="preserve"> 2% z daní pretože sme z dôvodu </w:t>
      </w:r>
      <w:proofErr w:type="spellStart"/>
      <w:r>
        <w:rPr>
          <w:lang w:val="sk-SK"/>
        </w:rPr>
        <w:t>pandemických</w:t>
      </w:r>
      <w:proofErr w:type="spellEnd"/>
      <w:r>
        <w:rPr>
          <w:lang w:val="sk-SK"/>
        </w:rPr>
        <w:t xml:space="preserve"> opatrení nestihli včas registráciu určených právnických osôb. Počas roka 2021 ešte postupne prichádzali finančné prostriedky 2% z daní z predchádzajúceho obdobia, kedy boli povolené rôzne odkladné termíny na podávanie daňových priznaní.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V roku 2021 sme preto iba združovali finančné prostriedky a pripravovali sme sa na účelné využitie v nasledujúcom období. V roku 2022 sa zrealizovala rekonštrukcia podlahovej plochy bytovej jednotky pre bezbariérový presun vozíčkara a súčasne sa združovali finančné prostriedky 2% z daní .</w:t>
      </w:r>
      <w:r>
        <w:rPr>
          <w:vertAlign w:val="subscript"/>
          <w:lang w:val="sk-SK"/>
        </w:rPr>
        <w:t xml:space="preserve"> V </w:t>
      </w:r>
      <w:r>
        <w:rPr>
          <w:lang w:val="sk-SK"/>
        </w:rPr>
        <w:t xml:space="preserve">roku 2023 sa všetky nazbierané finančné prostriedky použili na účel fondu – invalidný vozík, rehabilitačný pobyt a elektronickú pomôcku. V roku 2024 bol fond nečinný. V roku 2025 bol fond taktiež nečinný a pripravuje sa na zrušenie.   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Prehľad príjmov podľa zdrojov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Finančné prostriedky získané v roku 2025</w:t>
      </w:r>
      <w:r>
        <w:rPr>
          <w:lang w:val="sk-SK"/>
        </w:rPr>
        <w:tab/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Verejné zbierky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Prevod zostatku z roku 2024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</w:p>
    <w:p w:rsidR="00683D6E" w:rsidRDefault="00683D6E" w:rsidP="00683D6E">
      <w:pPr>
        <w:rPr>
          <w:lang w:val="sk-SK"/>
        </w:rPr>
      </w:pPr>
      <w:r>
        <w:rPr>
          <w:b/>
          <w:lang w:val="sk-SK"/>
        </w:rPr>
        <w:t xml:space="preserve">   </w:t>
      </w:r>
      <w:r>
        <w:rPr>
          <w:lang w:val="sk-SK"/>
        </w:rPr>
        <w:t xml:space="preserve">Zostatok v pokladni: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       0,00 €</w:t>
      </w:r>
      <w:r>
        <w:rPr>
          <w:lang w:val="sk-SK"/>
        </w:rPr>
        <w:tab/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   Zostatok na účte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0,00 € 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   Zostatok spolu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0,00 €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Finančná správa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Príjmy: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Dary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2</w:t>
      </w:r>
      <w:r>
        <w:rPr>
          <w:lang w:val="en-US"/>
        </w:rPr>
        <w:t>%</w:t>
      </w:r>
      <w:r>
        <w:rPr>
          <w:vertAlign w:val="subscript"/>
          <w:lang w:val="sk-SK"/>
        </w:rPr>
        <w:t xml:space="preserve"> </w:t>
      </w:r>
      <w:r>
        <w:rPr>
          <w:lang w:val="sk-SK"/>
        </w:rPr>
        <w:t>z podielu zaplatenej dane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Úroky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Verejné zbierky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0,00 €</w:t>
      </w: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Príjmy za rok 2024  celkom: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 xml:space="preserve">             0,00€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Výdavky:</w:t>
      </w:r>
    </w:p>
    <w:p w:rsidR="00683D6E" w:rsidRPr="006A392B" w:rsidRDefault="00683D6E" w:rsidP="00683D6E">
      <w:pPr>
        <w:rPr>
          <w:b/>
          <w:lang w:val="sk-SK"/>
        </w:rPr>
      </w:pPr>
      <w:r>
        <w:rPr>
          <w:b/>
          <w:lang w:val="sk-SK"/>
        </w:rPr>
        <w:t>Výdavky na financovanie účelu fondu :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lang w:val="sk-SK"/>
        </w:rPr>
        <w:t>Výdavky na financovanie účelu fondu spolu</w:t>
      </w:r>
      <w:r>
        <w:rPr>
          <w:lang w:val="sk-SK"/>
        </w:rPr>
        <w:tab/>
      </w:r>
      <w:r>
        <w:rPr>
          <w:lang w:val="sk-SK"/>
        </w:rPr>
        <w:tab/>
        <w:t>:          0,00 €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Správa fondu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Vedenie účtu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Dane s príjmu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0,00  €</w:t>
      </w: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Výdavky za rok 2025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0,00 €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ab/>
        <w:t xml:space="preserve"> 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Majetok a záväzky fondu</w:t>
      </w:r>
    </w:p>
    <w:p w:rsidR="00683D6E" w:rsidRDefault="00683D6E" w:rsidP="00683D6E">
      <w:pPr>
        <w:rPr>
          <w:b/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Účet v banke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</w:t>
      </w:r>
      <w:r>
        <w:rPr>
          <w:lang w:val="sk-SK"/>
        </w:rPr>
        <w:tab/>
        <w:t xml:space="preserve">                    0,00 €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Pokladňa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:                              0 ,00 €</w:t>
      </w: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>Majetok celkom</w:t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</w:r>
      <w:r>
        <w:rPr>
          <w:b/>
          <w:lang w:val="sk-SK"/>
        </w:rPr>
        <w:tab/>
        <w:t>:</w:t>
      </w:r>
      <w:r>
        <w:rPr>
          <w:b/>
          <w:lang w:val="sk-SK"/>
        </w:rPr>
        <w:tab/>
        <w:t xml:space="preserve">                    0,00 €</w:t>
      </w: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jc w:val="center"/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  <w:bookmarkStart w:id="0" w:name="_GoBack"/>
      <w:bookmarkEnd w:id="0"/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sz w:val="28"/>
          <w:szCs w:val="28"/>
          <w:lang w:val="sk-SK"/>
        </w:rPr>
      </w:pPr>
    </w:p>
    <w:p w:rsidR="00683D6E" w:rsidRDefault="00683D6E" w:rsidP="00683D6E">
      <w:pPr>
        <w:rPr>
          <w:b/>
          <w:lang w:val="sk-SK"/>
        </w:rPr>
      </w:pPr>
      <w:r>
        <w:rPr>
          <w:b/>
          <w:lang w:val="sk-SK"/>
        </w:rPr>
        <w:t xml:space="preserve">Zmeny vykonané v štatúte a v zložení orgánov 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 xml:space="preserve">V roku 2025  neboli vykonané žiadne zmeny v štatúte a v zložení orgánov. </w:t>
      </w:r>
    </w:p>
    <w:p w:rsidR="00683D6E" w:rsidRDefault="00683D6E" w:rsidP="00683D6E">
      <w:pPr>
        <w:rPr>
          <w:lang w:val="sk-SK"/>
        </w:rPr>
      </w:pPr>
      <w:r>
        <w:rPr>
          <w:lang w:val="sk-SK"/>
        </w:rPr>
        <w:t>Členovia správnej rady a správca fondu vykonávali svoju činnosť bez nároku na odmenu.</w:t>
      </w: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</w:p>
    <w:p w:rsidR="00683D6E" w:rsidRDefault="00683D6E" w:rsidP="00683D6E">
      <w:pPr>
        <w:rPr>
          <w:lang w:val="sk-SK"/>
        </w:rPr>
      </w:pPr>
      <w:r>
        <w:rPr>
          <w:lang w:val="sk-SK"/>
        </w:rPr>
        <w:t>V Žiline 30.03.2026</w:t>
      </w:r>
    </w:p>
    <w:p w:rsidR="00B13B43" w:rsidRDefault="00B13B43"/>
    <w:sectPr w:rsidR="00B13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D6E"/>
    <w:rsid w:val="00683D6E"/>
    <w:rsid w:val="00A46545"/>
    <w:rsid w:val="00B1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3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6545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6545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6545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sk-SK"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6545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sk-SK"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6545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6545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6545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6545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6545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6545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6545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6545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6545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6545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654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654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6545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6545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6545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A46545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46545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46545"/>
    <w:rPr>
      <w:b/>
      <w:bCs/>
    </w:rPr>
  </w:style>
  <w:style w:type="character" w:styleId="Zvraznenie">
    <w:name w:val="Emphasis"/>
    <w:uiPriority w:val="20"/>
    <w:qFormat/>
    <w:rsid w:val="00A46545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A46545"/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A46545"/>
    <w:pPr>
      <w:spacing w:after="12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A46545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654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6545"/>
    <w:rPr>
      <w:i/>
      <w:iCs/>
    </w:rPr>
  </w:style>
  <w:style w:type="character" w:styleId="Jemnzvraznenie">
    <w:name w:val="Subtle Emphasis"/>
    <w:uiPriority w:val="19"/>
    <w:qFormat/>
    <w:rsid w:val="00A46545"/>
    <w:rPr>
      <w:i/>
      <w:iCs/>
    </w:rPr>
  </w:style>
  <w:style w:type="character" w:styleId="Intenzvnezvraznenie">
    <w:name w:val="Intense Emphasis"/>
    <w:uiPriority w:val="21"/>
    <w:qFormat/>
    <w:rsid w:val="00A46545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A46545"/>
    <w:rPr>
      <w:smallCaps/>
    </w:rPr>
  </w:style>
  <w:style w:type="character" w:styleId="Intenzvnyodkaz">
    <w:name w:val="Intense Reference"/>
    <w:uiPriority w:val="32"/>
    <w:qFormat/>
    <w:rsid w:val="00A46545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A46545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6545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3D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6545"/>
    <w:pPr>
      <w:spacing w:before="480" w:line="276" w:lineRule="auto"/>
      <w:contextualSpacing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val="sk-SK"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6545"/>
    <w:pPr>
      <w:spacing w:before="200" w:line="271" w:lineRule="auto"/>
      <w:outlineLvl w:val="1"/>
    </w:pPr>
    <w:rPr>
      <w:rFonts w:asciiTheme="majorHAnsi" w:eastAsiaTheme="minorHAnsi" w:hAnsiTheme="majorHAnsi" w:cstheme="majorBidi"/>
      <w:smallCaps/>
      <w:sz w:val="28"/>
      <w:szCs w:val="28"/>
      <w:lang w:val="sk-SK" w:eastAsia="en-US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6545"/>
    <w:pPr>
      <w:spacing w:before="200" w:line="271" w:lineRule="auto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val="sk-SK" w:eastAsia="en-US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6545"/>
    <w:pPr>
      <w:spacing w:line="271" w:lineRule="auto"/>
      <w:outlineLvl w:val="3"/>
    </w:pPr>
    <w:rPr>
      <w:rFonts w:asciiTheme="majorHAnsi" w:eastAsiaTheme="minorHAnsi" w:hAnsiTheme="majorHAnsi" w:cstheme="majorBidi"/>
      <w:b/>
      <w:bCs/>
      <w:spacing w:val="5"/>
      <w:lang w:val="sk-SK" w:eastAsia="en-US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6545"/>
    <w:pPr>
      <w:spacing w:line="271" w:lineRule="auto"/>
      <w:outlineLvl w:val="4"/>
    </w:pPr>
    <w:rPr>
      <w:rFonts w:asciiTheme="majorHAnsi" w:eastAsiaTheme="minorHAnsi" w:hAnsiTheme="majorHAnsi" w:cstheme="majorBidi"/>
      <w:i/>
      <w:iCs/>
      <w:lang w:val="sk-SK" w:eastAsia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6545"/>
    <w:pPr>
      <w:shd w:val="clear" w:color="auto" w:fill="FFFFFF" w:themeFill="background1"/>
      <w:spacing w:line="271" w:lineRule="auto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val="sk-SK" w:eastAsia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6545"/>
    <w:pPr>
      <w:spacing w:line="276" w:lineRule="auto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val="sk-SK" w:eastAsia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6545"/>
    <w:pPr>
      <w:spacing w:line="276" w:lineRule="auto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val="sk-SK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6545"/>
    <w:pPr>
      <w:spacing w:line="271" w:lineRule="auto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46545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6545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6545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6545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6545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6545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6545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6545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6545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6545"/>
    <w:pPr>
      <w:spacing w:after="300"/>
      <w:contextualSpacing/>
    </w:pPr>
    <w:rPr>
      <w:rFonts w:asciiTheme="majorHAnsi" w:eastAsiaTheme="minorHAnsi" w:hAnsiTheme="majorHAnsi" w:cstheme="majorBidi"/>
      <w:smallCaps/>
      <w:sz w:val="52"/>
      <w:szCs w:val="5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10"/>
    <w:rsid w:val="00A46545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46545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A46545"/>
    <w:rPr>
      <w:b/>
      <w:bCs/>
    </w:rPr>
  </w:style>
  <w:style w:type="character" w:styleId="Zvraznenie">
    <w:name w:val="Emphasis"/>
    <w:uiPriority w:val="20"/>
    <w:qFormat/>
    <w:rsid w:val="00A46545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A46545"/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Odsekzoznamu">
    <w:name w:val="List Paragraph"/>
    <w:basedOn w:val="Normlny"/>
    <w:uiPriority w:val="34"/>
    <w:qFormat/>
    <w:rsid w:val="00A46545"/>
    <w:pPr>
      <w:spacing w:after="120" w:line="276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sk-SK" w:eastAsia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A46545"/>
    <w:pPr>
      <w:spacing w:after="120" w:line="276" w:lineRule="auto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A46545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6545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val="sk-SK"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6545"/>
    <w:rPr>
      <w:i/>
      <w:iCs/>
    </w:rPr>
  </w:style>
  <w:style w:type="character" w:styleId="Jemnzvraznenie">
    <w:name w:val="Subtle Emphasis"/>
    <w:uiPriority w:val="19"/>
    <w:qFormat/>
    <w:rsid w:val="00A46545"/>
    <w:rPr>
      <w:i/>
      <w:iCs/>
    </w:rPr>
  </w:style>
  <w:style w:type="character" w:styleId="Intenzvnezvraznenie">
    <w:name w:val="Intense Emphasis"/>
    <w:uiPriority w:val="21"/>
    <w:qFormat/>
    <w:rsid w:val="00A46545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A46545"/>
    <w:rPr>
      <w:smallCaps/>
    </w:rPr>
  </w:style>
  <w:style w:type="character" w:styleId="Intenzvnyodkaz">
    <w:name w:val="Intense Reference"/>
    <w:uiPriority w:val="32"/>
    <w:qFormat/>
    <w:rsid w:val="00A46545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A46545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6545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Toshiba PC</cp:lastModifiedBy>
  <cp:revision>1</cp:revision>
  <dcterms:created xsi:type="dcterms:W3CDTF">2026-04-15T10:57:00Z</dcterms:created>
  <dcterms:modified xsi:type="dcterms:W3CDTF">2026-04-15T10:59:00Z</dcterms:modified>
</cp:coreProperties>
</file>