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left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Poznámky k účtovnej závierke za obdobie</w:t>
      </w:r>
    </w:p>
    <w:p w:rsidR="00000000" w:rsidDel="00000000" w:rsidP="00000000" w:rsidRDefault="00000000" w:rsidRPr="00000000" w14:paraId="0000000C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-29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od 1.1.2025 do 31.12.2025</w:t>
      </w:r>
    </w:p>
    <w:p w:rsidR="00000000" w:rsidDel="00000000" w:rsidP="00000000" w:rsidRDefault="00000000" w:rsidRPr="00000000" w14:paraId="0000000D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4180"/>
          <w:tab w:val="center" w:leader="none" w:pos="6898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497.0" w:type="dxa"/>
        <w:tblLayout w:type="fixed"/>
        <w:tblLook w:val="0400"/>
      </w:tblPr>
      <w:tblGrid>
        <w:gridCol w:w="2025"/>
        <w:gridCol w:w="7605"/>
        <w:tblGridChange w:id="0">
          <w:tblGrid>
            <w:gridCol w:w="2025"/>
            <w:gridCol w:w="7605"/>
          </w:tblGrid>
        </w:tblGridChange>
      </w:tblGrid>
      <w:tr>
        <w:trPr>
          <w:cantSplit w:val="0"/>
          <w:trHeight w:val="32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Obchodné meno: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Startup Consulting s.r.o.</w:t>
            </w:r>
          </w:p>
        </w:tc>
      </w:tr>
      <w:tr>
        <w:trPr>
          <w:cantSplit w:val="0"/>
          <w:trHeight w:val="24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spacing w:line="259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Staromestská 3</w:t>
            </w:r>
          </w:p>
          <w:p w:rsidR="00000000" w:rsidDel="00000000" w:rsidP="00000000" w:rsidRDefault="00000000" w:rsidRPr="00000000" w14:paraId="00000014">
            <w:pPr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Bratislava - mestská časť Staré Mesto 811 03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Právna forma: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Spoločnosť s ručením obmedzeným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Dátum vzniku: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02.10.2012</w:t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spacing w:line="259" w:lineRule="auto"/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Hlavný predmet  podnikania: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line="259" w:lineRule="auto"/>
              <w:ind w:left="0"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Ostatné pomocné obchodné činnosti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spacing w:line="259" w:lineRule="auto"/>
              <w:ind w:left="0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Štaturárny orgán: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spacing w:line="259" w:lineRule="auto"/>
              <w:ind w:left="0" w:firstLine="0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  <w:t xml:space="preserve">konateľ – Michal Nešpor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59" w:lineRule="auto"/>
              <w:ind w:left="0" w:firstLine="0"/>
              <w:rPr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9771.0" w:type="dxa"/>
        <w:jc w:val="left"/>
        <w:tblLayout w:type="fixed"/>
        <w:tblLook w:val="0400"/>
      </w:tblPr>
      <w:tblGrid>
        <w:gridCol w:w="4862"/>
        <w:gridCol w:w="4909"/>
        <w:tblGridChange w:id="0">
          <w:tblGrid>
            <w:gridCol w:w="4862"/>
            <w:gridCol w:w="4909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ind w:left="416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Priemerný prepočítaný počet zamestnancov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ind w:lef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18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 - (3)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57" w:lineRule="auto"/>
        <w:ind w:left="-5" w:firstLine="0"/>
        <w:rPr/>
      </w:pPr>
      <w:r w:rsidDel="00000000" w:rsidR="00000000" w:rsidRPr="00000000">
        <w:rPr>
          <w:rtl w:val="0"/>
        </w:rPr>
        <w:t xml:space="preserve">Dátum schválenia účtovnej závierky za bezprostredne predchádzajúce účtovné obdobie príslušným orgánom účtovnej jednotky. </w:t>
      </w:r>
    </w:p>
    <w:p w:rsidR="00000000" w:rsidDel="00000000" w:rsidP="00000000" w:rsidRDefault="00000000" w:rsidRPr="00000000" w14:paraId="00000027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30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19.6.2025</w:t>
      </w:r>
    </w:p>
    <w:p w:rsidR="00000000" w:rsidDel="00000000" w:rsidP="00000000" w:rsidRDefault="00000000" w:rsidRPr="00000000" w14:paraId="00000028">
      <w:pPr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08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 - (4)</w:t>
      </w:r>
    </w:p>
    <w:p w:rsidR="00000000" w:rsidDel="00000000" w:rsidP="00000000" w:rsidRDefault="00000000" w:rsidRPr="00000000" w14:paraId="0000002A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44" w:lineRule="auto"/>
        <w:ind w:left="-5" w:firstLine="0"/>
        <w:rPr/>
      </w:pPr>
      <w:r w:rsidDel="00000000" w:rsidR="00000000" w:rsidRPr="00000000">
        <w:rPr>
          <w:rtl w:val="0"/>
        </w:rPr>
        <w:t xml:space="preserve">Právny dôvod na zostavenie účtovnej závierky.</w:t>
      </w:r>
    </w:p>
    <w:p w:rsidR="00000000" w:rsidDel="00000000" w:rsidP="00000000" w:rsidRDefault="00000000" w:rsidRPr="00000000" w14:paraId="0000002C">
      <w:pPr>
        <w:pBdr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pBdr>
        <w:spacing w:after="143" w:line="265" w:lineRule="auto"/>
        <w:ind w:left="-5" w:firstLine="0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2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II</w:t>
      </w:r>
    </w:p>
    <w:p w:rsidR="00000000" w:rsidDel="00000000" w:rsidP="00000000" w:rsidRDefault="00000000" w:rsidRPr="00000000" w14:paraId="0000002E">
      <w:pPr>
        <w:spacing w:after="314" w:line="265" w:lineRule="auto"/>
        <w:ind w:left="120" w:right="258" w:firstLine="0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Informácie o prijatých postupoch</w:t>
      </w:r>
    </w:p>
    <w:p w:rsidR="00000000" w:rsidDel="00000000" w:rsidP="00000000" w:rsidRDefault="00000000" w:rsidRPr="00000000" w14:paraId="0000002F">
      <w:pPr>
        <w:spacing w:after="154" w:lineRule="auto"/>
        <w:ind w:left="-5" w:firstLine="0"/>
        <w:rPr/>
      </w:pPr>
      <w:r w:rsidDel="00000000" w:rsidR="00000000" w:rsidRPr="00000000">
        <w:rPr>
          <w:b w:val="1"/>
          <w:bCs w:val="1"/>
          <w:rtl w:val="0"/>
        </w:rPr>
        <w:t xml:space="preserve">(1)</w:t>
      </w:r>
      <w:r w:rsidDel="00000000" w:rsidR="00000000" w:rsidRPr="00000000">
        <w:rPr>
          <w:rtl w:val="0"/>
        </w:rPr>
        <w:t xml:space="preserve">       Informácia, či je účtovná závierka zostavená za splnenia predpokladu, že účtovná jednotka bude nepretržite pokračovať vo svojej činnosti. </w:t>
      </w:r>
    </w:p>
    <w:p w:rsidR="00000000" w:rsidDel="00000000" w:rsidP="00000000" w:rsidRDefault="00000000" w:rsidRPr="00000000" w14:paraId="00000030">
      <w:pPr>
        <w:spacing w:after="154" w:lineRule="auto"/>
        <w:ind w:left="-5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751.0" w:type="dxa"/>
        <w:jc w:val="left"/>
        <w:tblInd w:w="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751"/>
        <w:tblGridChange w:id="0">
          <w:tblGrid>
            <w:gridCol w:w="975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Áno</w:t>
            </w:r>
          </w:p>
        </w:tc>
      </w:tr>
    </w:tbl>
    <w:p w:rsidR="00000000" w:rsidDel="00000000" w:rsidP="00000000" w:rsidRDefault="00000000" w:rsidRPr="00000000" w14:paraId="00000032">
      <w:pPr>
        <w:spacing w:after="154" w:lineRule="auto"/>
        <w:ind w:left="-5" w:firstLine="0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43" w:lineRule="auto"/>
        <w:ind w:left="5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         ČI. III ods.1 písm t) o krátkodobom finančnom majetku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Tabuľka 21: Informácie k ČI. III ods.1 písm t) o krátkodobom finančnom majetku</w:t>
      </w:r>
    </w:p>
    <w:p w:rsidR="00000000" w:rsidDel="00000000" w:rsidP="00000000" w:rsidRDefault="00000000" w:rsidRPr="00000000" w14:paraId="00000035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rHeight w:val="532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Bežné účty v banke alebo v pobočke zahraničnej banky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25580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8722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Vkladové účty v banke alebo v pobočke zahraničnej banky termínované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Peniaze na ceste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25580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8722</w:t>
            </w:r>
          </w:p>
        </w:tc>
      </w:tr>
    </w:tbl>
    <w:p w:rsidR="00000000" w:rsidDel="00000000" w:rsidP="00000000" w:rsidRDefault="00000000" w:rsidRPr="00000000" w14:paraId="00000048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Tabuľka 24: Informácie k ČI. III ods.2 písm a) o rozdelení účtovného zisku alebo o vysporiadaní účtovnej straty</w:t>
      </w:r>
    </w:p>
    <w:p w:rsidR="00000000" w:rsidDel="00000000" w:rsidP="00000000" w:rsidRDefault="00000000" w:rsidRPr="00000000" w14:paraId="0000004A">
      <w:pPr>
        <w:spacing w:after="43" w:lineRule="auto"/>
        <w:ind w:left="-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26.0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63"/>
        <w:gridCol w:w="4863"/>
        <w:tblGridChange w:id="0">
          <w:tblGrid>
            <w:gridCol w:w="4863"/>
            <w:gridCol w:w="48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4C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Účtovný zisk</w:t>
            </w:r>
          </w:p>
        </w:tc>
        <w:tc>
          <w:tcPr/>
          <w:p w:rsidR="00000000" w:rsidDel="00000000" w:rsidP="00000000" w:rsidRDefault="00000000" w:rsidRPr="00000000" w14:paraId="0000004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40968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/>
          <w:p w:rsidR="00000000" w:rsidDel="00000000" w:rsidP="00000000" w:rsidRDefault="00000000" w:rsidRPr="00000000" w14:paraId="0000005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štatutárnych a ostatných fondov</w:t>
            </w:r>
          </w:p>
        </w:tc>
        <w:tc>
          <w:tcPr/>
          <w:p w:rsidR="00000000" w:rsidDel="00000000" w:rsidP="00000000" w:rsidRDefault="00000000" w:rsidRPr="00000000" w14:paraId="0000005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tabs>
                <w:tab w:val="left" w:leader="none" w:pos="1100"/>
              </w:tabs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/>
          <w:p w:rsidR="00000000" w:rsidDel="00000000" w:rsidP="00000000" w:rsidRDefault="00000000" w:rsidRPr="00000000" w14:paraId="0000005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Prídel na zvýšenie základného imania</w:t>
            </w:r>
          </w:p>
        </w:tc>
        <w:tc>
          <w:tcPr/>
          <w:p w:rsidR="00000000" w:rsidDel="00000000" w:rsidP="00000000" w:rsidRDefault="00000000" w:rsidRPr="00000000" w14:paraId="0000005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Úhrada straty minulých období</w:t>
            </w:r>
          </w:p>
        </w:tc>
        <w:tc>
          <w:tcPr/>
          <w:p w:rsidR="00000000" w:rsidDel="00000000" w:rsidP="00000000" w:rsidRDefault="00000000" w:rsidRPr="00000000" w14:paraId="0000005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Prevod do nerozdeleného zisku minulých rokov</w:t>
            </w:r>
          </w:p>
        </w:tc>
        <w:tc>
          <w:tcPr/>
          <w:p w:rsidR="00000000" w:rsidDel="00000000" w:rsidP="00000000" w:rsidRDefault="00000000" w:rsidRPr="00000000" w14:paraId="0000005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40968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Rozdelenie podielu na zisku spoločníkom, členom</w:t>
            </w:r>
          </w:p>
        </w:tc>
        <w:tc>
          <w:tcPr/>
          <w:p w:rsidR="00000000" w:rsidDel="00000000" w:rsidP="00000000" w:rsidRDefault="00000000" w:rsidRPr="00000000" w14:paraId="0000005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6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40968</w:t>
            </w:r>
          </w:p>
        </w:tc>
      </w:tr>
    </w:tbl>
    <w:p w:rsidR="00000000" w:rsidDel="00000000" w:rsidP="00000000" w:rsidRDefault="00000000" w:rsidRPr="00000000" w14:paraId="00000063">
      <w:pPr>
        <w:ind w:left="-5" w:firstLine="0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64">
      <w:pPr>
        <w:ind w:left="728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Čl.III - (2) - c)</w:t>
      </w:r>
      <w:r w:rsidDel="00000000" w:rsidR="00000000" w:rsidRPr="00000000">
        <w:rPr>
          <w:rtl w:val="0"/>
        </w:rPr>
        <w:t xml:space="preserve"> výške záväzkov do lehoty splatnosti a po lehote splatnosti,</w:t>
      </w:r>
    </w:p>
    <w:p w:rsidR="00000000" w:rsidDel="00000000" w:rsidP="00000000" w:rsidRDefault="00000000" w:rsidRPr="00000000" w14:paraId="00000065">
      <w:pPr>
        <w:ind w:left="728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Čl.III - (2) - d)</w:t>
      </w:r>
      <w:r w:rsidDel="00000000" w:rsidR="00000000" w:rsidRPr="00000000">
        <w:rPr>
          <w:rtl w:val="0"/>
        </w:rPr>
        <w:t xml:space="preserve"> štruktúre záväzkov podľa zostatkovej doby splatnosti v členení v nadväznosti na položky súvahy; uvádza sa hodnota záväzkov so zostatkovou dobou splatnosti viac ako päť rokov, </w:t>
      </w:r>
    </w:p>
    <w:p w:rsidR="00000000" w:rsidDel="00000000" w:rsidP="00000000" w:rsidRDefault="00000000" w:rsidRPr="00000000" w14:paraId="00000066">
      <w:pPr>
        <w:ind w:left="72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Tabuľka 26: Informácie k Čl. III odst. 2 písm. c) a d) o záväzkoch</w:t>
      </w:r>
    </w:p>
    <w:p w:rsidR="00000000" w:rsidDel="00000000" w:rsidP="00000000" w:rsidRDefault="00000000" w:rsidRPr="00000000" w14:paraId="00000068">
      <w:pPr>
        <w:spacing w:after="43" w:lineRule="auto"/>
        <w:ind w:left="-5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73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245"/>
        <w:gridCol w:w="3246"/>
        <w:tblGridChange w:id="0">
          <w:tblGrid>
            <w:gridCol w:w="3245"/>
            <w:gridCol w:w="3245"/>
            <w:gridCol w:w="324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43" w:lineRule="auto"/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spacing w:after="43" w:lineRule="auto"/>
              <w:ind w:left="0" w:firstLine="0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Dlhodobé záväzky spolu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Krátkodobé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7373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7373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spacing w:after="43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43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7E">
      <w:pPr>
        <w:rPr>
          <w:b w:val="1"/>
          <w:bCs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IV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Informácie, ktoré vysvetľujú a dopĺňajú položky výkazu ziskov a strát 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K položkám výnosov a nákladov sa v poznámkach uvádzajú doplňujúce a vysvetľujúce informácie o 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b w:val="1"/>
          <w:bCs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   sume tržieb za vlastné výkony a tovar s uvedením ich opisu a hodnoty tržieb podľa jednotlivých typov výrobkov a služieb účtovnej jednotky, </w:t>
      </w:r>
    </w:p>
    <w:p w:rsidR="00000000" w:rsidDel="00000000" w:rsidP="00000000" w:rsidRDefault="00000000" w:rsidRPr="00000000" w14:paraId="0000008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Čl. IV </w:t>
      </w:r>
    </w:p>
    <w:p w:rsidR="00000000" w:rsidDel="00000000" w:rsidP="00000000" w:rsidRDefault="00000000" w:rsidRPr="00000000" w14:paraId="00000088">
      <w:pPr>
        <w:ind w:left="36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(4)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V poznámkach sa uvádza členenie čistého obratu podľa § 2 ods. 14 zákona podľa jednotlivých typov výrobkov, tovarov, služieb alebo iných činností účtovnej jednotky a hlavných geografických oblastí odbytu, ak sa tieto činnosti a oblasti odbytu z hľadiska organizácie predaja výrobkov a tovarov a poskytovania služieb výrazne odlišujú. Ak predmetom činnosti účtovnej jednotky je dosahovanie iných výnosov ako sú výnosy z predaja výrobkov, tovarov a služieb, uvádza sa aj opis iných výnosov zahrňovaných do čistého obratu.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Tabuľka 47: Informácie k čl. IV odst. 4 o čistom obrate</w:t>
      </w:r>
    </w:p>
    <w:p w:rsidR="00000000" w:rsidDel="00000000" w:rsidP="00000000" w:rsidRDefault="00000000" w:rsidRPr="00000000" w14:paraId="0000008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26.000000000002" w:type="dxa"/>
        <w:jc w:val="left"/>
        <w:tblInd w:w="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3"/>
        <w:gridCol w:w="3241"/>
        <w:gridCol w:w="3242"/>
        <w:tblGridChange w:id="0">
          <w:tblGrid>
            <w:gridCol w:w="3243"/>
            <w:gridCol w:w="3241"/>
            <w:gridCol w:w="324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Názov položky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Tržby za vlastné výrobky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Tržby z predaja služieb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18100</w:t>
            </w:r>
          </w:p>
        </w:tc>
        <w:tc>
          <w:tcPr/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48960</w:t>
            </w:r>
          </w:p>
        </w:tc>
      </w:tr>
      <w:tr>
        <w:trPr>
          <w:cantSplit w:val="0"/>
          <w:trHeight w:val="424.98046875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Tržby za tovar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Výnosy z nehnuteľností na predaj</w:t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Iné výnosy súvisiace s bežnou činnosťou</w:t>
            </w:r>
          </w:p>
        </w:tc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rHeight w:val="309" w:hRule="atLeast"/>
          <w:tblHeader w:val="0"/>
        </w:trPr>
        <w:tc>
          <w:tcPr/>
          <w:p w:rsidR="00000000" w:rsidDel="00000000" w:rsidP="00000000" w:rsidRDefault="00000000" w:rsidRPr="00000000" w14:paraId="000000A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Čistý obrat celkom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18100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48960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A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Oblasť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Geografické oblasti odbytu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Bežné účtovné obdobie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Tuzemsko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18100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48960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EÚ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Tretie štáty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B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8" w:line="259" w:lineRule="auto"/>
        <w:ind w:left="0" w:right="1778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Čl. IX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                                       Prehľad o pohybe vlastného imania 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ind w:left="37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Tabuľka 53: Informácie k Čl. IX odst. 1 až 3 o pohybe vlastného imania, ktoré zobrazuje zmenu vo vlastnom imaní účtovnej jednotky medzi dvomi účtovnými závierkami</w:t>
      </w:r>
    </w:p>
    <w:p w:rsidR="00000000" w:rsidDel="00000000" w:rsidP="00000000" w:rsidRDefault="00000000" w:rsidRPr="00000000" w14:paraId="000000C3">
      <w:pPr>
        <w:ind w:left="37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66.0" w:type="dxa"/>
        <w:jc w:val="left"/>
        <w:tblInd w:w="3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41"/>
        <w:gridCol w:w="3090"/>
        <w:gridCol w:w="3135"/>
        <w:tblGridChange w:id="0">
          <w:tblGrid>
            <w:gridCol w:w="3141"/>
            <w:gridCol w:w="3090"/>
            <w:gridCol w:w="31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Pohyb vlastného imania (VI)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ind w:lef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Bezprostredne predchádzajúce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4.98046875" w:hRule="atLeast"/>
          <w:tblHeader w:val="0"/>
        </w:trPr>
        <w:tc>
          <w:tcPr/>
          <w:p w:rsidR="00000000" w:rsidDel="00000000" w:rsidP="00000000" w:rsidRDefault="00000000" w:rsidRPr="00000000" w14:paraId="000000C7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 VI na začiatku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93768</w:t>
            </w:r>
          </w:p>
        </w:tc>
        <w:tc>
          <w:tcPr/>
          <w:p w:rsidR="00000000" w:rsidDel="00000000" w:rsidP="00000000" w:rsidRDefault="00000000" w:rsidRPr="00000000" w14:paraId="000000C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52800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Zvýšenie alebo zníženie VI počas účt. obdobia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14629</w:t>
            </w:r>
          </w:p>
        </w:tc>
        <w:tc>
          <w:tcPr/>
          <w:p w:rsidR="00000000" w:rsidDel="00000000" w:rsidP="00000000" w:rsidRDefault="00000000" w:rsidRPr="00000000" w14:paraId="000000C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40968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D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Stav VI na konci účt. obdobia: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108396</w:t>
            </w:r>
          </w:p>
        </w:tc>
        <w:tc>
          <w:tcPr/>
          <w:p w:rsidR="00000000" w:rsidDel="00000000" w:rsidP="00000000" w:rsidRDefault="00000000" w:rsidRPr="00000000" w14:paraId="000000C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93768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Dôvody zmien VI 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zapísané do OR (411)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5 000</w:t>
            </w:r>
          </w:p>
        </w:tc>
        <w:tc>
          <w:tcPr/>
          <w:p w:rsidR="00000000" w:rsidDel="00000000" w:rsidP="00000000" w:rsidRDefault="00000000" w:rsidRPr="00000000" w14:paraId="000000D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Zákl. imanie nezapísané do OR (419)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Emisné ážio (412)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B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Zákonné rezervné fondy (417,418,421,422)</w:t>
            </w:r>
          </w:p>
        </w:tc>
        <w:tc>
          <w:tcPr/>
          <w:p w:rsidR="00000000" w:rsidDel="00000000" w:rsidP="00000000" w:rsidRDefault="00000000" w:rsidRPr="00000000" w14:paraId="000000D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E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F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kapitálové fondy (413)</w:t>
            </w:r>
          </w:p>
        </w:tc>
        <w:tc>
          <w:tcPr/>
          <w:p w:rsidR="00000000" w:rsidDel="00000000" w:rsidP="00000000" w:rsidRDefault="00000000" w:rsidRPr="00000000" w14:paraId="000000E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1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Oceňovacie rozdiely nezahrnuté do výsledku hospodárenia (414,415,416)</w:t>
            </w:r>
          </w:p>
        </w:tc>
        <w:tc>
          <w:tcPr/>
          <w:p w:rsidR="00000000" w:rsidDel="00000000" w:rsidP="00000000" w:rsidRDefault="00000000" w:rsidRPr="00000000" w14:paraId="000000E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E4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Ostatné fondy tvorené zo zisku (423,427)</w:t>
            </w:r>
          </w:p>
        </w:tc>
        <w:tc>
          <w:tcPr/>
          <w:p w:rsidR="00000000" w:rsidDel="00000000" w:rsidP="00000000" w:rsidRDefault="00000000" w:rsidRPr="00000000" w14:paraId="000000E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/>
          <w:p w:rsidR="00000000" w:rsidDel="00000000" w:rsidP="00000000" w:rsidRDefault="00000000" w:rsidRPr="00000000" w14:paraId="000000E7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Nerozdelený zisk min. rokov (428)</w:t>
            </w:r>
          </w:p>
        </w:tc>
        <w:tc>
          <w:tcPr/>
          <w:p w:rsidR="00000000" w:rsidDel="00000000" w:rsidP="00000000" w:rsidRDefault="00000000" w:rsidRPr="00000000" w14:paraId="000000E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94557</w:t>
            </w:r>
          </w:p>
        </w:tc>
        <w:tc>
          <w:tcPr/>
          <w:p w:rsidR="00000000" w:rsidDel="00000000" w:rsidP="00000000" w:rsidRDefault="00000000" w:rsidRPr="00000000" w14:paraId="000000EA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53589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Neuhradená strata min. rokov (429)</w:t>
            </w:r>
          </w:p>
        </w:tc>
        <w:tc>
          <w:tcPr/>
          <w:p w:rsidR="00000000" w:rsidDel="00000000" w:rsidP="00000000" w:rsidRDefault="00000000" w:rsidRPr="00000000" w14:paraId="000000EC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6290</w:t>
            </w:r>
          </w:p>
        </w:tc>
        <w:tc>
          <w:tcPr/>
          <w:p w:rsidR="00000000" w:rsidDel="00000000" w:rsidP="00000000" w:rsidRDefault="00000000" w:rsidRPr="00000000" w14:paraId="000000ED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6290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Účtovný zisk alebo strata (431)</w:t>
            </w:r>
          </w:p>
        </w:tc>
        <w:tc>
          <w:tcPr/>
          <w:p w:rsidR="00000000" w:rsidDel="00000000" w:rsidP="00000000" w:rsidRDefault="00000000" w:rsidRPr="00000000" w14:paraId="000000EF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14629</w:t>
            </w:r>
          </w:p>
        </w:tc>
        <w:tc>
          <w:tcPr/>
          <w:p w:rsidR="00000000" w:rsidDel="00000000" w:rsidP="00000000" w:rsidRDefault="00000000" w:rsidRPr="00000000" w14:paraId="000000F0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40968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Vyplatené dividendy</w:t>
            </w:r>
          </w:p>
        </w:tc>
        <w:tc>
          <w:tcPr/>
          <w:p w:rsidR="00000000" w:rsidDel="00000000" w:rsidP="00000000" w:rsidRDefault="00000000" w:rsidRPr="00000000" w14:paraId="000000F2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3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Ďalšie zmeny vlastného imania</w:t>
            </w:r>
          </w:p>
        </w:tc>
        <w:tc>
          <w:tcPr/>
          <w:p w:rsidR="00000000" w:rsidDel="00000000" w:rsidP="00000000" w:rsidRDefault="00000000" w:rsidRPr="00000000" w14:paraId="000000F5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6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Zmeny na účte fyzickej osoby (491)</w:t>
            </w:r>
          </w:p>
        </w:tc>
        <w:tc>
          <w:tcPr/>
          <w:p w:rsidR="00000000" w:rsidDel="00000000" w:rsidP="00000000" w:rsidRDefault="00000000" w:rsidRPr="00000000" w14:paraId="000000F8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9">
            <w:pPr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FA">
      <w:pPr>
        <w:ind w:left="37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/>
    </w:pPr>
    <w:r w:rsidDel="00000000" w:rsidR="00000000" w:rsidRPr="00000000">
      <w:rPr>
        <w:rtl w:val="0"/>
      </w:rPr>
      <w:t xml:space="preserve">Poznámky Úč. PODV 3-01                                 IČO: 46859799                                           DIČ: </w:t>
    </w:r>
    <w:r w:rsidDel="00000000" w:rsidR="00000000" w:rsidRPr="00000000">
      <w:rPr>
        <w:rFonts w:ascii="Open Sans" w:cs="Open Sans" w:eastAsia="Open Sans" w:hAnsi="Open Sans"/>
        <w:sz w:val="21"/>
        <w:szCs w:val="21"/>
        <w:highlight w:val="white"/>
        <w:rtl w:val="0"/>
      </w:rPr>
      <w:t xml:space="preserve">2023613416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sk"/>
      </w:rPr>
    </w:rPrDefault>
    <w:pPrDefault>
      <w:pPr>
        <w:spacing w:after="4" w:line="249" w:lineRule="auto"/>
        <w:ind w:left="10" w:hanging="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8" w:lineRule="auto"/>
      <w:ind w:right="1778"/>
      <w:jc w:val="right"/>
    </w:pPr>
    <w:rPr>
      <w:b w:val="1"/>
      <w:bCs w:val="1"/>
      <w:color w:val="000000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9" w:lineRule="auto"/>
      <w:ind w:left="10" w:right="0" w:hanging="2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8.0" w:type="dxa"/>
        <w:bottom w:w="10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e+RKN3vUAVXKXZU4x+dQJZb6Nw==">CgMxLjA4AHIhMVN3amFfZ0xjYktaYUE4NEJyelhxNWNhT1V1V200djBl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