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activeX/_rels/activeX6.xml.rels" ContentType="application/vnd.openxmlformats-package.relationships+xml"/>
  <Override PartName="/word/activeX/_rels/activeX9.xml.rels" ContentType="application/vnd.openxmlformats-package.relationships+xml"/>
  <Override PartName="/word/activeX/_rels/activeX1.xml.rels" ContentType="application/vnd.openxmlformats-package.relationships+xml"/>
  <Override PartName="/word/activeX/_rels/activeX10.xml.rels" ContentType="application/vnd.openxmlformats-package.relationships+xml"/>
  <Override PartName="/word/activeX/_rels/activeX8.xml.rels" ContentType="application/vnd.openxmlformats-package.relationships+xml"/>
  <Override PartName="/word/activeX/_rels/activeX14.xml.rels" ContentType="application/vnd.openxmlformats-package.relationships+xml"/>
  <Override PartName="/word/activeX/_rels/activeX5.xml.rels" ContentType="application/vnd.openxmlformats-package.relationships+xml"/>
  <Override PartName="/word/activeX/_rels/activeX7.xml.rels" ContentType="application/vnd.openxmlformats-package.relationships+xml"/>
  <Override PartName="/word/activeX/_rels/activeX4.xml.rels" ContentType="application/vnd.openxmlformats-package.relationships+xml"/>
  <Override PartName="/word/activeX/_rels/activeX13.xml.rels" ContentType="application/vnd.openxmlformats-package.relationships+xml"/>
  <Override PartName="/word/activeX/_rels/activeX11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12.xml.rels" ContentType="application/vnd.openxmlformats-package.relationships+xml"/>
  <Override PartName="/word/activeX/activeX7.bin" ContentType="application/vnd.ms-office.activeX"/>
  <Override PartName="/word/activeX/activeX6.xml" ContentType="application/vnd.ms-office.activeX+xml"/>
  <Override PartName="/word/activeX/activeX13.bin" ContentType="application/vnd.ms-office.activeX"/>
  <Override PartName="/word/activeX/activeX6.bin" ContentType="application/vnd.ms-office.activeX"/>
  <Override PartName="/word/activeX/activeX5.xml" ContentType="application/vnd.ms-office.activeX+xml"/>
  <Override PartName="/word/activeX/activeX12.bin" ContentType="application/vnd.ms-office.activeX"/>
  <Override PartName="/word/activeX/activeX5.bin" ContentType="application/vnd.ms-office.activeX"/>
  <Override PartName="/word/activeX/activeX4.xml" ContentType="application/vnd.ms-office.activeX+xml"/>
  <Override PartName="/word/activeX/activeX11.bin" ContentType="application/vnd.ms-office.activeX"/>
  <Override PartName="/word/activeX/activeX4.bin" ContentType="application/vnd.ms-office.activeX"/>
  <Override PartName="/word/activeX/activeX3.xml" ContentType="application/vnd.ms-office.activeX+xml"/>
  <Override PartName="/word/activeX/activeX10.bin" ContentType="application/vnd.ms-office.activeX"/>
  <Override PartName="/word/activeX/activeX3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14.xml" ContentType="application/vnd.ms-office.activeX+xml"/>
  <Override PartName="/word/activeX/activeX13.xml" ContentType="application/vnd.ms-office.activeX+xml"/>
  <Override PartName="/word/activeX/activeX9.xml" ContentType="application/vnd.ms-office.activeX+xml"/>
  <Override PartName="/word/activeX/activeX9.bin" ContentType="application/vnd.ms-office.activeX"/>
  <Override PartName="/word/activeX/activeX12.xml" ContentType="application/vnd.ms-office.activeX+xml"/>
  <Override PartName="/word/activeX/activeX8.xml" ContentType="application/vnd.ms-office.activeX+xml"/>
  <Override PartName="/word/activeX/activeX8.bin" ContentType="application/vnd.ms-office.activeX"/>
  <Override PartName="/word/activeX/activeX11.xml" ContentType="application/vnd.ms-office.activeX+xml"/>
  <Override PartName="/word/activeX/activeX14.bin" ContentType="application/vnd.ms-office.activeX"/>
  <Override PartName="/word/activeX/activeX7.xml" ContentType="application/vnd.ms-office.activeX+xml"/>
  <Override PartName="/word/activeX/activeX10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keepNext w:val="false"/>
        <w:keepLines w:val="false"/>
        <w:spacing w:lineRule="auto" w:line="276" w:before="240" w:after="0"/>
        <w:ind w:left="0" w:right="0" w:hanging="0"/>
        <w:rPr/>
      </w:pPr>
      <w:r>
        <w:rPr/>
        <w:t>Čl. I Všeobecné údaje o účtovnej jednotke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/>
          <w:b/>
          <w:b/>
          <w:sz w:val="28"/>
          <w:szCs w:val="26"/>
          <w:lang w:eastAsia="sk-SK"/>
        </w:rPr>
      </w:pPr>
      <w:r>
        <w:rPr>
          <w:rFonts w:ascii="Times New Roman" w:hAnsi="Times New Roman"/>
          <w:b/>
          <w:sz w:val="28"/>
          <w:szCs w:val="26"/>
          <w:lang w:eastAsia="sk-SK"/>
        </w:rPr>
        <w:t>Čl. I (1) , (3) Všeobecné údaje</w:t>
      </w:r>
      <w:bookmarkStart w:id="0" w:name="_GoBack"/>
      <w:bookmarkEnd w:id="0"/>
    </w:p>
    <w:p>
      <w:pPr>
        <w:pStyle w:val="Normal"/>
        <w:spacing w:before="60" w:after="120"/>
        <w:ind w:left="11" w:right="0" w:hanging="11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 (1) Obchodné meno účtovnej jednotky:</w:t>
        <w:tab/>
        <w:tab/>
        <w:t>Proveng, s.r.o.</w:t>
      </w:r>
    </w:p>
    <w:p>
      <w:pPr>
        <w:pStyle w:val="Normal"/>
        <w:spacing w:before="60" w:after="120"/>
        <w:ind w:left="0" w:right="395" w:firstLine="68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 </w:t>
      </w:r>
      <w:r>
        <w:rPr>
          <w:rFonts w:eastAsia="Arial" w:cs="Arial" w:ascii="Times New Roman" w:hAnsi="Times New Roman"/>
          <w:lang w:eastAsia="sk-SK"/>
        </w:rPr>
        <w:t>Sídlo účtovnej jednotky:</w:t>
        <w:tab/>
        <w:tab/>
        <w:tab/>
        <w:t>Odevná 2556/6, 911 05 Trenčín</w:t>
      </w:r>
    </w:p>
    <w:p>
      <w:pPr>
        <w:pStyle w:val="Normal"/>
        <w:spacing w:before="60" w:after="120"/>
        <w:ind w:left="11" w:right="0" w:hanging="11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Čl. I (3) Priemerný prepočítaný počet zamestnancov: </w:t>
        <w:tab/>
        <w:t>0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 w:eastAsia="Arial"/>
          <w:b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 (2) Údaje o konsolidovanom celku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(2) Údaje o konsolidovanom celku: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a)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konsolidujúcej účtovnej jednotky</w:t>
      </w:r>
      <w:r>
        <w:rPr>
          <w:rFonts w:eastAsia="Arial" w:cs="Arial" w:ascii="Times New Roman" w:hAnsi="Times New Roman"/>
          <w:lang w:eastAsia="sk-SK"/>
        </w:rPr>
        <w:t>, ktorá zostavuje konsolidovanú účtovnú závierku za tú skupinu účtovných jednotiek konsolidovaného celku, ktorého súčasťou je aj účtovná jednotka:</w:t>
      </w:r>
    </w:p>
    <w:p>
      <w:pPr>
        <w:pStyle w:val="Normal"/>
        <w:tabs>
          <w:tab w:val="clear" w:pos="708"/>
          <w:tab w:val="center" w:pos="784" w:leader="none"/>
          <w:tab w:val="center" w:pos="2262" w:leader="none"/>
        </w:tabs>
        <w:spacing w:before="60" w:after="120"/>
        <w:rPr/>
      </w:pPr>
      <w:r>
        <w:rPr>
          <w:rFonts w:eastAsia="Arial" w:cs="Arial" w:ascii="Times New Roman" w:hAnsi="Times New Roman"/>
          <w:b/>
          <w:lang w:eastAsia="sk-SK"/>
        </w:rPr>
        <w:t>po</w:t>
      </w:r>
      <w:r>
        <w:rPr>
          <w:rFonts w:eastAsia="Arial" w:cs="Arial" w:ascii="Times New Roman" w:hAnsi="Times New Roman"/>
          <w:b/>
          <w:lang w:eastAsia="sk-SK"/>
        </w:rPr>
        <w:t>v</w:t>
        <w:pict>
          <v:shapetype id="shapetype_201" coordsize="21600,21600" o:spt="201" path="m,l,21600l21600,21600l21600,xe">
            <v:stroke joinstyle="miter"/>
            <v:path shadowok="f" o:extrusionok="f" strokeok="f" fillok="f" o:connecttype="rect"/>
            <o:lock v:ext="edit" shapetype="t"/>
          </v:shapetype>
          <v:shape id="control_shape_0" style="position:absolute;margin-left:321.45pt;margin-top:-2.25pt;width:32.8pt;height:17pt;mso-position-vertical:center" type="#shapetype_201"/>
          <w:control r:id="rId2" w:name="unnamed0" w:shapeid="control_shape_0"/>
        </w:pict>
        <w:pict>
          <v:shape id="control_shape_1" style="position:absolute;margin-left:261.65pt;margin-top:-2.25pt;width:41.7pt;height:17pt;mso-position-vertical:center" type="#shapetype_201"/>
          <w:control r:id="rId3" w:name="unnamed0" w:shapeid="control_shape_1"/>
        </w:pict>
      </w:r>
      <w:r>
        <w:rPr>
          <w:rFonts w:eastAsia="Arial" w:cs="Arial" w:ascii="Times New Roman" w:hAnsi="Times New Roman"/>
          <w:b/>
          <w:lang w:eastAsia="sk-SK"/>
        </w:rPr>
        <w:t>innosť zostaviť konsolidovanú účtovnú závierku:</w:t>
      </w:r>
      <w:r>
        <w:rPr>
          <w:rFonts w:eastAsia="Arial" w:cs="Arial" w:ascii="Times New Roman" w:hAnsi="Times New Roman"/>
          <w:lang w:eastAsia="sk-SK"/>
        </w:rPr>
        <w:tab/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1.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4">
        <w:r>
          <w:rPr>
            <w:rFonts w:eastAsia="Arial" w:cs="Arial" w:ascii="Times New Roman" w:hAnsi="Times New Roman"/>
            <w:u w:val="single"/>
            <w:lang w:eastAsia="sk-SK"/>
          </w:rPr>
          <w:t>§ 22 ods. 8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materskej účtovnej jednotky</w:t>
      </w:r>
      <w:r>
        <w:rPr>
          <w:rFonts w:eastAsia="Arial" w:cs="Arial" w:ascii="Times New Roman" w:hAnsi="Times New Roman"/>
          <w:lang w:eastAsia="sk-SK"/>
        </w:rPr>
        <w:t xml:space="preserve"> zostavujúcej konsolidovanú účtovnú závierku podľa osobitných predpisov: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2. 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5">
        <w:r>
          <w:rPr>
            <w:rFonts w:eastAsia="Arial" w:cs="Arial" w:ascii="Times New Roman" w:hAnsi="Times New Roman"/>
            <w:u w:val="single"/>
            <w:lang w:eastAsia="sk-SK"/>
          </w:rPr>
          <w:t>§ 22 ods. 12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dcérskych účtovných jednotiek</w:t>
      </w:r>
      <w:r>
        <w:rPr>
          <w:rFonts w:eastAsia="Arial" w:cs="Arial" w:ascii="Times New Roman" w:hAnsi="Times New Roman"/>
          <w:lang w:eastAsia="sk-SK"/>
        </w:rPr>
        <w:t xml:space="preserve">: </w:t>
      </w:r>
    </w:p>
    <w:p>
      <w:pPr>
        <w:pStyle w:val="Normal"/>
        <w:spacing w:before="240" w:after="0"/>
        <w:rPr>
          <w:rFonts w:ascii="Times New Roman" w:hAnsi="Times New Roman" w:eastAsia="Arial"/>
          <w:b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II Informácie o prijatých postupoch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 w:eastAsia="Calibri Light" w:cs="Calibri Light"/>
          <w:b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(1) Nepretržité pokračovanie účtovnej jednotky</w:t>
      </w:r>
    </w:p>
    <w:p>
      <w:pPr>
        <w:pStyle w:val="Normal"/>
        <w:spacing w:before="60" w:after="12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(1) Účtovná závierka je zostavená za splnenia predpokladu, že účtovná jednotka bude nepretržite pokračovať vo svojej činnosti: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2" style="position:absolute;margin-left:31.45pt;margin-top:-1.85pt;width:41.7pt;height:17pt;mso-position-vertical:center" type="#shapetype_201"/>
          <w:control r:id="rId6" w:name="unnamed0" w:shapeid="control_shape_2"/>
        </w:pict>
      </w:r>
      <w:r>
        <w:pict>
          <v:shape id="control_shape_3" style="position:absolute;margin-left:83.6pt;margin-top:-1.85pt;width:32.8pt;height:17pt;mso-position-vertical:center" type="#shapetype_201"/>
          <w:control r:id="rId7" w:name="unnamed0" w:shapeid="control_shape_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 w:eastAsia="Calibri Light" w:cs="Calibri Light"/>
          <w:b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(2) Spôsob oceňovania jednotlivých položiek majetku a záväzkov</w:t>
      </w:r>
    </w:p>
    <w:p>
      <w:pPr>
        <w:pStyle w:val="Normal"/>
        <w:spacing w:before="60" w:after="120"/>
        <w:ind w:left="11" w:right="0" w:hanging="11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 záväzkov</w:t>
      </w:r>
    </w:p>
    <w:tbl>
      <w:tblPr>
        <w:tblW w:w="10522" w:type="dxa"/>
        <w:jc w:val="left"/>
        <w:tblInd w:w="13" w:type="dxa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8"/>
        <w:gridCol w:w="3544"/>
        <w:gridCol w:w="3260"/>
      </w:tblGrid>
      <w:tr>
        <w:trPr>
          <w:trHeight w:val="338" w:hRule="atLeast"/>
        </w:trPr>
        <w:tc>
          <w:tcPr>
            <w:tcW w:w="371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70" w:right="0" w:hanging="0"/>
              <w:jc w:val="center"/>
              <w:rPr>
                <w:rFonts w:ascii="Times New Roman" w:hAnsi="Times New Roman" w:eastAsia="Arial" w:cs="Times New Roman"/>
                <w:b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Popis položky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66" w:right="0" w:hanging="0"/>
              <w:jc w:val="center"/>
              <w:rPr>
                <w:rFonts w:ascii="Times New Roman" w:hAnsi="Times New Roman" w:eastAsia="Arial" w:cs="Times New Roman"/>
                <w:b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Ocenenie majetku a záväzkov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67" w:right="0" w:hanging="0"/>
              <w:jc w:val="center"/>
              <w:rPr>
                <w:rFonts w:ascii="Times New Roman" w:hAnsi="Times New Roman" w:eastAsia="Arial" w:cs="Times New Roman"/>
                <w:b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Poznámka k oceneniu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hmotný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sz w:val="20"/>
                <w:szCs w:val="20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  <w:t>Obstarávacia cena zahŕňa cenu obstarania</w:t>
            </w:r>
          </w:p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  <w:t>a náklady súvisiace s obstaraním.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obstarané kúpou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  <w:t>Obstarávacia cena zahŕňa cenu obstarania</w:t>
            </w:r>
          </w:p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  <w:t>a náklady súvisiace s obstaraním.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vytvorené vlastnou činnosťou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20"/>
                <w:szCs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Pohľadávky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Krátkodobý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sz w:val="20"/>
                <w:szCs w:val="20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  <w:t>Peňažné prostriedky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 xml:space="preserve">Záväzky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Rezervy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Dlhopisy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Pôžičky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Úvery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left="11" w:right="0" w:hanging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Derivátové operácie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20"/>
                <w:szCs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rFonts w:ascii="Times New Roman" w:hAnsi="Times New Roman" w:eastAsia="Arial" w:cs="Times New Roman"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6"/>
          <w:lang w:eastAsia="sk-SK"/>
        </w:rPr>
        <w:t xml:space="preserve">Čl. II (2) Spôsob oceňovania jednotlivých položiek majetku a záväzkov (účtovanie </w:t>
        <w:br/>
        <w:t>a úbytok zásob</w:t>
      </w:r>
      <w:r>
        <w:rPr>
          <w:rFonts w:eastAsia="Times New Roman" w:cs="Times New Roman" w:ascii="Times New Roman" w:hAnsi="Times New Roman"/>
          <w:bCs/>
          <w:sz w:val="28"/>
          <w:szCs w:val="26"/>
          <w:lang w:eastAsia="sk-SK"/>
        </w:rPr>
        <w:t>)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 záväzkov (účtovanie a úbytok zásob)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Pri účtovaní zásob postupovala účtovná jednotka podľa § 43 postupov účtovania v PÚ:</w:t>
      </w:r>
    </w:p>
    <w:p>
      <w:pPr>
        <w:pStyle w:val="Normal"/>
        <w:spacing w:before="60" w:after="120"/>
        <w:ind w:left="10" w:right="0" w:firstLine="698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ab/>
      </w:r>
      <w:r>
        <w:pict>
          <v:shape id="control_shape_4" style="position:absolute;margin-left:34pt;margin-top:-1.85pt;width:146.15pt;height:17pt;mso-position-vertical:center" type="#shapetype_201"/>
          <w:control r:id="rId8" w:name="unnamed0" w:shapeid="control_shape_4"/>
        </w:pict>
      </w:r>
    </w:p>
    <w:p>
      <w:pPr>
        <w:pStyle w:val="Normal"/>
        <w:spacing w:before="60" w:after="120"/>
        <w:ind w:left="10" w:right="0" w:firstLine="698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5" style="position:absolute;margin-left:34pt;margin-top:-1.85pt;width:146.15pt;height:17pt;mso-position-vertical:center" type="#shapetype_201"/>
          <w:control r:id="rId9" w:name="unnamed0" w:shapeid="control_shape_5"/>
        </w:pict>
      </w:r>
    </w:p>
    <w:p>
      <w:pPr>
        <w:pStyle w:val="Normal"/>
        <w:spacing w:before="60" w:after="120"/>
        <w:ind w:left="10" w:right="0" w:hanging="11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Úbytok zásob rovnakého druhu účtovná jednotka oceňovala:</w:t>
      </w:r>
    </w:p>
    <w:p>
      <w:pPr>
        <w:pStyle w:val="Normal"/>
        <w:spacing w:before="60" w:after="120"/>
        <w:ind w:left="21" w:right="0" w:firstLine="687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6" style="position:absolute;margin-left:34pt;margin-top:-1.85pt;width:401.1pt;height:17pt;mso-position-vertical:center" type="#shapetype_201"/>
          <w:control r:id="rId10" w:name="unnamed0" w:shapeid="control_shape_6"/>
        </w:pict>
      </w:r>
    </w:p>
    <w:p>
      <w:pPr>
        <w:pStyle w:val="Normal"/>
        <w:spacing w:before="60" w:after="120"/>
        <w:ind w:left="21" w:right="0" w:firstLine="687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7" style="position:absolute;margin-left:34pt;margin-top:-2.25pt;width:469.3pt;height:17pt;mso-position-vertical:center" type="#shapetype_201"/>
          <w:control r:id="rId11" w:name="unnamed0" w:shapeid="control_shape_7"/>
        </w:pict>
      </w:r>
    </w:p>
    <w:p>
      <w:pPr>
        <w:pStyle w:val="Normal"/>
        <w:spacing w:before="60" w:after="120"/>
        <w:ind w:left="21" w:right="0" w:firstLine="687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8" style="position:absolute;margin-left:34pt;margin-top:-2.25pt;width:401.1pt;height:17pt;mso-position-vertical:center" type="#shapetype_201"/>
          <w:control r:id="rId12" w:name="unnamed0" w:shapeid="control_shape_8"/>
        </w:pict>
      </w:r>
    </w:p>
    <w:p>
      <w:pPr>
        <w:pStyle w:val="Nadpis2"/>
        <w:spacing w:before="240" w:after="0"/>
        <w:rPr>
          <w:rFonts w:ascii="Times New Roman" w:hAnsi="Times New Roman" w:eastAsia="Times New Roman" w:cs="Times New Roman"/>
          <w:bCs w:val="false"/>
          <w:color w:val="auto"/>
          <w:sz w:val="28"/>
          <w:lang w:eastAsia="sk-SK"/>
        </w:rPr>
      </w:pPr>
      <w:r>
        <w:rPr>
          <w:rFonts w:eastAsia="Times New Roman" w:cs="Times New Roman" w:ascii="Times New Roman" w:hAnsi="Times New Roman"/>
          <w:bCs w:val="false"/>
          <w:color w:val="auto"/>
          <w:sz w:val="28"/>
          <w:lang w:eastAsia="sk-SK"/>
        </w:rPr>
        <w:t>Čl. II (3) Spôsob zostavenia odpisového plánu pre jednotlivé druhy dlhodobého majetku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(3) Spôsob zostavenia odpisového plánu pre jednotlivé druhy dlhodobého majetku</w: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left="0" w:right="0" w:firstLine="567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</w:t>
      </w:r>
      <w:r>
        <w:rPr>
          <w:rFonts w:eastAsia="Arial" w:cs="Arial" w:ascii="Times New Roman" w:hAnsi="Times New Roman"/>
          <w:lang w:eastAsia="sk-SK"/>
        </w:rPr>
        <w:t>l</w:t>
        <w:pict>
          <v:shape id="control_shape_9" style="position:absolute;margin-left:14.15pt;margin-top:-2.75pt;width:15.7pt;height:17pt" type="#shapetype_201"/>
          <w:control r:id="rId13" w:name="unnamed0" w:shapeid="control_shape_9"/>
        </w:pict>
      </w:r>
      <w:r>
        <w:rPr>
          <w:rFonts w:eastAsia="Arial" w:cs="Arial" w:ascii="Times New Roman" w:hAnsi="Times New Roman"/>
          <w:lang w:eastAsia="sk-SK"/>
        </w:rPr>
        <w:t>hodobý nehmotný majetok: 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>
      <w:pPr>
        <w:pStyle w:val="Normal"/>
        <w:widowControl/>
        <w:tabs>
          <w:tab w:val="clear" w:pos="708"/>
          <w:tab w:val="center" w:pos="1054" w:leader="none"/>
          <w:tab w:val="center" w:pos="6543" w:leader="none"/>
        </w:tabs>
        <w:suppressAutoHyphens w:val="true"/>
        <w:bidi w:val="0"/>
        <w:spacing w:lineRule="auto" w:line="276" w:before="60" w:after="120"/>
        <w:ind w:left="0" w:right="0" w:firstLine="567"/>
        <w:jc w:val="left"/>
        <w:rPr/>
      </w:pPr>
      <w:r>
        <w:rPr>
          <w:rFonts w:eastAsia="Calibri" w:cs="Calibri"/>
          <w:lang w:eastAsia="sk-SK"/>
        </w:rPr>
        <w:tab/>
        <w:t xml:space="preserve"> </w:t>
      </w:r>
      <w:r>
        <w:rPr>
          <w:rFonts w:eastAsia="Arial" w:cs="Arial" w:ascii="Times New Roman" w:hAnsi="Times New Roman"/>
          <w:lang w:eastAsia="sk-SK"/>
        </w:rPr>
        <w:t>D</w:t>
      </w:r>
      <w:r>
        <w:rPr>
          <w:rFonts w:eastAsia="Arial" w:cs="Arial" w:ascii="Times New Roman" w:hAnsi="Times New Roman"/>
          <w:lang w:eastAsia="sk-SK"/>
        </w:rPr>
        <w:t>l</w:t>
        <w:pict>
          <v:shape id="control_shape_10" style="position:absolute;margin-left:14.15pt;margin-top:-2.75pt;width:15.7pt;height:17pt" type="#shapetype_201"/>
          <w:control r:id="rId14" w:name="unnamed0" w:shapeid="control_shape_10"/>
        </w:pict>
      </w:r>
      <w:r>
        <w:rPr>
          <w:rFonts w:eastAsia="Arial" w:cs="Arial" w:ascii="Times New Roman" w:hAnsi="Times New Roman"/>
          <w:lang w:eastAsia="sk-SK"/>
        </w:rPr>
        <w:t>hodobý hmotný majetok: odpisový plán účtovných odpisov sa zostavil interným predpisom, v ktorom sa vychádzalo z predpokladaného opotrebenia zaraďovaného majetku zodpovedajúceho bežným podmienkam jeho využívania. účtovné a daňové odpisy sa nerovnajú.</w: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left="0" w:right="0" w:firstLine="567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</w:t>
      </w:r>
      <w:r>
        <w:rPr>
          <w:rFonts w:eastAsia="Arial" w:cs="Arial" w:ascii="Times New Roman" w:hAnsi="Times New Roman"/>
          <w:lang w:eastAsia="sk-SK"/>
        </w:rPr>
        <w:t>l</w:t>
        <w:pict>
          <v:shape id="control_shape_11" style="position:absolute;margin-left:14.15pt;margin-top:-2.75pt;width:15.7pt;height:17pt" type="#shapetype_201"/>
          <w:control r:id="rId15" w:name="unnamed0" w:shapeid="control_shape_11"/>
        </w:pict>
      </w:r>
      <w:r>
        <w:rPr>
          <w:rFonts w:eastAsia="Arial" w:cs="Arial" w:ascii="Times New Roman" w:hAnsi="Times New Roman"/>
          <w:lang w:eastAsia="sk-SK"/>
        </w:rPr>
        <w:t>hodobý hmotný majetok: odpisový plán účtovných odpisov sa zostavil interným predpisom, v ktorom sa vychádzalo z metód používaných pri vyčíslovaní daňových odpisov. Účtovné a daňové odpisy sa rovnajú.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Odpisový plán bol ovplyvnený týmito skutočnosťami: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Spôsob zostavenia odpisového plánu pre jednotlivé druhy dlhodobého nehmotného a hmotného majetku</w:t>
      </w:r>
    </w:p>
    <w:tbl>
      <w:tblPr>
        <w:tblW w:w="10522" w:type="dxa"/>
        <w:jc w:val="left"/>
        <w:tblInd w:w="13" w:type="dxa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7"/>
        <w:gridCol w:w="2413"/>
        <w:gridCol w:w="2266"/>
        <w:gridCol w:w="2125"/>
      </w:tblGrid>
      <w:tr>
        <w:trPr>
          <w:trHeight w:val="338" w:hRule="atLeast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70" w:right="0" w:hanging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majetku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66" w:right="0" w:hanging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Doba odpisovania</w:t>
            </w:r>
          </w:p>
        </w:tc>
        <w:tc>
          <w:tcPr>
            <w:tcW w:w="22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66" w:right="0" w:hanging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Sadzba odpisov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left="67" w:right="0" w:hanging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Odpisová metóda</w:t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sk-SK"/>
              </w:rPr>
              <w:t>Osobný automobil</w:t>
            </w:r>
          </w:p>
        </w:tc>
        <w:tc>
          <w:tcPr>
            <w:tcW w:w="24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sz w:val="20"/>
                <w:szCs w:val="20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sk-SK"/>
              </w:rPr>
              <w:t>48 mesiacov</w:t>
            </w:r>
          </w:p>
        </w:tc>
        <w:tc>
          <w:tcPr>
            <w:tcW w:w="22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sz w:val="20"/>
                <w:szCs w:val="20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sk-SK"/>
              </w:rPr>
              <w:t>1/48 x počet mesiacov</w:t>
            </w:r>
          </w:p>
        </w:tc>
        <w:tc>
          <w:tcPr>
            <w:tcW w:w="21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jc w:val="center"/>
              <w:rPr>
                <w:sz w:val="20"/>
                <w:szCs w:val="20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sk-SK"/>
              </w:rPr>
              <w:t>časová - rovnomerne</w:t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firstLine="708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left="11" w:right="0" w:hanging="0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 w:eastAsia="Times New Roman" w:cs="Times New Roman"/>
          <w:b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Dodržané základné zásady najmä: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-zásada dosiahnutia verného a pravdivého obrazu,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-zásada bilančnej kontinuity,Poznámky Úč MÚJ 3 - 01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IČO 4 4 2 8 1 2 1 8 DIČ 2 0 2 2 6 8 1 1 1 1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-akruálny princíp,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-zásada stálosti metód,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-zásada nepretržitosti pokračovania účtovnej jednotky vo svojej činnosti,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-zásada zákazu kompenzácie,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-zásada dokladovosti,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-zásada opatrnosti,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-prednosť podstaty pred formou,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-oceňovacie zásady,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-vecné a časové priraďovanie nákladov k výnosom, a k nim využité účtovné metódy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Účtovné metódy a zásady boli aplikované v rámci plat. zákona o účtovníctve, s osobitosťami:</w:t>
      </w:r>
    </w:p>
    <w:tbl>
      <w:tblPr>
        <w:tblW w:w="10448" w:type="dxa"/>
        <w:jc w:val="left"/>
        <w:tblInd w:w="15" w:type="dxa"/>
        <w:tblCellMar>
          <w:top w:w="30" w:type="dxa"/>
          <w:left w:w="115" w:type="dxa"/>
          <w:bottom w:w="0" w:type="dxa"/>
          <w:right w:w="115" w:type="dxa"/>
        </w:tblCellMar>
      </w:tblPr>
      <w:tblGrid>
        <w:gridCol w:w="6190"/>
        <w:gridCol w:w="2125"/>
        <w:gridCol w:w="2133"/>
      </w:tblGrid>
      <w:tr>
        <w:trPr>
          <w:trHeight w:val="382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zmeny zásady alebo metódy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Dôvod zmeny</w:t>
            </w:r>
          </w:p>
        </w:tc>
        <w:tc>
          <w:tcPr>
            <w:tcW w:w="2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Hodnota vplvyvu na prísl. zložku bilancie</w:t>
            </w:r>
          </w:p>
        </w:tc>
      </w:tr>
      <w:tr>
        <w:trPr>
          <w:trHeight w:val="289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0" w:right="0" w:hanging="10"/>
        <w:outlineLvl w:val="0"/>
        <w:rPr>
          <w:rFonts w:ascii="Times New Roman" w:hAnsi="Times New Roman" w:eastAsia="Arial" w:cs="Arial"/>
          <w:b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  <w:t>Čl. III Informácie, ktoré vysvetľujú a dopĺňajú súvahu a výkaz ziskov a strát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 w:eastAsia="Arial" w:cs="Times New Roman"/>
          <w:b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  <w:t>Čl. III (1) Náklady/výnosy, ktoré majú výnimočný rozsah alebo výskyt (suma a dôvody)</w:t>
      </w:r>
    </w:p>
    <w:p>
      <w:pPr>
        <w:pStyle w:val="Normal"/>
        <w:spacing w:before="60" w:after="120"/>
        <w:ind w:left="11" w:right="0" w:hanging="11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>Účtovná jednotka nemá náplň pre túto položku.</w:t>
      </w:r>
    </w:p>
    <w:p>
      <w:pPr>
        <w:pStyle w:val="Normal"/>
        <w:spacing w:before="240" w:after="0"/>
        <w:ind w:left="11" w:right="0" w:hanging="11"/>
        <w:rPr>
          <w:rFonts w:ascii="Times New Roman" w:hAnsi="Times New Roman" w:eastAsia="Arial" w:cs="Times New Roman"/>
          <w:b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  <w:t>Čl. III (2) a) Celková suma záväzkov so zostatkovou dobou splatnosti dlhšou ako 5 rokov</w:t>
      </w:r>
    </w:p>
    <w:p>
      <w:pPr>
        <w:pStyle w:val="Normal"/>
        <w:spacing w:before="60" w:after="120"/>
        <w:ind w:left="11" w:right="0" w:hanging="11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Účtovná jednotka nemá náplň pre túto položku.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left="11" w:right="0" w:hanging="11"/>
        <w:outlineLvl w:val="1"/>
        <w:rPr>
          <w:rFonts w:ascii="Times New Roman" w:hAnsi="Times New Roman" w:eastAsia="Times New Roman" w:cs="Times New Roman"/>
          <w:b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(4) Informácie o vytvorení kapitálového fondu z príspevkov</w:t>
      </w:r>
    </w:p>
    <w:p>
      <w:pPr>
        <w:pStyle w:val="Normal"/>
        <w:spacing w:before="60" w:after="12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(4) Informácie, či účtovná jednotka vytvorila kapitálový fond z príspevkov podľa § 123 ods. 2 a 217a Obchodného zákonníka</w:t>
      </w:r>
    </w:p>
    <w:p>
      <w:pPr>
        <w:pStyle w:val="Normal"/>
        <w:spacing w:before="60" w:after="120"/>
        <w:rPr/>
      </w:pPr>
      <w:r>
        <w:rPr>
          <w:rFonts w:eastAsia="Arial" w:cs="Times New Roman" w:ascii="Times New Roman" w:hAnsi="Times New Roman"/>
          <w:lang w:eastAsia="sk-SK"/>
        </w:rPr>
        <w:tab/>
      </w:r>
      <w:r>
        <w:rPr>
          <w:rFonts w:eastAsia="Arial" w:cs="Arial" w:ascii="Times New Roman" w:hAnsi="Times New Roman"/>
          <w:color w:val="000000"/>
          <w:lang w:eastAsia="sk-SK"/>
        </w:rPr>
        <w:t xml:space="preserve"> </w:t>
      </w:r>
      <w:r>
        <w:pict>
          <v:shape id="control_shape_12" style="position:absolute;margin-left:34pt;margin-top:-1.85pt;width:43.7pt;height:17pt;mso-position-vertical:center" type="#shapetype_201"/>
          <w:control r:id="rId16" w:name="unnamed0" w:shapeid="control_shape_12"/>
        </w:pict>
      </w:r>
      <w:r>
        <w:pict>
          <v:shape id="control_shape_13" style="position:absolute;margin-left:95.8pt;margin-top:-1.85pt;width:43.7pt;height:17pt;mso-position-vertical:center" type="#shapetype_201"/>
          <w:control r:id="rId17" w:name="unnamed0" w:shapeid="control_shape_1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right="0" w:hanging="0"/>
        <w:outlineLvl w:val="0"/>
        <w:rPr>
          <w:rFonts w:ascii="Times New Roman" w:hAnsi="Times New Roman" w:eastAsia="Arial" w:cs="Arial"/>
          <w:b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  <w:t>Miesto pre ďalšie záznamy:</w:t>
      </w:r>
    </w:p>
    <w:p>
      <w:pPr>
        <w:pStyle w:val="Normal"/>
        <w:spacing w:before="0" w:after="184"/>
        <w:ind w:left="10" w:right="141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144" w:after="288"/>
        <w:ind w:left="0" w:right="964" w:hanging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144" w:after="288"/>
        <w:ind w:left="0" w:right="964" w:hanging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0" w:after="400"/>
        <w:ind w:left="10" w:right="0" w:hanging="1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60" w:after="120"/>
        <w:ind w:left="11" w:right="0" w:hanging="11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rPr>
          <w:rFonts w:ascii="Times New Roman" w:hAnsi="Times New Roman" w:eastAsia="Arial"/>
          <w:b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spacing w:before="0" w:after="200"/>
        <w:ind w:left="-709" w:right="-709" w:hanging="0"/>
        <w:rPr/>
      </w:pPr>
      <w:r>
        <w:rPr/>
      </w:r>
    </w:p>
    <w:sectPr>
      <w:headerReference w:type="default" r:id="rId18"/>
      <w:type w:val="nextPage"/>
      <w:pgSz w:w="11906" w:h="16838"/>
      <w:pgMar w:left="794" w:right="794" w:header="68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697355" cy="172720"/>
              <wp:effectExtent l="0" t="0" r="0" b="0"/>
              <wp:wrapNone/>
              <wp:docPr id="1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6680" cy="17208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spacing w:lineRule="auto" w:line="240" w:before="0" w:after="0"/>
                            <w:ind w:left="0" w:right="0" w:firstLine="17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stroked="t" style="position:absolute;margin-left:14.3pt;margin-top:2.55pt;width:133.55pt;height:13.5pt">
              <w10:wrap type="square"/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e"/>
                      <w:spacing w:lineRule="auto" w:line="240" w:before="0" w:after="0"/>
                      <w:ind w:left="0" w:right="0" w:firstLine="17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lavika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5135" cy="244475"/>
              <wp:effectExtent l="0" t="0" r="0" b="0"/>
              <wp:wrapSquare wrapText="bothSides"/>
              <wp:docPr id="3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4400" cy="24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62" w:type="dxa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40"/>
                            <w:gridCol w:w="235"/>
                            <w:gridCol w:w="236"/>
                            <w:gridCol w:w="234"/>
                            <w:gridCol w:w="236"/>
                            <w:gridCol w:w="236"/>
                            <w:gridCol w:w="518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53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4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518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left="8" w:right="0" w:hanging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</w:tr>
                        </w:tbl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stroked="f" style="position:absolute;margin-left:301.25pt;margin-top:29.15pt;width:234.95pt;height:19.1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62" w:type="dxa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40"/>
                      <w:gridCol w:w="235"/>
                      <w:gridCol w:w="236"/>
                      <w:gridCol w:w="234"/>
                      <w:gridCol w:w="236"/>
                      <w:gridCol w:w="236"/>
                      <w:gridCol w:w="518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53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4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518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9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left="8" w:right="0" w:hanging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</w:tr>
                  </w:tbl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sk-SK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next w:val="Normal"/>
    <w:qFormat/>
    <w:pPr>
      <w:keepNext w:val="true"/>
      <w:keepLines/>
      <w:widowControl/>
      <w:suppressAutoHyphens w:val="true"/>
      <w:overflowPunct w:val="true"/>
      <w:bidi w:val="0"/>
      <w:spacing w:lineRule="auto" w:line="247" w:before="120" w:after="236"/>
      <w:ind w:left="10" w:right="0" w:hanging="10"/>
      <w:jc w:val="left"/>
      <w:outlineLvl w:val="0"/>
    </w:pPr>
    <w:rPr>
      <w:rFonts w:ascii="Times New Roman" w:hAnsi="Times New Roman" w:eastAsia="Arial" w:cs="Arial"/>
      <w:b/>
      <w:color w:val="000000"/>
      <w:kern w:val="0"/>
      <w:sz w:val="32"/>
      <w:szCs w:val="22"/>
      <w:lang w:val="sk-SK" w:eastAsia="sk-SK" w:bidi="ar-SA"/>
    </w:rPr>
  </w:style>
  <w:style w:type="paragraph" w:styleId="Nadpis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DefaultParagraphFont">
    <w:name w:val="Default Paragraph Font"/>
    <w:qFormat/>
    <w:rPr/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</w:rPr>
  </w:style>
  <w:style w:type="character" w:styleId="HlavikaChar">
    <w:name w:val="Hlavička Char"/>
    <w:basedOn w:val="DefaultParagraphFont"/>
    <w:qFormat/>
    <w:rPr/>
  </w:style>
  <w:style w:type="character" w:styleId="PtaChar">
    <w:name w:val="Päta Char"/>
    <w:basedOn w:val="DefaultParagraphFont"/>
    <w:qFormat/>
    <w:rPr/>
  </w:style>
  <w:style w:type="character" w:styleId="Nadpis1Char">
    <w:name w:val="Nadpis 1 Char"/>
    <w:basedOn w:val="DefaultParagraphFont"/>
    <w:qFormat/>
    <w:rPr>
      <w:rFonts w:ascii="Times New Roman" w:hAnsi="Times New Roman" w:eastAsia="Arial" w:cs="Arial"/>
      <w:b/>
      <w:color w:val="000000"/>
      <w:sz w:val="32"/>
      <w:lang w:eastAsia="sk-SK"/>
    </w:rPr>
  </w:style>
  <w:style w:type="character" w:styleId="Nadpis2Char">
    <w:name w:val="Nadpis 2 Char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komentraChar">
    <w:name w:val="Text komentára Char"/>
    <w:basedOn w:val="DefaultParagraphFont"/>
    <w:qFormat/>
    <w:rPr>
      <w:rFonts w:ascii="Times New Roman" w:hAnsi="Times New Roman" w:eastAsia="Arial" w:cs="Arial"/>
      <w:sz w:val="20"/>
      <w:szCs w:val="20"/>
      <w:lang w:eastAsia="sk-SK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Internetovodkaz">
    <w:name w:val="Internetový odkaz"/>
    <w:rPr>
      <w:color w:val="000080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hlavazpat">
    <w:name w:val="Záhlaví a zápatí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qFormat/>
    <w:pPr>
      <w:spacing w:lineRule="auto" w:line="240" w:before="0" w:after="863"/>
      <w:ind w:left="10" w:right="6300" w:hanging="10"/>
    </w:pPr>
    <w:rPr>
      <w:rFonts w:ascii="Times New Roman" w:hAnsi="Times New Roman" w:eastAsia="Arial" w:cs="Arial"/>
      <w:sz w:val="20"/>
      <w:szCs w:val="20"/>
      <w:lang w:eastAsia="sk-SK"/>
    </w:rPr>
  </w:style>
  <w:style w:type="paragraph" w:styleId="Obsahrmce">
    <w:name w:val="Obsah rámce"/>
    <w:basedOn w:val="Normal"/>
    <w:qFormat/>
    <w:pPr/>
    <w:rPr/>
  </w:style>
  <w:style w:type="paragraph" w:styleId="Obsahtabulky">
    <w:name w:val="Obsah tabulky"/>
    <w:basedOn w:val="Normal"/>
    <w:qFormat/>
    <w:pPr>
      <w:suppressLineNumbers/>
    </w:pPr>
    <w:rPr/>
  </w:style>
  <w:style w:type="paragraph" w:styleId="Obsahrmca">
    <w:name w:val="Obsah rámca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hyperlink" Target="aspi://module=&apos;ASPI&apos;&amp;link=&apos;431/2002 Z.z.%252322&apos;&amp;ucin-k-dni=&apos;18. 7.2021&apos;" TargetMode="External"/><Relationship Id="rId5" Type="http://schemas.openxmlformats.org/officeDocument/2006/relationships/hyperlink" Target="aspi://module=&apos;ASPI&apos;&amp;link=&apos;431/2002 Z.z.%252322&apos;&amp;ucin-k-dni=&apos;18. 7.2021&apos;" TargetMode="External"/><Relationship Id="rId6" Type="http://schemas.openxmlformats.org/officeDocument/2006/relationships/control" Target="activeX/activeX3.xml"/><Relationship Id="rId7" Type="http://schemas.openxmlformats.org/officeDocument/2006/relationships/control" Target="activeX/activeX4.xml"/><Relationship Id="rId8" Type="http://schemas.openxmlformats.org/officeDocument/2006/relationships/control" Target="activeX/activeX5.xml"/><Relationship Id="rId9" Type="http://schemas.openxmlformats.org/officeDocument/2006/relationships/control" Target="activeX/activeX6.xml"/><Relationship Id="rId10" Type="http://schemas.openxmlformats.org/officeDocument/2006/relationships/control" Target="activeX/activeX7.xml"/><Relationship Id="rId11" Type="http://schemas.openxmlformats.org/officeDocument/2006/relationships/control" Target="activeX/activeX8.xml"/><Relationship Id="rId12" Type="http://schemas.openxmlformats.org/officeDocument/2006/relationships/control" Target="activeX/activeX9.xml"/><Relationship Id="rId13" Type="http://schemas.openxmlformats.org/officeDocument/2006/relationships/control" Target="activeX/activeX10.xml"/><Relationship Id="rId14" Type="http://schemas.openxmlformats.org/officeDocument/2006/relationships/control" Target="activeX/activeX11.xml"/><Relationship Id="rId15" Type="http://schemas.openxmlformats.org/officeDocument/2006/relationships/control" Target="activeX/activeX12.xml"/><Relationship Id="rId16" Type="http://schemas.openxmlformats.org/officeDocument/2006/relationships/control" Target="activeX/activeX13.xml"/><Relationship Id="rId17" Type="http://schemas.openxmlformats.org/officeDocument/2006/relationships/control" Target="activeX/activeX14.xm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20" Type="http://schemas.openxmlformats.org/officeDocument/2006/relationships/settings" Target="settings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Application>LibreOffice/6.4.7.2$Linux_X86_64 LibreOffice_project/40$Build-2</Application>
  <Pages>3</Pages>
  <Words>716</Words>
  <Characters>4133</Characters>
  <CharactersWithSpaces>4754</CharactersWithSpaces>
  <Paragraphs>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2021-08-04T08:24:00Z</dcterms:created>
  <dc:creator>Michaela</dc:creator>
  <dc:description/>
  <dc:language>sk-SK</dc:language>
  <cp:lastModifiedBy/>
  <dcterms:modified xsi:type="dcterms:W3CDTF">2025-02-27T13:08:02Z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